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EE6" w:rsidRDefault="0052196B" w:rsidP="00081DC9">
      <w:pPr>
        <w:pStyle w:val="Sinespaciado"/>
        <w:spacing w:line="480" w:lineRule="auto"/>
        <w:jc w:val="center"/>
        <w:rPr>
          <w:sz w:val="40"/>
          <w:szCs w:val="40"/>
        </w:rPr>
      </w:pPr>
      <w:r>
        <w:rPr>
          <w:sz w:val="40"/>
          <w:szCs w:val="40"/>
        </w:rPr>
        <w:t xml:space="preserve">Body </w:t>
      </w:r>
      <w:r w:rsidR="006F2EE6" w:rsidRPr="00643942">
        <w:rPr>
          <w:sz w:val="40"/>
          <w:szCs w:val="40"/>
        </w:rPr>
        <w:t xml:space="preserve">mass index and </w:t>
      </w:r>
      <w:r w:rsidR="006F2EE6" w:rsidRPr="006527C7">
        <w:rPr>
          <w:noProof/>
          <w:sz w:val="40"/>
          <w:szCs w:val="40"/>
        </w:rPr>
        <w:t>cardiovascular clinical outcomes</w:t>
      </w:r>
      <w:r w:rsidR="006F2EE6" w:rsidRPr="00643942">
        <w:rPr>
          <w:sz w:val="40"/>
          <w:szCs w:val="40"/>
        </w:rPr>
        <w:t xml:space="preserve"> after acute coronary syndromes</w:t>
      </w:r>
    </w:p>
    <w:p w:rsidR="006F2EE6" w:rsidRDefault="006F2EE6" w:rsidP="00081DC9">
      <w:pPr>
        <w:pStyle w:val="Sinespaciado"/>
        <w:spacing w:line="480" w:lineRule="auto"/>
        <w:jc w:val="center"/>
        <w:rPr>
          <w:sz w:val="40"/>
          <w:szCs w:val="40"/>
        </w:rPr>
      </w:pPr>
    </w:p>
    <w:p w:rsidR="006F2EE6" w:rsidRDefault="006F2EE6" w:rsidP="00081DC9">
      <w:pPr>
        <w:pStyle w:val="Sinespaciado"/>
        <w:spacing w:line="480" w:lineRule="auto"/>
        <w:jc w:val="center"/>
        <w:rPr>
          <w:sz w:val="24"/>
          <w:szCs w:val="40"/>
        </w:rPr>
      </w:pPr>
      <w:r>
        <w:rPr>
          <w:sz w:val="24"/>
          <w:szCs w:val="40"/>
        </w:rPr>
        <w:t>Pablo Manuel Lamelas, MD.</w:t>
      </w:r>
    </w:p>
    <w:p w:rsidR="006F2EE6" w:rsidRDefault="006F2EE6" w:rsidP="00081DC9">
      <w:pPr>
        <w:pStyle w:val="Sinespaciado"/>
        <w:spacing w:line="480" w:lineRule="auto"/>
        <w:jc w:val="center"/>
        <w:rPr>
          <w:sz w:val="24"/>
          <w:szCs w:val="40"/>
        </w:rPr>
      </w:pPr>
    </w:p>
    <w:p w:rsidR="006F2EE6" w:rsidRDefault="006F2EE6" w:rsidP="00081DC9">
      <w:pPr>
        <w:pStyle w:val="Sinespaciado"/>
        <w:spacing w:line="480" w:lineRule="auto"/>
        <w:jc w:val="center"/>
        <w:rPr>
          <w:sz w:val="24"/>
          <w:szCs w:val="40"/>
        </w:rPr>
      </w:pPr>
      <w:r>
        <w:rPr>
          <w:sz w:val="24"/>
          <w:szCs w:val="40"/>
        </w:rPr>
        <w:t xml:space="preserve">Thesis for the Degree of Master of Science </w:t>
      </w:r>
    </w:p>
    <w:p w:rsidR="006F2EE6" w:rsidRDefault="006F2EE6" w:rsidP="00081DC9">
      <w:pPr>
        <w:pStyle w:val="Sinespaciado"/>
        <w:spacing w:line="480" w:lineRule="auto"/>
        <w:jc w:val="center"/>
        <w:rPr>
          <w:sz w:val="24"/>
          <w:szCs w:val="40"/>
        </w:rPr>
      </w:pPr>
      <w:r>
        <w:rPr>
          <w:sz w:val="24"/>
          <w:szCs w:val="40"/>
        </w:rPr>
        <w:t xml:space="preserve">Health Research Methodology Program </w:t>
      </w:r>
    </w:p>
    <w:p w:rsidR="006F2EE6" w:rsidRDefault="006F2EE6" w:rsidP="00081DC9">
      <w:pPr>
        <w:pStyle w:val="Sinespaciado"/>
        <w:spacing w:line="480" w:lineRule="auto"/>
        <w:jc w:val="center"/>
        <w:rPr>
          <w:sz w:val="24"/>
          <w:szCs w:val="40"/>
        </w:rPr>
      </w:pPr>
      <w:r>
        <w:rPr>
          <w:sz w:val="24"/>
          <w:szCs w:val="40"/>
        </w:rPr>
        <w:t>Department of Clinical Epidemiology and Biostatics</w:t>
      </w:r>
    </w:p>
    <w:p w:rsidR="006F2EE6" w:rsidRDefault="006F2EE6" w:rsidP="00081DC9">
      <w:pPr>
        <w:pStyle w:val="Sinespaciado"/>
        <w:spacing w:line="480" w:lineRule="auto"/>
        <w:jc w:val="center"/>
        <w:rPr>
          <w:sz w:val="24"/>
          <w:szCs w:val="40"/>
        </w:rPr>
      </w:pPr>
      <w:r>
        <w:rPr>
          <w:sz w:val="24"/>
          <w:szCs w:val="40"/>
        </w:rPr>
        <w:t>McMaster University</w:t>
      </w:r>
    </w:p>
    <w:p w:rsidR="006F2EE6" w:rsidRDefault="006F2EE6" w:rsidP="00081DC9">
      <w:pPr>
        <w:pStyle w:val="Sinespaciado"/>
        <w:spacing w:line="480" w:lineRule="auto"/>
        <w:jc w:val="center"/>
        <w:rPr>
          <w:sz w:val="24"/>
          <w:szCs w:val="40"/>
        </w:rPr>
      </w:pPr>
      <w:r>
        <w:rPr>
          <w:sz w:val="24"/>
          <w:szCs w:val="40"/>
        </w:rPr>
        <w:t>Hamilton, Canada</w:t>
      </w:r>
    </w:p>
    <w:p w:rsidR="006F2EE6" w:rsidRDefault="006F2EE6" w:rsidP="00081DC9">
      <w:pPr>
        <w:pStyle w:val="Sinespaciado"/>
        <w:spacing w:line="480" w:lineRule="auto"/>
        <w:jc w:val="center"/>
        <w:rPr>
          <w:sz w:val="24"/>
          <w:szCs w:val="40"/>
        </w:rPr>
      </w:pPr>
      <w:r>
        <w:rPr>
          <w:sz w:val="24"/>
          <w:szCs w:val="40"/>
        </w:rPr>
        <w:t>September 2015</w:t>
      </w:r>
    </w:p>
    <w:p w:rsidR="006F2EE6" w:rsidRDefault="006F2EE6">
      <w:pPr>
        <w:rPr>
          <w:sz w:val="24"/>
          <w:szCs w:val="40"/>
        </w:rPr>
      </w:pPr>
      <w:r>
        <w:rPr>
          <w:sz w:val="24"/>
          <w:szCs w:val="40"/>
        </w:rPr>
        <w:br w:type="page"/>
      </w:r>
    </w:p>
    <w:p w:rsidR="006F2EE6" w:rsidRDefault="00081DC9" w:rsidP="00081DC9">
      <w:pPr>
        <w:pStyle w:val="Sinespaciado"/>
        <w:spacing w:line="480" w:lineRule="auto"/>
        <w:rPr>
          <w:sz w:val="24"/>
          <w:szCs w:val="40"/>
        </w:rPr>
      </w:pPr>
      <w:r>
        <w:rPr>
          <w:sz w:val="24"/>
          <w:szCs w:val="40"/>
        </w:rPr>
        <w:lastRenderedPageBreak/>
        <w:t>MASTER OF SCIENCE</w:t>
      </w:r>
      <w:r>
        <w:rPr>
          <w:sz w:val="24"/>
          <w:szCs w:val="40"/>
        </w:rPr>
        <w:tab/>
      </w:r>
      <w:r>
        <w:rPr>
          <w:sz w:val="24"/>
          <w:szCs w:val="40"/>
        </w:rPr>
        <w:tab/>
      </w:r>
      <w:r w:rsidR="006F2EE6">
        <w:rPr>
          <w:sz w:val="24"/>
          <w:szCs w:val="40"/>
        </w:rPr>
        <w:t>McMaster University</w:t>
      </w:r>
      <w:r w:rsidR="00A917FF">
        <w:rPr>
          <w:sz w:val="24"/>
          <w:szCs w:val="40"/>
        </w:rPr>
        <w:t>, Hamilton, Ontario</w:t>
      </w:r>
    </w:p>
    <w:p w:rsidR="006F2EE6" w:rsidRDefault="00081DC9" w:rsidP="00081DC9">
      <w:pPr>
        <w:pStyle w:val="Sinespaciado"/>
        <w:spacing w:line="480" w:lineRule="auto"/>
        <w:rPr>
          <w:sz w:val="24"/>
          <w:szCs w:val="40"/>
        </w:rPr>
      </w:pPr>
      <w:r>
        <w:rPr>
          <w:sz w:val="24"/>
          <w:szCs w:val="40"/>
        </w:rPr>
        <w:t>DEARTMENT</w:t>
      </w:r>
      <w:r>
        <w:rPr>
          <w:sz w:val="24"/>
          <w:szCs w:val="40"/>
        </w:rPr>
        <w:tab/>
      </w:r>
      <w:r>
        <w:rPr>
          <w:sz w:val="24"/>
          <w:szCs w:val="40"/>
        </w:rPr>
        <w:tab/>
      </w:r>
      <w:r>
        <w:rPr>
          <w:sz w:val="24"/>
          <w:szCs w:val="40"/>
        </w:rPr>
        <w:tab/>
      </w:r>
      <w:r w:rsidR="006F2EE6">
        <w:rPr>
          <w:sz w:val="24"/>
          <w:szCs w:val="40"/>
        </w:rPr>
        <w:t>Clini</w:t>
      </w:r>
      <w:r w:rsidR="00A917FF">
        <w:rPr>
          <w:sz w:val="24"/>
          <w:szCs w:val="40"/>
        </w:rPr>
        <w:t>cal Epidemiology and Biostatics</w:t>
      </w:r>
      <w:r w:rsidR="006F2EE6">
        <w:rPr>
          <w:sz w:val="24"/>
          <w:szCs w:val="40"/>
        </w:rPr>
        <w:tab/>
      </w:r>
    </w:p>
    <w:p w:rsidR="006F2EE6" w:rsidRDefault="006F2EE6" w:rsidP="00081DC9">
      <w:pPr>
        <w:pStyle w:val="Sinespaciado"/>
        <w:spacing w:line="480" w:lineRule="auto"/>
        <w:rPr>
          <w:sz w:val="24"/>
          <w:szCs w:val="40"/>
        </w:rPr>
      </w:pPr>
    </w:p>
    <w:p w:rsidR="006F2EE6" w:rsidRDefault="006F2EE6" w:rsidP="00081DC9">
      <w:pPr>
        <w:pStyle w:val="Sinespaciado"/>
        <w:spacing w:line="480" w:lineRule="auto"/>
        <w:ind w:left="2880" w:hanging="2880"/>
        <w:rPr>
          <w:sz w:val="24"/>
          <w:szCs w:val="40"/>
        </w:rPr>
      </w:pPr>
      <w:r>
        <w:rPr>
          <w:sz w:val="24"/>
          <w:szCs w:val="40"/>
        </w:rPr>
        <w:t xml:space="preserve">TITLE: </w:t>
      </w:r>
      <w:r>
        <w:rPr>
          <w:sz w:val="24"/>
          <w:szCs w:val="40"/>
        </w:rPr>
        <w:tab/>
      </w:r>
      <w:r w:rsidR="0052196B">
        <w:rPr>
          <w:sz w:val="24"/>
          <w:szCs w:val="40"/>
        </w:rPr>
        <w:t xml:space="preserve">Body </w:t>
      </w:r>
      <w:r w:rsidRPr="00FE6D01">
        <w:rPr>
          <w:sz w:val="24"/>
          <w:szCs w:val="40"/>
        </w:rPr>
        <w:t>mass index and cardiovascular clinical outcomes after acute coronary syndromes</w:t>
      </w:r>
    </w:p>
    <w:p w:rsidR="006F2EE6" w:rsidRDefault="006F2EE6" w:rsidP="00081DC9">
      <w:pPr>
        <w:pStyle w:val="Sinespaciado"/>
        <w:spacing w:line="480" w:lineRule="auto"/>
        <w:rPr>
          <w:sz w:val="24"/>
          <w:szCs w:val="40"/>
        </w:rPr>
      </w:pPr>
    </w:p>
    <w:p w:rsidR="006F2EE6" w:rsidRPr="00831001" w:rsidRDefault="006F2EE6" w:rsidP="00081DC9">
      <w:pPr>
        <w:pStyle w:val="Sinespaciado"/>
        <w:spacing w:line="480" w:lineRule="auto"/>
        <w:rPr>
          <w:sz w:val="24"/>
          <w:szCs w:val="40"/>
        </w:rPr>
      </w:pPr>
      <w:r w:rsidRPr="00831001">
        <w:rPr>
          <w:sz w:val="24"/>
          <w:szCs w:val="40"/>
        </w:rPr>
        <w:t xml:space="preserve">AUTHOR: </w:t>
      </w:r>
      <w:r w:rsidRPr="00831001">
        <w:rPr>
          <w:sz w:val="24"/>
          <w:szCs w:val="40"/>
        </w:rPr>
        <w:tab/>
      </w:r>
      <w:r w:rsidRPr="00831001">
        <w:rPr>
          <w:sz w:val="24"/>
          <w:szCs w:val="40"/>
        </w:rPr>
        <w:tab/>
      </w:r>
      <w:r w:rsidR="00081DC9" w:rsidRPr="00831001">
        <w:rPr>
          <w:sz w:val="24"/>
          <w:szCs w:val="40"/>
        </w:rPr>
        <w:tab/>
      </w:r>
      <w:r w:rsidRPr="00831001">
        <w:rPr>
          <w:sz w:val="24"/>
          <w:szCs w:val="40"/>
        </w:rPr>
        <w:t>Pablo Manuel Lamelas, MD</w:t>
      </w:r>
    </w:p>
    <w:p w:rsidR="006F2EE6" w:rsidRDefault="006F2EE6" w:rsidP="00081DC9">
      <w:pPr>
        <w:pStyle w:val="Sinespaciado"/>
        <w:spacing w:line="480" w:lineRule="auto"/>
        <w:rPr>
          <w:sz w:val="24"/>
          <w:szCs w:val="40"/>
        </w:rPr>
      </w:pPr>
      <w:r>
        <w:rPr>
          <w:sz w:val="24"/>
          <w:szCs w:val="40"/>
        </w:rPr>
        <w:t>FIRST READER</w:t>
      </w:r>
      <w:r w:rsidRPr="00FE6D01">
        <w:rPr>
          <w:sz w:val="24"/>
          <w:szCs w:val="40"/>
        </w:rPr>
        <w:t>:</w:t>
      </w:r>
      <w:r>
        <w:rPr>
          <w:sz w:val="24"/>
          <w:szCs w:val="40"/>
        </w:rPr>
        <w:tab/>
      </w:r>
      <w:r>
        <w:rPr>
          <w:sz w:val="24"/>
          <w:szCs w:val="40"/>
        </w:rPr>
        <w:tab/>
      </w:r>
      <w:r w:rsidR="00081DC9">
        <w:rPr>
          <w:sz w:val="24"/>
          <w:szCs w:val="40"/>
        </w:rPr>
        <w:tab/>
      </w:r>
      <w:r>
        <w:rPr>
          <w:sz w:val="24"/>
          <w:szCs w:val="40"/>
        </w:rPr>
        <w:t>Jon-David Schwalm, MD, MSc</w:t>
      </w:r>
    </w:p>
    <w:p w:rsidR="006F2EE6" w:rsidRDefault="006F2EE6" w:rsidP="00081DC9">
      <w:pPr>
        <w:pStyle w:val="Sinespaciado"/>
        <w:spacing w:line="480" w:lineRule="auto"/>
        <w:rPr>
          <w:sz w:val="24"/>
          <w:szCs w:val="40"/>
        </w:rPr>
      </w:pPr>
      <w:r>
        <w:rPr>
          <w:sz w:val="24"/>
          <w:szCs w:val="40"/>
        </w:rPr>
        <w:t>THESIS COMMITTEE</w:t>
      </w:r>
      <w:r w:rsidRPr="00FE6D01">
        <w:rPr>
          <w:sz w:val="24"/>
          <w:szCs w:val="40"/>
        </w:rPr>
        <w:t xml:space="preserve">: </w:t>
      </w:r>
      <w:r w:rsidRPr="00FE6D01">
        <w:rPr>
          <w:sz w:val="24"/>
          <w:szCs w:val="40"/>
        </w:rPr>
        <w:tab/>
      </w:r>
      <w:r w:rsidR="00081DC9">
        <w:rPr>
          <w:sz w:val="24"/>
          <w:szCs w:val="40"/>
        </w:rPr>
        <w:tab/>
      </w:r>
      <w:r w:rsidRPr="00FE6D01">
        <w:rPr>
          <w:sz w:val="24"/>
          <w:szCs w:val="40"/>
        </w:rPr>
        <w:t>Salim Yusuf, MBBS, DPhil</w:t>
      </w:r>
    </w:p>
    <w:p w:rsidR="006F2EE6" w:rsidRDefault="006F2EE6" w:rsidP="00081DC9">
      <w:pPr>
        <w:pStyle w:val="Sinespaciado"/>
        <w:spacing w:line="480" w:lineRule="auto"/>
        <w:rPr>
          <w:sz w:val="24"/>
          <w:szCs w:val="40"/>
        </w:rPr>
      </w:pPr>
      <w:r>
        <w:rPr>
          <w:sz w:val="24"/>
          <w:szCs w:val="40"/>
        </w:rPr>
        <w:tab/>
      </w:r>
      <w:r>
        <w:rPr>
          <w:sz w:val="24"/>
          <w:szCs w:val="40"/>
        </w:rPr>
        <w:tab/>
      </w:r>
      <w:r>
        <w:rPr>
          <w:sz w:val="24"/>
          <w:szCs w:val="40"/>
        </w:rPr>
        <w:tab/>
      </w:r>
      <w:r w:rsidR="00081DC9">
        <w:rPr>
          <w:sz w:val="24"/>
          <w:szCs w:val="40"/>
        </w:rPr>
        <w:tab/>
      </w:r>
      <w:r>
        <w:rPr>
          <w:sz w:val="24"/>
          <w:szCs w:val="40"/>
        </w:rPr>
        <w:t>Shamir Mehta, MD, MSc</w:t>
      </w:r>
    </w:p>
    <w:p w:rsidR="006F2EE6" w:rsidRDefault="006F2EE6" w:rsidP="00081DC9">
      <w:pPr>
        <w:pStyle w:val="Sinespaciado"/>
        <w:spacing w:line="480" w:lineRule="auto"/>
        <w:rPr>
          <w:sz w:val="24"/>
          <w:szCs w:val="40"/>
        </w:rPr>
      </w:pPr>
      <w:r>
        <w:rPr>
          <w:sz w:val="24"/>
          <w:szCs w:val="40"/>
        </w:rPr>
        <w:tab/>
      </w:r>
      <w:r>
        <w:rPr>
          <w:sz w:val="24"/>
          <w:szCs w:val="40"/>
        </w:rPr>
        <w:tab/>
      </w:r>
      <w:r>
        <w:rPr>
          <w:sz w:val="24"/>
          <w:szCs w:val="40"/>
        </w:rPr>
        <w:tab/>
      </w:r>
      <w:r w:rsidR="00081DC9">
        <w:rPr>
          <w:sz w:val="24"/>
          <w:szCs w:val="40"/>
        </w:rPr>
        <w:tab/>
      </w:r>
      <w:r>
        <w:rPr>
          <w:sz w:val="24"/>
          <w:szCs w:val="40"/>
        </w:rPr>
        <w:t>Philip Devereaux, PhD</w:t>
      </w:r>
    </w:p>
    <w:p w:rsidR="006F2EE6" w:rsidRDefault="006F2EE6" w:rsidP="00081DC9">
      <w:pPr>
        <w:pStyle w:val="Sinespaciado"/>
        <w:spacing w:line="480" w:lineRule="auto"/>
        <w:rPr>
          <w:sz w:val="24"/>
          <w:szCs w:val="40"/>
        </w:rPr>
      </w:pPr>
    </w:p>
    <w:p w:rsidR="006F2EE6" w:rsidRDefault="006F2EE6" w:rsidP="00081DC9">
      <w:pPr>
        <w:pStyle w:val="Sinespaciado"/>
        <w:spacing w:line="480" w:lineRule="auto"/>
        <w:rPr>
          <w:sz w:val="24"/>
          <w:szCs w:val="40"/>
        </w:rPr>
      </w:pPr>
      <w:r>
        <w:rPr>
          <w:sz w:val="24"/>
          <w:szCs w:val="40"/>
        </w:rPr>
        <w:t>PAGES:</w:t>
      </w:r>
      <w:r>
        <w:rPr>
          <w:sz w:val="24"/>
          <w:szCs w:val="40"/>
        </w:rPr>
        <w:tab/>
      </w:r>
      <w:r>
        <w:rPr>
          <w:sz w:val="24"/>
          <w:szCs w:val="40"/>
        </w:rPr>
        <w:tab/>
      </w:r>
      <w:r>
        <w:rPr>
          <w:sz w:val="24"/>
          <w:szCs w:val="40"/>
        </w:rPr>
        <w:tab/>
      </w:r>
      <w:r w:rsidR="00081DC9">
        <w:rPr>
          <w:sz w:val="24"/>
          <w:szCs w:val="40"/>
        </w:rPr>
        <w:tab/>
      </w:r>
      <w:r w:rsidR="001C477F">
        <w:rPr>
          <w:sz w:val="24"/>
          <w:szCs w:val="40"/>
        </w:rPr>
        <w:t>144</w:t>
      </w:r>
    </w:p>
    <w:p w:rsidR="00831001" w:rsidRDefault="00831001">
      <w:pPr>
        <w:rPr>
          <w:sz w:val="24"/>
          <w:szCs w:val="40"/>
        </w:rPr>
      </w:pPr>
      <w:r>
        <w:rPr>
          <w:sz w:val="24"/>
          <w:szCs w:val="40"/>
        </w:rPr>
        <w:br w:type="page"/>
      </w:r>
    </w:p>
    <w:p w:rsidR="00831001" w:rsidRDefault="001B2AA5" w:rsidP="00081DC9">
      <w:pPr>
        <w:pStyle w:val="Sinespaciado"/>
        <w:spacing w:line="480" w:lineRule="auto"/>
        <w:rPr>
          <w:sz w:val="24"/>
          <w:szCs w:val="40"/>
        </w:rPr>
      </w:pPr>
      <w:r>
        <w:rPr>
          <w:sz w:val="24"/>
          <w:szCs w:val="40"/>
        </w:rPr>
        <w:lastRenderedPageBreak/>
        <w:t>ACKNOWLEDGEMENTS</w:t>
      </w:r>
    </w:p>
    <w:p w:rsidR="006610F4" w:rsidRDefault="00831001" w:rsidP="00831001">
      <w:pPr>
        <w:pStyle w:val="Sinespaciado"/>
        <w:spacing w:line="480" w:lineRule="auto"/>
        <w:ind w:firstLine="720"/>
        <w:jc w:val="both"/>
        <w:rPr>
          <w:sz w:val="24"/>
          <w:szCs w:val="40"/>
        </w:rPr>
      </w:pPr>
      <w:r>
        <w:rPr>
          <w:sz w:val="24"/>
          <w:szCs w:val="40"/>
        </w:rPr>
        <w:t xml:space="preserve">First, I would like to thank </w:t>
      </w:r>
      <w:r w:rsidR="001B2AA5">
        <w:rPr>
          <w:sz w:val="24"/>
          <w:szCs w:val="40"/>
        </w:rPr>
        <w:t xml:space="preserve">Dr </w:t>
      </w:r>
      <w:r>
        <w:rPr>
          <w:sz w:val="24"/>
          <w:szCs w:val="40"/>
        </w:rPr>
        <w:t xml:space="preserve">Schwalm </w:t>
      </w:r>
      <w:r w:rsidR="00DC7437">
        <w:rPr>
          <w:sz w:val="24"/>
          <w:szCs w:val="40"/>
        </w:rPr>
        <w:t>for</w:t>
      </w:r>
      <w:r>
        <w:rPr>
          <w:sz w:val="24"/>
          <w:szCs w:val="40"/>
        </w:rPr>
        <w:t xml:space="preserve"> being a wonderful supervisor during all my MSc process. </w:t>
      </w:r>
      <w:r w:rsidR="006610F4">
        <w:rPr>
          <w:sz w:val="24"/>
          <w:szCs w:val="40"/>
        </w:rPr>
        <w:t xml:space="preserve">He has done enough effort for being considered my “Canadian big brother” (father may sound like older than he really is!). </w:t>
      </w:r>
    </w:p>
    <w:p w:rsidR="006F2EE6" w:rsidRDefault="006610F4" w:rsidP="00831001">
      <w:pPr>
        <w:pStyle w:val="Sinespaciado"/>
        <w:spacing w:line="480" w:lineRule="auto"/>
        <w:ind w:firstLine="720"/>
        <w:jc w:val="both"/>
        <w:rPr>
          <w:sz w:val="24"/>
          <w:szCs w:val="40"/>
        </w:rPr>
      </w:pPr>
      <w:r>
        <w:rPr>
          <w:sz w:val="24"/>
          <w:szCs w:val="40"/>
        </w:rPr>
        <w:t>M</w:t>
      </w:r>
      <w:r w:rsidR="00831001">
        <w:rPr>
          <w:sz w:val="24"/>
          <w:szCs w:val="40"/>
        </w:rPr>
        <w:t>y</w:t>
      </w:r>
      <w:r>
        <w:rPr>
          <w:sz w:val="24"/>
          <w:szCs w:val="40"/>
        </w:rPr>
        <w:t xml:space="preserve"> most</w:t>
      </w:r>
      <w:r w:rsidR="00831001">
        <w:rPr>
          <w:sz w:val="24"/>
          <w:szCs w:val="40"/>
        </w:rPr>
        <w:t xml:space="preserve"> sincere thanks to Dr Yusuf</w:t>
      </w:r>
      <w:r w:rsidR="005B5061">
        <w:rPr>
          <w:sz w:val="24"/>
          <w:szCs w:val="40"/>
        </w:rPr>
        <w:t xml:space="preserve"> for </w:t>
      </w:r>
      <w:r w:rsidR="007B3E57">
        <w:rPr>
          <w:sz w:val="24"/>
          <w:szCs w:val="40"/>
        </w:rPr>
        <w:t>providing</w:t>
      </w:r>
      <w:r w:rsidR="00831001">
        <w:rPr>
          <w:sz w:val="24"/>
          <w:szCs w:val="40"/>
        </w:rPr>
        <w:t xml:space="preserve"> </w:t>
      </w:r>
      <w:r w:rsidR="00DC7437">
        <w:rPr>
          <w:sz w:val="24"/>
          <w:szCs w:val="40"/>
        </w:rPr>
        <w:t xml:space="preserve">me </w:t>
      </w:r>
      <w:r w:rsidR="00831001">
        <w:rPr>
          <w:sz w:val="24"/>
          <w:szCs w:val="40"/>
        </w:rPr>
        <w:t>this unique learning opportunity</w:t>
      </w:r>
      <w:r w:rsidR="005B5061">
        <w:rPr>
          <w:sz w:val="24"/>
          <w:szCs w:val="40"/>
        </w:rPr>
        <w:t xml:space="preserve">. I feel the luckiest fellow in the world by being under his supervision. </w:t>
      </w:r>
      <w:r w:rsidR="007B3E57">
        <w:rPr>
          <w:sz w:val="24"/>
          <w:szCs w:val="40"/>
        </w:rPr>
        <w:t>Also, I want to express my gratitude to</w:t>
      </w:r>
      <w:r>
        <w:rPr>
          <w:sz w:val="24"/>
          <w:szCs w:val="40"/>
        </w:rPr>
        <w:t xml:space="preserve"> Dr Mehta and Dr Deveraux </w:t>
      </w:r>
      <w:r w:rsidR="007B3E57">
        <w:rPr>
          <w:sz w:val="24"/>
          <w:szCs w:val="40"/>
        </w:rPr>
        <w:t>for being part of my</w:t>
      </w:r>
      <w:r>
        <w:rPr>
          <w:sz w:val="24"/>
          <w:szCs w:val="40"/>
        </w:rPr>
        <w:t xml:space="preserve"> committee</w:t>
      </w:r>
      <w:r w:rsidR="007B3E57">
        <w:rPr>
          <w:sz w:val="24"/>
          <w:szCs w:val="40"/>
        </w:rPr>
        <w:t>. Defending my Thesis with such outstanding committee will surely have a profound impac</w:t>
      </w:r>
      <w:r w:rsidR="005B5061">
        <w:rPr>
          <w:sz w:val="24"/>
          <w:szCs w:val="40"/>
        </w:rPr>
        <w:t>t in my future as a researcher. Honestly, my com</w:t>
      </w:r>
      <w:r w:rsidR="00560563">
        <w:rPr>
          <w:sz w:val="24"/>
          <w:szCs w:val="40"/>
        </w:rPr>
        <w:t>mittee was too good to be true.</w:t>
      </w:r>
    </w:p>
    <w:p w:rsidR="006610F4" w:rsidRDefault="005B5061" w:rsidP="00831001">
      <w:pPr>
        <w:pStyle w:val="Sinespaciado"/>
        <w:spacing w:line="480" w:lineRule="auto"/>
        <w:ind w:firstLine="720"/>
        <w:jc w:val="both"/>
        <w:rPr>
          <w:sz w:val="24"/>
          <w:szCs w:val="40"/>
        </w:rPr>
      </w:pPr>
      <w:r>
        <w:rPr>
          <w:sz w:val="24"/>
          <w:szCs w:val="40"/>
        </w:rPr>
        <w:t>But nothing of this would happen without</w:t>
      </w:r>
      <w:r w:rsidR="00560563">
        <w:rPr>
          <w:sz w:val="24"/>
          <w:szCs w:val="40"/>
        </w:rPr>
        <w:t xml:space="preserve"> the presence of</w:t>
      </w:r>
      <w:r>
        <w:rPr>
          <w:sz w:val="24"/>
          <w:szCs w:val="40"/>
        </w:rPr>
        <w:t xml:space="preserve"> Dr Diaz in my career. He trusted in me </w:t>
      </w:r>
      <w:r w:rsidR="000C2A35">
        <w:rPr>
          <w:sz w:val="24"/>
          <w:szCs w:val="40"/>
        </w:rPr>
        <w:t>from the very beginning</w:t>
      </w:r>
      <w:r>
        <w:rPr>
          <w:sz w:val="24"/>
          <w:szCs w:val="40"/>
        </w:rPr>
        <w:t xml:space="preserve"> when I was at medical school. His passion </w:t>
      </w:r>
      <w:r w:rsidR="00560563">
        <w:rPr>
          <w:sz w:val="24"/>
          <w:szCs w:val="40"/>
        </w:rPr>
        <w:t xml:space="preserve">for research made a boost in my interest </w:t>
      </w:r>
      <w:r w:rsidR="000C2A35">
        <w:rPr>
          <w:sz w:val="24"/>
          <w:szCs w:val="40"/>
        </w:rPr>
        <w:t>for</w:t>
      </w:r>
      <w:r w:rsidR="00560563">
        <w:rPr>
          <w:sz w:val="24"/>
          <w:szCs w:val="40"/>
        </w:rPr>
        <w:t xml:space="preserve"> research</w:t>
      </w:r>
      <w:r w:rsidR="001B2AA5">
        <w:rPr>
          <w:sz w:val="24"/>
          <w:szCs w:val="40"/>
        </w:rPr>
        <w:t>. And m</w:t>
      </w:r>
      <w:r w:rsidR="006610F4">
        <w:rPr>
          <w:sz w:val="24"/>
          <w:szCs w:val="40"/>
        </w:rPr>
        <w:t xml:space="preserve">ore back in time, I want to </w:t>
      </w:r>
      <w:r w:rsidR="001B2AA5">
        <w:rPr>
          <w:sz w:val="24"/>
          <w:szCs w:val="40"/>
        </w:rPr>
        <w:t xml:space="preserve">express my thanks to </w:t>
      </w:r>
      <w:proofErr w:type="spellStart"/>
      <w:r w:rsidR="001B2AA5">
        <w:rPr>
          <w:sz w:val="24"/>
          <w:szCs w:val="40"/>
        </w:rPr>
        <w:t>Dr</w:t>
      </w:r>
      <w:proofErr w:type="spellEnd"/>
      <w:r w:rsidR="001B2AA5">
        <w:rPr>
          <w:sz w:val="24"/>
          <w:szCs w:val="40"/>
        </w:rPr>
        <w:t xml:space="preserve"> Thierer and</w:t>
      </w:r>
      <w:r w:rsidR="006610F4">
        <w:rPr>
          <w:sz w:val="24"/>
          <w:szCs w:val="40"/>
        </w:rPr>
        <w:t xml:space="preserve"> </w:t>
      </w:r>
      <w:proofErr w:type="spellStart"/>
      <w:r w:rsidR="006610F4">
        <w:rPr>
          <w:sz w:val="24"/>
          <w:szCs w:val="40"/>
        </w:rPr>
        <w:t>Dr</w:t>
      </w:r>
      <w:proofErr w:type="spellEnd"/>
      <w:r w:rsidR="006610F4">
        <w:rPr>
          <w:sz w:val="24"/>
          <w:szCs w:val="40"/>
        </w:rPr>
        <w:t xml:space="preserve"> </w:t>
      </w:r>
      <w:proofErr w:type="spellStart"/>
      <w:r w:rsidR="006610F4">
        <w:rPr>
          <w:sz w:val="24"/>
          <w:szCs w:val="40"/>
        </w:rPr>
        <w:t>Botto</w:t>
      </w:r>
      <w:proofErr w:type="spellEnd"/>
      <w:r w:rsidR="006610F4">
        <w:rPr>
          <w:sz w:val="24"/>
          <w:szCs w:val="40"/>
        </w:rPr>
        <w:t xml:space="preserve">. </w:t>
      </w:r>
      <w:r w:rsidR="007B3E57">
        <w:rPr>
          <w:sz w:val="24"/>
          <w:szCs w:val="40"/>
        </w:rPr>
        <w:t>All of them were critical for my</w:t>
      </w:r>
      <w:r w:rsidR="006610F4">
        <w:rPr>
          <w:sz w:val="24"/>
          <w:szCs w:val="40"/>
        </w:rPr>
        <w:t xml:space="preserve"> </w:t>
      </w:r>
      <w:r w:rsidR="007B3E57">
        <w:rPr>
          <w:sz w:val="24"/>
          <w:szCs w:val="40"/>
        </w:rPr>
        <w:t>inspiration in research, and I will alw</w:t>
      </w:r>
      <w:r w:rsidR="00897C94">
        <w:rPr>
          <w:sz w:val="24"/>
          <w:szCs w:val="40"/>
        </w:rPr>
        <w:t>ays remember them a</w:t>
      </w:r>
      <w:r w:rsidR="00DC7437">
        <w:rPr>
          <w:sz w:val="24"/>
          <w:szCs w:val="40"/>
        </w:rPr>
        <w:t xml:space="preserve">s part of my learning process. </w:t>
      </w:r>
    </w:p>
    <w:p w:rsidR="006610F4" w:rsidRDefault="006610F4" w:rsidP="00831001">
      <w:pPr>
        <w:pStyle w:val="Sinespaciado"/>
        <w:spacing w:line="480" w:lineRule="auto"/>
        <w:ind w:firstLine="720"/>
        <w:jc w:val="both"/>
        <w:rPr>
          <w:sz w:val="24"/>
          <w:szCs w:val="40"/>
        </w:rPr>
      </w:pPr>
      <w:r>
        <w:rPr>
          <w:sz w:val="24"/>
          <w:szCs w:val="40"/>
        </w:rPr>
        <w:t xml:space="preserve">Last but not the least, it would be impossible to achieve this without the support of all my family, Luis, Cecilia, </w:t>
      </w:r>
      <w:proofErr w:type="spellStart"/>
      <w:r>
        <w:rPr>
          <w:sz w:val="24"/>
          <w:szCs w:val="40"/>
        </w:rPr>
        <w:t>Ceci</w:t>
      </w:r>
      <w:proofErr w:type="spellEnd"/>
      <w:r>
        <w:rPr>
          <w:sz w:val="24"/>
          <w:szCs w:val="40"/>
        </w:rPr>
        <w:t xml:space="preserve"> </w:t>
      </w:r>
      <w:r w:rsidR="001B2AA5">
        <w:rPr>
          <w:sz w:val="24"/>
          <w:szCs w:val="40"/>
        </w:rPr>
        <w:t>and</w:t>
      </w:r>
      <w:r>
        <w:rPr>
          <w:sz w:val="24"/>
          <w:szCs w:val="40"/>
        </w:rPr>
        <w:t xml:space="preserve"> </w:t>
      </w:r>
      <w:proofErr w:type="spellStart"/>
      <w:r>
        <w:rPr>
          <w:sz w:val="24"/>
          <w:szCs w:val="40"/>
        </w:rPr>
        <w:t>Sebastián</w:t>
      </w:r>
      <w:proofErr w:type="spellEnd"/>
      <w:r>
        <w:rPr>
          <w:sz w:val="24"/>
          <w:szCs w:val="40"/>
        </w:rPr>
        <w:t>,</w:t>
      </w:r>
      <w:r w:rsidR="00DC7437">
        <w:rPr>
          <w:sz w:val="24"/>
          <w:szCs w:val="40"/>
        </w:rPr>
        <w:t xml:space="preserve"> and specially my wife </w:t>
      </w:r>
      <w:proofErr w:type="spellStart"/>
      <w:r w:rsidR="00DC7437">
        <w:rPr>
          <w:sz w:val="24"/>
          <w:szCs w:val="40"/>
        </w:rPr>
        <w:t>Kilmida</w:t>
      </w:r>
      <w:proofErr w:type="spellEnd"/>
      <w:r w:rsidR="001B2AA5">
        <w:rPr>
          <w:sz w:val="24"/>
          <w:szCs w:val="40"/>
        </w:rPr>
        <w:t xml:space="preserve"> and my future son Francisco</w:t>
      </w:r>
      <w:r w:rsidR="00DC7437">
        <w:rPr>
          <w:sz w:val="24"/>
          <w:szCs w:val="40"/>
        </w:rPr>
        <w:t>. My career is mean</w:t>
      </w:r>
      <w:r w:rsidR="001B2AA5">
        <w:rPr>
          <w:sz w:val="24"/>
          <w:szCs w:val="40"/>
        </w:rPr>
        <w:t xml:space="preserve">ingless without their presence. </w:t>
      </w:r>
    </w:p>
    <w:p w:rsidR="006610F4" w:rsidRDefault="006610F4" w:rsidP="00831001">
      <w:pPr>
        <w:pStyle w:val="Sinespaciado"/>
        <w:spacing w:line="480" w:lineRule="auto"/>
        <w:ind w:firstLine="720"/>
        <w:jc w:val="both"/>
        <w:rPr>
          <w:sz w:val="24"/>
          <w:szCs w:val="40"/>
        </w:rPr>
      </w:pPr>
    </w:p>
    <w:p w:rsidR="00831001" w:rsidRDefault="00831001">
      <w:pPr>
        <w:rPr>
          <w:sz w:val="24"/>
          <w:szCs w:val="40"/>
        </w:rPr>
      </w:pPr>
      <w:r>
        <w:rPr>
          <w:sz w:val="24"/>
          <w:szCs w:val="40"/>
        </w:rPr>
        <w:br w:type="page"/>
      </w:r>
    </w:p>
    <w:p w:rsidR="006F2EE6" w:rsidRDefault="006F2EE6" w:rsidP="00081DC9">
      <w:pPr>
        <w:pStyle w:val="Sinespaciado"/>
        <w:spacing w:line="480" w:lineRule="auto"/>
        <w:jc w:val="both"/>
        <w:rPr>
          <w:sz w:val="24"/>
          <w:szCs w:val="40"/>
        </w:rPr>
      </w:pPr>
      <w:r>
        <w:rPr>
          <w:sz w:val="24"/>
          <w:szCs w:val="40"/>
        </w:rPr>
        <w:lastRenderedPageBreak/>
        <w:t>ABSTRACT</w:t>
      </w:r>
    </w:p>
    <w:p w:rsidR="006F2EE6" w:rsidRDefault="0052196B" w:rsidP="00081DC9">
      <w:pPr>
        <w:pStyle w:val="Sinespaciado"/>
        <w:spacing w:line="480" w:lineRule="auto"/>
        <w:ind w:firstLine="720"/>
        <w:jc w:val="both"/>
        <w:rPr>
          <w:sz w:val="24"/>
          <w:szCs w:val="40"/>
        </w:rPr>
      </w:pPr>
      <w:r>
        <w:rPr>
          <w:sz w:val="24"/>
          <w:szCs w:val="40"/>
        </w:rPr>
        <w:t xml:space="preserve">Obesity, assessed by body </w:t>
      </w:r>
      <w:r w:rsidR="006F2EE6">
        <w:rPr>
          <w:sz w:val="24"/>
          <w:szCs w:val="40"/>
        </w:rPr>
        <w:t xml:space="preserve">mass index (BMI), is considered a major public health problem worldwide.  Studies in people without </w:t>
      </w:r>
      <w:proofErr w:type="gramStart"/>
      <w:r w:rsidR="006F2EE6">
        <w:rPr>
          <w:sz w:val="24"/>
          <w:szCs w:val="40"/>
        </w:rPr>
        <w:t>CVD,</w:t>
      </w:r>
      <w:proofErr w:type="gramEnd"/>
      <w:r w:rsidR="006F2EE6">
        <w:rPr>
          <w:sz w:val="24"/>
          <w:szCs w:val="40"/>
        </w:rPr>
        <w:t xml:space="preserve"> have shown that BMI between 22.5 to 24.9 kg/m</w:t>
      </w:r>
      <w:r w:rsidR="006F2EE6">
        <w:rPr>
          <w:sz w:val="24"/>
          <w:szCs w:val="40"/>
          <w:vertAlign w:val="superscript"/>
        </w:rPr>
        <w:t>2</w:t>
      </w:r>
      <w:r w:rsidR="006F2EE6">
        <w:rPr>
          <w:sz w:val="24"/>
          <w:szCs w:val="40"/>
        </w:rPr>
        <w:t xml:space="preserve"> is associated with the lowest risk of death in healthy non-smoker populations. However, studies in patients with acute coronary syndrome (ACS) have shown that overweight and obese patients have better survival than those in the normal BMI range. This phenomenon has been called the “obesity paradox”.</w:t>
      </w:r>
    </w:p>
    <w:p w:rsidR="006F2EE6" w:rsidRDefault="006F2EE6" w:rsidP="00081DC9">
      <w:pPr>
        <w:pStyle w:val="Sinespaciado"/>
        <w:spacing w:line="480" w:lineRule="auto"/>
        <w:ind w:firstLine="720"/>
        <w:jc w:val="both"/>
        <w:rPr>
          <w:sz w:val="24"/>
          <w:szCs w:val="40"/>
        </w:rPr>
      </w:pPr>
      <w:r>
        <w:rPr>
          <w:sz w:val="24"/>
          <w:szCs w:val="40"/>
        </w:rPr>
        <w:t xml:space="preserve">This thesis has two main components: a systematic review with meta-analysis of the current literature of BMI and ACS, and an individual patient data meta-analysis from 8 randomized trials whose data base was accessible at the PHRI involving ACS patients. The study-level systematic review (35 studies) and meta-analysis (19 studies) demonstrates  that there is a statistically significant adjusted 20% risk lower  mortality  among overweight and obese participants considered normal weight. Nevertheless, there was moderate to high heterogeneity of pooled estimates that could not be explained in subgroup analyses. Also, the systematic review detected major limitations in the current literature, including missing BMI and covariates data, lost to follow-up, enough number of events in high BMI categories, warranting more research in the area. </w:t>
      </w:r>
    </w:p>
    <w:p w:rsidR="006F2EE6" w:rsidRDefault="006F2EE6" w:rsidP="00081DC9">
      <w:pPr>
        <w:pStyle w:val="Sinespaciado"/>
        <w:spacing w:line="480" w:lineRule="auto"/>
        <w:ind w:firstLine="720"/>
        <w:jc w:val="both"/>
        <w:rPr>
          <w:sz w:val="24"/>
          <w:szCs w:val="24"/>
        </w:rPr>
      </w:pPr>
      <w:r>
        <w:rPr>
          <w:sz w:val="24"/>
          <w:szCs w:val="40"/>
        </w:rPr>
        <w:t xml:space="preserve">The second component, the individual patient data meta-analysis (n = 81,553), confirmed a 20% lower mortality risk in the overweight and type I obesity categories, compared to the normal the BMI range. This lower risk was robust and remained consistent within several sensitivity analyses. Analysis of secondary outcomes suggests </w:t>
      </w:r>
      <w:r>
        <w:rPr>
          <w:sz w:val="24"/>
          <w:szCs w:val="40"/>
        </w:rPr>
        <w:lastRenderedPageBreak/>
        <w:t xml:space="preserve">that a reduced risk of bleeding, </w:t>
      </w:r>
      <w:r w:rsidRPr="00BC7982">
        <w:rPr>
          <w:sz w:val="24"/>
          <w:szCs w:val="24"/>
        </w:rPr>
        <w:t xml:space="preserve">and probably a reduced </w:t>
      </w:r>
      <w:r>
        <w:rPr>
          <w:sz w:val="24"/>
          <w:szCs w:val="24"/>
        </w:rPr>
        <w:t>risk of ischemia</w:t>
      </w:r>
      <w:r w:rsidRPr="00BC7982">
        <w:rPr>
          <w:sz w:val="24"/>
          <w:szCs w:val="24"/>
        </w:rPr>
        <w:t xml:space="preserve"> and heart failure related death</w:t>
      </w:r>
      <w:r>
        <w:rPr>
          <w:sz w:val="24"/>
          <w:szCs w:val="24"/>
        </w:rPr>
        <w:t xml:space="preserve">s, are the responsible mechanisms. Given the limitations of observational research, prospective randomized interventional trials are required to clarify the optimal range of BMI in those with ACS. </w:t>
      </w:r>
      <w:r>
        <w:rPr>
          <w:sz w:val="24"/>
          <w:szCs w:val="24"/>
        </w:rPr>
        <w:br w:type="page"/>
      </w:r>
    </w:p>
    <w:p w:rsidR="006F2EE6" w:rsidRPr="00A500CB" w:rsidRDefault="006F2EE6" w:rsidP="00081DC9">
      <w:pPr>
        <w:spacing w:line="480" w:lineRule="auto"/>
        <w:rPr>
          <w:sz w:val="24"/>
          <w:szCs w:val="24"/>
        </w:rPr>
      </w:pPr>
      <w:r w:rsidRPr="00A500CB">
        <w:rPr>
          <w:sz w:val="24"/>
          <w:szCs w:val="24"/>
        </w:rPr>
        <w:lastRenderedPageBreak/>
        <w:t>ABBREVIATIONS</w:t>
      </w:r>
    </w:p>
    <w:tbl>
      <w:tblPr>
        <w:tblStyle w:val="Tablaconcuadrcula"/>
        <w:tblW w:w="0" w:type="auto"/>
        <w:tblLook w:val="04A0" w:firstRow="1" w:lastRow="0" w:firstColumn="1" w:lastColumn="0" w:noHBand="0" w:noVBand="1"/>
      </w:tblPr>
      <w:tblGrid>
        <w:gridCol w:w="5654"/>
        <w:gridCol w:w="2041"/>
      </w:tblGrid>
      <w:tr w:rsidR="006F2EE6" w:rsidRPr="00063981" w:rsidTr="00AC5A07">
        <w:trPr>
          <w:trHeight w:val="671"/>
        </w:trPr>
        <w:tc>
          <w:tcPr>
            <w:tcW w:w="5654" w:type="dxa"/>
            <w:vAlign w:val="center"/>
          </w:tcPr>
          <w:p w:rsidR="006F2EE6" w:rsidRPr="00081DC9" w:rsidRDefault="006F2EE6" w:rsidP="00081DC9">
            <w:pPr>
              <w:rPr>
                <w:b/>
              </w:rPr>
            </w:pPr>
            <w:r w:rsidRPr="00081DC9">
              <w:rPr>
                <w:b/>
              </w:rPr>
              <w:t>Name</w:t>
            </w:r>
          </w:p>
        </w:tc>
        <w:tc>
          <w:tcPr>
            <w:tcW w:w="2041" w:type="dxa"/>
            <w:vAlign w:val="center"/>
          </w:tcPr>
          <w:p w:rsidR="006F2EE6" w:rsidRPr="00B36BE7" w:rsidRDefault="006F2EE6" w:rsidP="00AC5A07">
            <w:pPr>
              <w:jc w:val="center"/>
              <w:rPr>
                <w:b/>
                <w:sz w:val="24"/>
              </w:rPr>
            </w:pPr>
            <w:r w:rsidRPr="00B36BE7">
              <w:rPr>
                <w:b/>
                <w:sz w:val="24"/>
              </w:rPr>
              <w:t>Abbreviation</w:t>
            </w:r>
          </w:p>
        </w:tc>
      </w:tr>
      <w:tr w:rsidR="0052196B" w:rsidRPr="00063981" w:rsidTr="00AC5A07">
        <w:trPr>
          <w:trHeight w:val="579"/>
        </w:trPr>
        <w:tc>
          <w:tcPr>
            <w:tcW w:w="5654" w:type="dxa"/>
            <w:vAlign w:val="center"/>
          </w:tcPr>
          <w:p w:rsidR="0052196B" w:rsidRPr="00A87959" w:rsidRDefault="0052196B" w:rsidP="00081DC9">
            <w:r w:rsidRPr="00A87959">
              <w:t>Acute coronary syndrome</w:t>
            </w:r>
          </w:p>
        </w:tc>
        <w:tc>
          <w:tcPr>
            <w:tcW w:w="2041" w:type="dxa"/>
            <w:vAlign w:val="center"/>
          </w:tcPr>
          <w:p w:rsidR="0052196B" w:rsidRPr="00A87959" w:rsidRDefault="0052196B" w:rsidP="00AC5A07">
            <w:pPr>
              <w:jc w:val="center"/>
            </w:pPr>
            <w:r w:rsidRPr="00A87959">
              <w:t>ACS</w:t>
            </w:r>
          </w:p>
        </w:tc>
      </w:tr>
      <w:tr w:rsidR="0052196B" w:rsidRPr="00063981" w:rsidTr="00AC5A07">
        <w:trPr>
          <w:trHeight w:val="610"/>
        </w:trPr>
        <w:tc>
          <w:tcPr>
            <w:tcW w:w="5654" w:type="dxa"/>
            <w:vAlign w:val="center"/>
          </w:tcPr>
          <w:p w:rsidR="0052196B" w:rsidRPr="00A87959" w:rsidRDefault="0052196B" w:rsidP="00081DC9">
            <w:r w:rsidRPr="00A87959">
              <w:t>Acute myocardial infarction</w:t>
            </w:r>
          </w:p>
        </w:tc>
        <w:tc>
          <w:tcPr>
            <w:tcW w:w="2041" w:type="dxa"/>
            <w:vAlign w:val="center"/>
          </w:tcPr>
          <w:p w:rsidR="0052196B" w:rsidRPr="00A87959" w:rsidRDefault="0052196B" w:rsidP="00AC5A07">
            <w:pPr>
              <w:jc w:val="center"/>
            </w:pPr>
            <w:r w:rsidRPr="00A87959">
              <w:t>AMI</w:t>
            </w:r>
          </w:p>
        </w:tc>
      </w:tr>
      <w:tr w:rsidR="0052196B" w:rsidRPr="00063981" w:rsidTr="00AC5A07">
        <w:trPr>
          <w:trHeight w:val="579"/>
        </w:trPr>
        <w:tc>
          <w:tcPr>
            <w:tcW w:w="5654" w:type="dxa"/>
            <w:vAlign w:val="center"/>
          </w:tcPr>
          <w:p w:rsidR="0052196B" w:rsidRPr="00A87959" w:rsidRDefault="0052196B" w:rsidP="00081DC9">
            <w:r w:rsidRPr="00A87959">
              <w:t>B</w:t>
            </w:r>
            <w:r>
              <w:t>ody mass</w:t>
            </w:r>
            <w:r w:rsidRPr="00A87959">
              <w:t xml:space="preserve"> index</w:t>
            </w:r>
          </w:p>
        </w:tc>
        <w:tc>
          <w:tcPr>
            <w:tcW w:w="2041" w:type="dxa"/>
            <w:vAlign w:val="center"/>
          </w:tcPr>
          <w:p w:rsidR="0052196B" w:rsidRPr="00A87959" w:rsidRDefault="0052196B" w:rsidP="00AC5A07">
            <w:pPr>
              <w:jc w:val="center"/>
            </w:pPr>
            <w:r w:rsidRPr="00A87959">
              <w:t>BMI</w:t>
            </w:r>
          </w:p>
        </w:tc>
      </w:tr>
      <w:tr w:rsidR="0052196B" w:rsidRPr="00063981" w:rsidTr="00AC5A07">
        <w:trPr>
          <w:trHeight w:val="610"/>
        </w:trPr>
        <w:tc>
          <w:tcPr>
            <w:tcW w:w="5654" w:type="dxa"/>
            <w:vAlign w:val="center"/>
          </w:tcPr>
          <w:p w:rsidR="0052196B" w:rsidRPr="00A87959" w:rsidRDefault="0052196B" w:rsidP="00081DC9">
            <w:r w:rsidRPr="00A87959">
              <w:t>Cardiovascular disease</w:t>
            </w:r>
          </w:p>
        </w:tc>
        <w:tc>
          <w:tcPr>
            <w:tcW w:w="2041" w:type="dxa"/>
            <w:vAlign w:val="center"/>
          </w:tcPr>
          <w:p w:rsidR="0052196B" w:rsidRPr="00A87959" w:rsidRDefault="0052196B" w:rsidP="00AC5A07">
            <w:pPr>
              <w:jc w:val="center"/>
            </w:pPr>
            <w:r w:rsidRPr="00A87959">
              <w:t>CVD</w:t>
            </w:r>
          </w:p>
        </w:tc>
      </w:tr>
      <w:tr w:rsidR="0052196B" w:rsidRPr="00063981" w:rsidTr="00AC5A07">
        <w:trPr>
          <w:trHeight w:val="579"/>
        </w:trPr>
        <w:tc>
          <w:tcPr>
            <w:tcW w:w="5654" w:type="dxa"/>
            <w:vAlign w:val="center"/>
          </w:tcPr>
          <w:p w:rsidR="0052196B" w:rsidRPr="00A87959" w:rsidRDefault="0052196B" w:rsidP="00081DC9">
            <w:r w:rsidRPr="00A87959">
              <w:t>Confidence interval</w:t>
            </w:r>
          </w:p>
        </w:tc>
        <w:tc>
          <w:tcPr>
            <w:tcW w:w="2041" w:type="dxa"/>
            <w:vAlign w:val="center"/>
          </w:tcPr>
          <w:p w:rsidR="0052196B" w:rsidRPr="00A87959" w:rsidRDefault="0052196B" w:rsidP="00AC5A07">
            <w:pPr>
              <w:jc w:val="center"/>
            </w:pPr>
            <w:r w:rsidRPr="00A87959">
              <w:t>CI</w:t>
            </w:r>
          </w:p>
        </w:tc>
      </w:tr>
      <w:tr w:rsidR="0052196B" w:rsidRPr="00063981" w:rsidTr="00AC5A07">
        <w:trPr>
          <w:trHeight w:val="610"/>
        </w:trPr>
        <w:tc>
          <w:tcPr>
            <w:tcW w:w="5654" w:type="dxa"/>
            <w:vAlign w:val="center"/>
          </w:tcPr>
          <w:p w:rsidR="0052196B" w:rsidRPr="00A87959" w:rsidRDefault="0052196B" w:rsidP="00081DC9">
            <w:r w:rsidRPr="00A87959">
              <w:t>Coronary heart disease</w:t>
            </w:r>
          </w:p>
        </w:tc>
        <w:tc>
          <w:tcPr>
            <w:tcW w:w="2041" w:type="dxa"/>
            <w:vAlign w:val="center"/>
          </w:tcPr>
          <w:p w:rsidR="0052196B" w:rsidRPr="00A87959" w:rsidRDefault="0052196B" w:rsidP="00AC5A07">
            <w:pPr>
              <w:jc w:val="center"/>
            </w:pPr>
            <w:r w:rsidRPr="00A87959">
              <w:t>CHD</w:t>
            </w:r>
          </w:p>
        </w:tc>
      </w:tr>
      <w:tr w:rsidR="0052196B" w:rsidRPr="00063981" w:rsidTr="00AC5A07">
        <w:trPr>
          <w:trHeight w:val="579"/>
        </w:trPr>
        <w:tc>
          <w:tcPr>
            <w:tcW w:w="5654" w:type="dxa"/>
            <w:vAlign w:val="center"/>
          </w:tcPr>
          <w:p w:rsidR="0052196B" w:rsidRPr="00A87959" w:rsidRDefault="0052196B" w:rsidP="00081DC9">
            <w:r w:rsidRPr="00A87959">
              <w:t>Hazard ratio</w:t>
            </w:r>
          </w:p>
        </w:tc>
        <w:tc>
          <w:tcPr>
            <w:tcW w:w="2041" w:type="dxa"/>
            <w:vAlign w:val="center"/>
          </w:tcPr>
          <w:p w:rsidR="0052196B" w:rsidRPr="00A87959" w:rsidRDefault="0052196B" w:rsidP="00AC5A07">
            <w:pPr>
              <w:jc w:val="center"/>
            </w:pPr>
            <w:r w:rsidRPr="00A87959">
              <w:t>HR</w:t>
            </w:r>
          </w:p>
        </w:tc>
      </w:tr>
      <w:tr w:rsidR="0052196B" w:rsidRPr="00063981" w:rsidTr="00AC5A07">
        <w:trPr>
          <w:trHeight w:val="610"/>
        </w:trPr>
        <w:tc>
          <w:tcPr>
            <w:tcW w:w="5654" w:type="dxa"/>
            <w:vAlign w:val="center"/>
          </w:tcPr>
          <w:p w:rsidR="0052196B" w:rsidRPr="00A87959" w:rsidRDefault="0052196B" w:rsidP="00081DC9">
            <w:r w:rsidRPr="00A87959">
              <w:t>Non-ST-segment elevation myocardial infarction</w:t>
            </w:r>
          </w:p>
        </w:tc>
        <w:tc>
          <w:tcPr>
            <w:tcW w:w="2041" w:type="dxa"/>
            <w:vAlign w:val="center"/>
          </w:tcPr>
          <w:p w:rsidR="0052196B" w:rsidRPr="00A87959" w:rsidRDefault="0052196B" w:rsidP="00AC5A07">
            <w:pPr>
              <w:jc w:val="center"/>
            </w:pPr>
            <w:r w:rsidRPr="00A87959">
              <w:t>NSTEMI</w:t>
            </w:r>
          </w:p>
        </w:tc>
      </w:tr>
      <w:tr w:rsidR="0052196B" w:rsidRPr="00063981" w:rsidTr="00AC5A07">
        <w:trPr>
          <w:trHeight w:val="579"/>
        </w:trPr>
        <w:tc>
          <w:tcPr>
            <w:tcW w:w="5654" w:type="dxa"/>
            <w:vAlign w:val="center"/>
          </w:tcPr>
          <w:p w:rsidR="0052196B" w:rsidRPr="00A87959" w:rsidRDefault="0052196B" w:rsidP="00081DC9">
            <w:r w:rsidRPr="00A87959">
              <w:t>Odds ratio</w:t>
            </w:r>
          </w:p>
        </w:tc>
        <w:tc>
          <w:tcPr>
            <w:tcW w:w="2041" w:type="dxa"/>
            <w:vAlign w:val="center"/>
          </w:tcPr>
          <w:p w:rsidR="0052196B" w:rsidRPr="00A87959" w:rsidRDefault="0052196B" w:rsidP="00AC5A07">
            <w:pPr>
              <w:jc w:val="center"/>
            </w:pPr>
            <w:r w:rsidRPr="00A87959">
              <w:t>OR</w:t>
            </w:r>
          </w:p>
        </w:tc>
      </w:tr>
      <w:tr w:rsidR="0052196B" w:rsidRPr="00063981" w:rsidTr="00AC5A07">
        <w:trPr>
          <w:trHeight w:val="610"/>
        </w:trPr>
        <w:tc>
          <w:tcPr>
            <w:tcW w:w="5654" w:type="dxa"/>
            <w:vAlign w:val="center"/>
          </w:tcPr>
          <w:p w:rsidR="0052196B" w:rsidRPr="00A87959" w:rsidRDefault="0052196B" w:rsidP="00081DC9">
            <w:r w:rsidRPr="00A87959">
              <w:t>Randomized controlled trial</w:t>
            </w:r>
          </w:p>
        </w:tc>
        <w:tc>
          <w:tcPr>
            <w:tcW w:w="2041" w:type="dxa"/>
            <w:vAlign w:val="center"/>
          </w:tcPr>
          <w:p w:rsidR="0052196B" w:rsidRPr="00A87959" w:rsidRDefault="0052196B" w:rsidP="00AC5A07">
            <w:pPr>
              <w:jc w:val="center"/>
            </w:pPr>
            <w:r w:rsidRPr="00A87959">
              <w:t>RCT</w:t>
            </w:r>
          </w:p>
        </w:tc>
      </w:tr>
      <w:tr w:rsidR="0052196B" w:rsidRPr="00063981" w:rsidTr="00AC5A07">
        <w:trPr>
          <w:trHeight w:val="579"/>
        </w:trPr>
        <w:tc>
          <w:tcPr>
            <w:tcW w:w="5654" w:type="dxa"/>
            <w:vAlign w:val="center"/>
          </w:tcPr>
          <w:p w:rsidR="0052196B" w:rsidRPr="00A87959" w:rsidRDefault="0052196B" w:rsidP="00081DC9">
            <w:r w:rsidRPr="00A87959">
              <w:t>ST-segment elevation myocardial infarction</w:t>
            </w:r>
          </w:p>
        </w:tc>
        <w:tc>
          <w:tcPr>
            <w:tcW w:w="2041" w:type="dxa"/>
            <w:vAlign w:val="center"/>
          </w:tcPr>
          <w:p w:rsidR="0052196B" w:rsidRPr="00A87959" w:rsidRDefault="0052196B" w:rsidP="00AC5A07">
            <w:pPr>
              <w:jc w:val="center"/>
            </w:pPr>
            <w:r w:rsidRPr="00A87959">
              <w:t>STEMI</w:t>
            </w:r>
          </w:p>
        </w:tc>
      </w:tr>
      <w:tr w:rsidR="0052196B" w:rsidRPr="00063981" w:rsidTr="00AC5A07">
        <w:trPr>
          <w:trHeight w:val="639"/>
        </w:trPr>
        <w:tc>
          <w:tcPr>
            <w:tcW w:w="5654" w:type="dxa"/>
            <w:vAlign w:val="center"/>
          </w:tcPr>
          <w:p w:rsidR="0052196B" w:rsidRPr="00A87959" w:rsidRDefault="0052196B" w:rsidP="00081DC9">
            <w:r w:rsidRPr="00A87959">
              <w:t>Unstable angina</w:t>
            </w:r>
          </w:p>
        </w:tc>
        <w:tc>
          <w:tcPr>
            <w:tcW w:w="2041" w:type="dxa"/>
            <w:vAlign w:val="center"/>
          </w:tcPr>
          <w:p w:rsidR="0052196B" w:rsidRDefault="0052196B" w:rsidP="00AC5A07">
            <w:pPr>
              <w:jc w:val="center"/>
            </w:pPr>
            <w:r w:rsidRPr="00A87959">
              <w:t>UA</w:t>
            </w:r>
          </w:p>
        </w:tc>
      </w:tr>
    </w:tbl>
    <w:p w:rsidR="006F2EE6" w:rsidRPr="00A500CB" w:rsidRDefault="006F2EE6" w:rsidP="00081DC9">
      <w:pPr>
        <w:spacing w:line="480" w:lineRule="auto"/>
        <w:rPr>
          <w:b/>
          <w:sz w:val="24"/>
          <w:szCs w:val="24"/>
        </w:rPr>
      </w:pPr>
      <w:r>
        <w:rPr>
          <w:sz w:val="24"/>
          <w:szCs w:val="24"/>
        </w:rPr>
        <w:br w:type="page"/>
      </w:r>
    </w:p>
    <w:p w:rsidR="006F2EE6" w:rsidRDefault="006F2EE6" w:rsidP="00081DC9">
      <w:pPr>
        <w:spacing w:line="480" w:lineRule="auto"/>
        <w:rPr>
          <w:sz w:val="24"/>
          <w:szCs w:val="24"/>
        </w:rPr>
      </w:pPr>
      <w:r>
        <w:rPr>
          <w:sz w:val="24"/>
          <w:szCs w:val="24"/>
        </w:rPr>
        <w:lastRenderedPageBreak/>
        <w:t>TABLE OF CONTENTS</w:t>
      </w:r>
    </w:p>
    <w:p w:rsidR="006F2EE6" w:rsidRPr="00B63321" w:rsidRDefault="006F2EE6" w:rsidP="0052196B">
      <w:pPr>
        <w:rPr>
          <w:b/>
          <w:sz w:val="24"/>
        </w:rPr>
      </w:pPr>
      <w:r w:rsidRPr="00B63321">
        <w:rPr>
          <w:b/>
          <w:sz w:val="24"/>
        </w:rPr>
        <w:t>Chapter 1: Introduction and review of the literature</w:t>
      </w:r>
      <w:r w:rsidR="0052196B">
        <w:rPr>
          <w:b/>
          <w:sz w:val="24"/>
          <w:szCs w:val="24"/>
        </w:rPr>
        <w:t>………………………………………….</w:t>
      </w:r>
      <w:r>
        <w:rPr>
          <w:b/>
          <w:sz w:val="24"/>
          <w:szCs w:val="24"/>
        </w:rPr>
        <w:t>1</w:t>
      </w:r>
    </w:p>
    <w:p w:rsidR="006F2EE6" w:rsidRDefault="006F2EE6" w:rsidP="0052196B">
      <w:pPr>
        <w:pStyle w:val="Prrafodelista"/>
        <w:numPr>
          <w:ilvl w:val="0"/>
          <w:numId w:val="5"/>
        </w:numPr>
        <w:rPr>
          <w:sz w:val="24"/>
          <w:szCs w:val="24"/>
        </w:rPr>
      </w:pPr>
      <w:r w:rsidRPr="008D57D3">
        <w:rPr>
          <w:sz w:val="24"/>
          <w:szCs w:val="24"/>
        </w:rPr>
        <w:t>Cardiovascular disease burden and risk factors</w:t>
      </w:r>
    </w:p>
    <w:p w:rsidR="006F2EE6" w:rsidRDefault="006F2EE6" w:rsidP="0052196B">
      <w:pPr>
        <w:pStyle w:val="Prrafodelista"/>
        <w:numPr>
          <w:ilvl w:val="0"/>
          <w:numId w:val="5"/>
        </w:numPr>
        <w:rPr>
          <w:sz w:val="24"/>
          <w:szCs w:val="24"/>
        </w:rPr>
      </w:pPr>
      <w:r w:rsidRPr="008D57D3">
        <w:rPr>
          <w:sz w:val="24"/>
          <w:szCs w:val="24"/>
        </w:rPr>
        <w:t>Obesity definition</w:t>
      </w:r>
    </w:p>
    <w:p w:rsidR="006F2EE6" w:rsidRDefault="006F2EE6" w:rsidP="0052196B">
      <w:pPr>
        <w:pStyle w:val="Prrafodelista"/>
        <w:numPr>
          <w:ilvl w:val="0"/>
          <w:numId w:val="5"/>
        </w:numPr>
        <w:rPr>
          <w:sz w:val="24"/>
          <w:szCs w:val="24"/>
        </w:rPr>
      </w:pPr>
      <w:r w:rsidRPr="008D57D3">
        <w:rPr>
          <w:sz w:val="24"/>
          <w:szCs w:val="24"/>
        </w:rPr>
        <w:t xml:space="preserve">Obesity </w:t>
      </w:r>
      <w:r>
        <w:rPr>
          <w:noProof/>
          <w:sz w:val="24"/>
          <w:szCs w:val="24"/>
        </w:rPr>
        <w:t>E</w:t>
      </w:r>
      <w:r w:rsidRPr="006527C7">
        <w:rPr>
          <w:noProof/>
          <w:sz w:val="24"/>
          <w:szCs w:val="24"/>
        </w:rPr>
        <w:t>pidemiology</w:t>
      </w:r>
    </w:p>
    <w:p w:rsidR="006F2EE6" w:rsidRPr="00063981" w:rsidRDefault="006F2EE6" w:rsidP="0052196B">
      <w:pPr>
        <w:pStyle w:val="Prrafodelista"/>
        <w:numPr>
          <w:ilvl w:val="0"/>
          <w:numId w:val="5"/>
        </w:numPr>
        <w:rPr>
          <w:sz w:val="24"/>
          <w:szCs w:val="24"/>
        </w:rPr>
      </w:pPr>
      <w:r w:rsidRPr="00063981">
        <w:rPr>
          <w:sz w:val="24"/>
          <w:szCs w:val="24"/>
        </w:rPr>
        <w:t>Body</w:t>
      </w:r>
      <w:r w:rsidR="0052196B">
        <w:rPr>
          <w:sz w:val="24"/>
          <w:szCs w:val="24"/>
        </w:rPr>
        <w:t xml:space="preserve"> </w:t>
      </w:r>
      <w:r w:rsidRPr="00063981">
        <w:rPr>
          <w:sz w:val="24"/>
          <w:szCs w:val="24"/>
        </w:rPr>
        <w:t>mass index and primary cardiovascular prevention</w:t>
      </w:r>
    </w:p>
    <w:p w:rsidR="006F2EE6" w:rsidRPr="00063981" w:rsidRDefault="0052196B" w:rsidP="0052196B">
      <w:pPr>
        <w:pStyle w:val="Prrafodelista"/>
        <w:numPr>
          <w:ilvl w:val="0"/>
          <w:numId w:val="5"/>
        </w:numPr>
        <w:rPr>
          <w:sz w:val="24"/>
          <w:szCs w:val="24"/>
        </w:rPr>
      </w:pPr>
      <w:r>
        <w:rPr>
          <w:sz w:val="24"/>
          <w:szCs w:val="24"/>
        </w:rPr>
        <w:t xml:space="preserve">Body </w:t>
      </w:r>
      <w:r w:rsidR="006F2EE6" w:rsidRPr="008D57D3">
        <w:rPr>
          <w:sz w:val="24"/>
          <w:szCs w:val="24"/>
        </w:rPr>
        <w:t xml:space="preserve">mass index and </w:t>
      </w:r>
      <w:r w:rsidR="006F2EE6" w:rsidRPr="006527C7">
        <w:rPr>
          <w:noProof/>
          <w:sz w:val="24"/>
          <w:szCs w:val="24"/>
        </w:rPr>
        <w:t>secondary cardiovascular prevention</w:t>
      </w:r>
      <w:r w:rsidR="006F2EE6" w:rsidRPr="008D57D3">
        <w:rPr>
          <w:sz w:val="24"/>
          <w:szCs w:val="24"/>
        </w:rPr>
        <w:t xml:space="preserve">: “The obesity </w:t>
      </w:r>
      <w:r w:rsidR="006F2EE6" w:rsidRPr="006527C7">
        <w:rPr>
          <w:noProof/>
          <w:sz w:val="24"/>
          <w:szCs w:val="24"/>
        </w:rPr>
        <w:t>paradox”</w:t>
      </w:r>
    </w:p>
    <w:p w:rsidR="006F2EE6" w:rsidRDefault="006F2EE6" w:rsidP="0052196B">
      <w:pPr>
        <w:pStyle w:val="Prrafodelista"/>
        <w:numPr>
          <w:ilvl w:val="0"/>
          <w:numId w:val="5"/>
        </w:numPr>
        <w:rPr>
          <w:sz w:val="24"/>
          <w:szCs w:val="24"/>
        </w:rPr>
      </w:pPr>
      <w:r>
        <w:rPr>
          <w:sz w:val="24"/>
          <w:szCs w:val="24"/>
        </w:rPr>
        <w:t>Literature review</w:t>
      </w:r>
    </w:p>
    <w:p w:rsidR="006F2EE6" w:rsidRDefault="006F2EE6" w:rsidP="0052196B">
      <w:pPr>
        <w:pStyle w:val="Prrafodelista"/>
        <w:numPr>
          <w:ilvl w:val="0"/>
          <w:numId w:val="5"/>
        </w:numPr>
        <w:rPr>
          <w:sz w:val="24"/>
          <w:szCs w:val="24"/>
        </w:rPr>
      </w:pPr>
      <w:r>
        <w:rPr>
          <w:sz w:val="24"/>
          <w:szCs w:val="24"/>
        </w:rPr>
        <w:t xml:space="preserve">Rationale </w:t>
      </w:r>
    </w:p>
    <w:p w:rsidR="006F2EE6" w:rsidRDefault="006F2EE6" w:rsidP="0052196B">
      <w:pPr>
        <w:pStyle w:val="Prrafodelista"/>
        <w:numPr>
          <w:ilvl w:val="0"/>
          <w:numId w:val="5"/>
        </w:numPr>
        <w:rPr>
          <w:sz w:val="24"/>
          <w:szCs w:val="24"/>
        </w:rPr>
      </w:pPr>
      <w:r>
        <w:rPr>
          <w:sz w:val="24"/>
          <w:szCs w:val="24"/>
        </w:rPr>
        <w:t>Research question</w:t>
      </w:r>
    </w:p>
    <w:p w:rsidR="006F2EE6" w:rsidRPr="00A500CB" w:rsidRDefault="006F2EE6" w:rsidP="0052196B">
      <w:pPr>
        <w:pStyle w:val="Prrafodelista"/>
        <w:numPr>
          <w:ilvl w:val="0"/>
          <w:numId w:val="5"/>
        </w:numPr>
        <w:rPr>
          <w:sz w:val="24"/>
          <w:szCs w:val="24"/>
        </w:rPr>
      </w:pPr>
      <w:r>
        <w:rPr>
          <w:sz w:val="24"/>
          <w:szCs w:val="24"/>
        </w:rPr>
        <w:t>Thesis objectives</w:t>
      </w:r>
    </w:p>
    <w:p w:rsidR="006F2EE6" w:rsidRPr="00B63321" w:rsidRDefault="006F2EE6" w:rsidP="0052196B">
      <w:pPr>
        <w:pStyle w:val="Sinespaciado"/>
        <w:spacing w:line="276" w:lineRule="auto"/>
        <w:rPr>
          <w:b/>
          <w:sz w:val="24"/>
        </w:rPr>
      </w:pPr>
      <w:r w:rsidRPr="00B63321">
        <w:rPr>
          <w:b/>
          <w:sz w:val="24"/>
        </w:rPr>
        <w:t>Chapter 2: Systematic review, meta-analysis and limitations of the available evidence</w:t>
      </w:r>
      <w:r>
        <w:rPr>
          <w:b/>
          <w:sz w:val="24"/>
          <w:szCs w:val="24"/>
        </w:rPr>
        <w:t>……</w:t>
      </w:r>
      <w:r w:rsidR="0052196B">
        <w:rPr>
          <w:b/>
          <w:sz w:val="24"/>
          <w:szCs w:val="24"/>
        </w:rPr>
        <w:t>……………………………………………………………………………………………………….</w:t>
      </w:r>
      <w:r>
        <w:rPr>
          <w:b/>
          <w:sz w:val="24"/>
          <w:szCs w:val="24"/>
        </w:rPr>
        <w:t>18</w:t>
      </w:r>
    </w:p>
    <w:p w:rsidR="006F2EE6" w:rsidRDefault="006F2EE6" w:rsidP="0052196B">
      <w:pPr>
        <w:pStyle w:val="Prrafodelista"/>
        <w:numPr>
          <w:ilvl w:val="0"/>
          <w:numId w:val="5"/>
        </w:numPr>
        <w:rPr>
          <w:sz w:val="24"/>
          <w:szCs w:val="24"/>
        </w:rPr>
      </w:pPr>
      <w:r>
        <w:rPr>
          <w:sz w:val="24"/>
          <w:szCs w:val="24"/>
        </w:rPr>
        <w:t xml:space="preserve">Chapter </w:t>
      </w:r>
      <w:r>
        <w:rPr>
          <w:noProof/>
          <w:sz w:val="24"/>
          <w:szCs w:val="24"/>
        </w:rPr>
        <w:t>I</w:t>
      </w:r>
      <w:r w:rsidRPr="007E2A5E">
        <w:rPr>
          <w:noProof/>
          <w:sz w:val="24"/>
          <w:szCs w:val="24"/>
        </w:rPr>
        <w:t>ntroduction</w:t>
      </w:r>
    </w:p>
    <w:p w:rsidR="006F2EE6" w:rsidRPr="00063981" w:rsidRDefault="006F2EE6" w:rsidP="0052196B">
      <w:pPr>
        <w:pStyle w:val="Prrafodelista"/>
        <w:numPr>
          <w:ilvl w:val="0"/>
          <w:numId w:val="5"/>
        </w:numPr>
        <w:rPr>
          <w:sz w:val="24"/>
          <w:szCs w:val="24"/>
        </w:rPr>
      </w:pPr>
      <w:r w:rsidRPr="00063981">
        <w:rPr>
          <w:sz w:val="24"/>
          <w:szCs w:val="24"/>
        </w:rPr>
        <w:t>Systematic review</w:t>
      </w:r>
      <w:r>
        <w:rPr>
          <w:sz w:val="24"/>
          <w:szCs w:val="24"/>
        </w:rPr>
        <w:t xml:space="preserve"> and meta-analysis</w:t>
      </w:r>
    </w:p>
    <w:p w:rsidR="006F2EE6" w:rsidRPr="00063981" w:rsidRDefault="006F2EE6" w:rsidP="0052196B">
      <w:pPr>
        <w:pStyle w:val="Prrafodelista"/>
        <w:numPr>
          <w:ilvl w:val="1"/>
          <w:numId w:val="5"/>
        </w:numPr>
        <w:rPr>
          <w:sz w:val="24"/>
          <w:szCs w:val="24"/>
        </w:rPr>
      </w:pPr>
      <w:r w:rsidRPr="00063981">
        <w:rPr>
          <w:sz w:val="24"/>
          <w:szCs w:val="24"/>
        </w:rPr>
        <w:t>Methods</w:t>
      </w:r>
    </w:p>
    <w:p w:rsidR="006F2EE6" w:rsidRPr="00063981" w:rsidRDefault="006F2EE6" w:rsidP="0052196B">
      <w:pPr>
        <w:pStyle w:val="Prrafodelista"/>
        <w:numPr>
          <w:ilvl w:val="1"/>
          <w:numId w:val="5"/>
        </w:numPr>
        <w:rPr>
          <w:sz w:val="24"/>
          <w:szCs w:val="24"/>
        </w:rPr>
      </w:pPr>
      <w:r w:rsidRPr="00063981">
        <w:rPr>
          <w:sz w:val="24"/>
          <w:szCs w:val="24"/>
        </w:rPr>
        <w:t>Results</w:t>
      </w:r>
    </w:p>
    <w:p w:rsidR="006F2EE6" w:rsidRPr="00063981" w:rsidRDefault="006F2EE6" w:rsidP="0052196B">
      <w:pPr>
        <w:pStyle w:val="Prrafodelista"/>
        <w:numPr>
          <w:ilvl w:val="1"/>
          <w:numId w:val="5"/>
        </w:numPr>
        <w:rPr>
          <w:sz w:val="24"/>
          <w:szCs w:val="24"/>
        </w:rPr>
      </w:pPr>
      <w:r w:rsidRPr="00063981">
        <w:rPr>
          <w:sz w:val="24"/>
          <w:szCs w:val="24"/>
        </w:rPr>
        <w:t>Limitations</w:t>
      </w:r>
    </w:p>
    <w:p w:rsidR="006F2EE6" w:rsidRPr="00063981" w:rsidRDefault="006F2EE6" w:rsidP="0052196B">
      <w:pPr>
        <w:pStyle w:val="Prrafodelista"/>
        <w:numPr>
          <w:ilvl w:val="1"/>
          <w:numId w:val="5"/>
        </w:numPr>
        <w:rPr>
          <w:sz w:val="24"/>
          <w:szCs w:val="24"/>
        </w:rPr>
      </w:pPr>
      <w:r w:rsidRPr="00063981">
        <w:rPr>
          <w:sz w:val="24"/>
          <w:szCs w:val="24"/>
        </w:rPr>
        <w:t>Conclusions</w:t>
      </w:r>
    </w:p>
    <w:p w:rsidR="006F2EE6" w:rsidRPr="00063981" w:rsidRDefault="006F2EE6" w:rsidP="0052196B">
      <w:pPr>
        <w:pStyle w:val="Prrafodelista"/>
        <w:numPr>
          <w:ilvl w:val="0"/>
          <w:numId w:val="5"/>
        </w:numPr>
        <w:rPr>
          <w:sz w:val="24"/>
          <w:szCs w:val="24"/>
        </w:rPr>
      </w:pPr>
      <w:r w:rsidRPr="00063981">
        <w:rPr>
          <w:sz w:val="24"/>
          <w:szCs w:val="24"/>
        </w:rPr>
        <w:t>Limitations of current evidence</w:t>
      </w:r>
    </w:p>
    <w:p w:rsidR="006F2EE6" w:rsidRPr="00063981" w:rsidRDefault="006F2EE6" w:rsidP="0052196B">
      <w:pPr>
        <w:pStyle w:val="Prrafodelista"/>
        <w:numPr>
          <w:ilvl w:val="1"/>
          <w:numId w:val="5"/>
        </w:numPr>
        <w:rPr>
          <w:sz w:val="24"/>
          <w:szCs w:val="24"/>
        </w:rPr>
      </w:pPr>
      <w:r w:rsidRPr="00063981">
        <w:rPr>
          <w:sz w:val="24"/>
          <w:szCs w:val="24"/>
        </w:rPr>
        <w:t>Limitations of available observational studies</w:t>
      </w:r>
    </w:p>
    <w:p w:rsidR="006F2EE6" w:rsidRPr="00063981" w:rsidRDefault="006F2EE6" w:rsidP="0052196B">
      <w:pPr>
        <w:pStyle w:val="Prrafodelista"/>
        <w:numPr>
          <w:ilvl w:val="1"/>
          <w:numId w:val="5"/>
        </w:numPr>
        <w:rPr>
          <w:sz w:val="24"/>
          <w:szCs w:val="24"/>
        </w:rPr>
      </w:pPr>
      <w:r w:rsidRPr="00063981">
        <w:rPr>
          <w:sz w:val="24"/>
          <w:szCs w:val="24"/>
        </w:rPr>
        <w:t>Limitations of systematic reviews and meta-analyses on this topic</w:t>
      </w:r>
    </w:p>
    <w:p w:rsidR="006F2EE6" w:rsidRPr="00A500CB" w:rsidRDefault="006F2EE6" w:rsidP="0052196B">
      <w:pPr>
        <w:pStyle w:val="Prrafodelista"/>
        <w:numPr>
          <w:ilvl w:val="0"/>
          <w:numId w:val="5"/>
        </w:numPr>
        <w:rPr>
          <w:b/>
          <w:sz w:val="24"/>
          <w:szCs w:val="24"/>
        </w:rPr>
      </w:pPr>
      <w:r>
        <w:rPr>
          <w:sz w:val="24"/>
          <w:szCs w:val="24"/>
        </w:rPr>
        <w:t>Chapter summary</w:t>
      </w:r>
    </w:p>
    <w:p w:rsidR="006F2EE6" w:rsidRPr="00B63321" w:rsidRDefault="006F2EE6" w:rsidP="0052196B">
      <w:pPr>
        <w:pStyle w:val="Sinespaciado"/>
        <w:spacing w:line="276" w:lineRule="auto"/>
        <w:rPr>
          <w:b/>
          <w:sz w:val="24"/>
        </w:rPr>
      </w:pPr>
      <w:r w:rsidRPr="00B63321">
        <w:rPr>
          <w:b/>
          <w:sz w:val="24"/>
        </w:rPr>
        <w:t>Chapter 3: Indivi</w:t>
      </w:r>
      <w:r w:rsidR="0052196B">
        <w:rPr>
          <w:b/>
          <w:sz w:val="24"/>
        </w:rPr>
        <w:t xml:space="preserve">dual patient data meta-analysis </w:t>
      </w:r>
      <w:r w:rsidRPr="00B63321">
        <w:rPr>
          <w:b/>
          <w:sz w:val="24"/>
        </w:rPr>
        <w:t>methods</w:t>
      </w:r>
      <w:r w:rsidR="0052196B">
        <w:rPr>
          <w:b/>
          <w:sz w:val="24"/>
          <w:szCs w:val="24"/>
        </w:rPr>
        <w:t>…………………………………</w:t>
      </w:r>
      <w:r>
        <w:rPr>
          <w:b/>
          <w:sz w:val="24"/>
          <w:szCs w:val="24"/>
        </w:rPr>
        <w:t>57</w:t>
      </w:r>
    </w:p>
    <w:p w:rsidR="006F2EE6" w:rsidRDefault="006F2EE6" w:rsidP="0052196B">
      <w:pPr>
        <w:pStyle w:val="Sinespaciado"/>
        <w:numPr>
          <w:ilvl w:val="0"/>
          <w:numId w:val="12"/>
        </w:numPr>
        <w:spacing w:line="276" w:lineRule="auto"/>
        <w:rPr>
          <w:sz w:val="24"/>
          <w:szCs w:val="24"/>
        </w:rPr>
      </w:pPr>
      <w:r>
        <w:rPr>
          <w:sz w:val="24"/>
          <w:szCs w:val="24"/>
        </w:rPr>
        <w:t>Review of individual patient data meta-analysis methodology</w:t>
      </w:r>
    </w:p>
    <w:p w:rsidR="006F2EE6" w:rsidRDefault="006F2EE6" w:rsidP="0052196B">
      <w:pPr>
        <w:pStyle w:val="Sinespaciado"/>
        <w:numPr>
          <w:ilvl w:val="1"/>
          <w:numId w:val="12"/>
        </w:numPr>
        <w:spacing w:line="276" w:lineRule="auto"/>
        <w:rPr>
          <w:sz w:val="24"/>
          <w:szCs w:val="24"/>
        </w:rPr>
      </w:pPr>
      <w:r>
        <w:rPr>
          <w:sz w:val="24"/>
          <w:szCs w:val="24"/>
        </w:rPr>
        <w:t>Introduction</w:t>
      </w:r>
    </w:p>
    <w:p w:rsidR="006F2EE6" w:rsidRDefault="006F2EE6" w:rsidP="0052196B">
      <w:pPr>
        <w:pStyle w:val="Sinespaciado"/>
        <w:numPr>
          <w:ilvl w:val="1"/>
          <w:numId w:val="12"/>
        </w:numPr>
        <w:spacing w:line="276" w:lineRule="auto"/>
        <w:rPr>
          <w:sz w:val="24"/>
          <w:szCs w:val="24"/>
        </w:rPr>
      </w:pPr>
      <w:r>
        <w:rPr>
          <w:sz w:val="24"/>
          <w:szCs w:val="24"/>
        </w:rPr>
        <w:t>Analysis implications</w:t>
      </w:r>
    </w:p>
    <w:p w:rsidR="006F2EE6" w:rsidRDefault="006F2EE6" w:rsidP="0052196B">
      <w:pPr>
        <w:pStyle w:val="Sinespaciado"/>
        <w:numPr>
          <w:ilvl w:val="2"/>
          <w:numId w:val="12"/>
        </w:numPr>
        <w:spacing w:line="276" w:lineRule="auto"/>
        <w:rPr>
          <w:sz w:val="24"/>
          <w:szCs w:val="24"/>
        </w:rPr>
      </w:pPr>
      <w:r>
        <w:rPr>
          <w:sz w:val="24"/>
          <w:szCs w:val="24"/>
        </w:rPr>
        <w:t>One-step analysis</w:t>
      </w:r>
    </w:p>
    <w:p w:rsidR="006F2EE6" w:rsidRDefault="006F2EE6" w:rsidP="0052196B">
      <w:pPr>
        <w:pStyle w:val="Sinespaciado"/>
        <w:numPr>
          <w:ilvl w:val="2"/>
          <w:numId w:val="12"/>
        </w:numPr>
        <w:spacing w:line="276" w:lineRule="auto"/>
        <w:rPr>
          <w:sz w:val="24"/>
          <w:szCs w:val="24"/>
        </w:rPr>
      </w:pPr>
      <w:r>
        <w:rPr>
          <w:sz w:val="24"/>
          <w:szCs w:val="24"/>
        </w:rPr>
        <w:t>Two-step analysis</w:t>
      </w:r>
    </w:p>
    <w:p w:rsidR="006F2EE6" w:rsidRDefault="006F2EE6" w:rsidP="0052196B">
      <w:pPr>
        <w:pStyle w:val="Prrafodelista"/>
        <w:numPr>
          <w:ilvl w:val="0"/>
          <w:numId w:val="12"/>
        </w:numPr>
        <w:rPr>
          <w:sz w:val="24"/>
          <w:szCs w:val="24"/>
        </w:rPr>
      </w:pPr>
      <w:r>
        <w:rPr>
          <w:sz w:val="24"/>
          <w:szCs w:val="24"/>
        </w:rPr>
        <w:t>Individual patient data meta-analysis methods</w:t>
      </w:r>
    </w:p>
    <w:p w:rsidR="006F2EE6" w:rsidRDefault="006F2EE6" w:rsidP="0052196B">
      <w:pPr>
        <w:pStyle w:val="Prrafodelista"/>
        <w:numPr>
          <w:ilvl w:val="1"/>
          <w:numId w:val="12"/>
        </w:numPr>
        <w:rPr>
          <w:sz w:val="24"/>
          <w:szCs w:val="24"/>
        </w:rPr>
      </w:pPr>
      <w:r w:rsidRPr="004D07A2">
        <w:rPr>
          <w:sz w:val="24"/>
          <w:szCs w:val="24"/>
        </w:rPr>
        <w:t>Population and studies characteristics</w:t>
      </w:r>
    </w:p>
    <w:p w:rsidR="006F2EE6" w:rsidRDefault="006F2EE6" w:rsidP="0052196B">
      <w:pPr>
        <w:pStyle w:val="Prrafodelista"/>
        <w:numPr>
          <w:ilvl w:val="1"/>
          <w:numId w:val="12"/>
        </w:numPr>
        <w:rPr>
          <w:sz w:val="24"/>
          <w:szCs w:val="24"/>
        </w:rPr>
      </w:pPr>
      <w:r>
        <w:rPr>
          <w:sz w:val="24"/>
          <w:szCs w:val="24"/>
        </w:rPr>
        <w:t>Exposure considerations</w:t>
      </w:r>
    </w:p>
    <w:p w:rsidR="006F2EE6" w:rsidRDefault="006F2EE6" w:rsidP="0052196B">
      <w:pPr>
        <w:pStyle w:val="Prrafodelista"/>
        <w:numPr>
          <w:ilvl w:val="1"/>
          <w:numId w:val="12"/>
        </w:numPr>
        <w:rPr>
          <w:sz w:val="24"/>
          <w:szCs w:val="24"/>
        </w:rPr>
      </w:pPr>
      <w:r>
        <w:rPr>
          <w:sz w:val="24"/>
          <w:szCs w:val="24"/>
        </w:rPr>
        <w:lastRenderedPageBreak/>
        <w:t>Outcomes</w:t>
      </w:r>
    </w:p>
    <w:p w:rsidR="006F2EE6" w:rsidRDefault="006F2EE6" w:rsidP="0052196B">
      <w:pPr>
        <w:pStyle w:val="Prrafodelista"/>
        <w:numPr>
          <w:ilvl w:val="1"/>
          <w:numId w:val="12"/>
        </w:numPr>
        <w:rPr>
          <w:sz w:val="24"/>
          <w:szCs w:val="24"/>
        </w:rPr>
      </w:pPr>
      <w:r>
        <w:rPr>
          <w:sz w:val="24"/>
          <w:szCs w:val="24"/>
        </w:rPr>
        <w:t>Statistical analysis</w:t>
      </w:r>
    </w:p>
    <w:p w:rsidR="006F2EE6" w:rsidRDefault="006F2EE6" w:rsidP="0052196B">
      <w:pPr>
        <w:pStyle w:val="Prrafodelista"/>
        <w:numPr>
          <w:ilvl w:val="1"/>
          <w:numId w:val="12"/>
        </w:numPr>
        <w:rPr>
          <w:sz w:val="24"/>
          <w:szCs w:val="24"/>
        </w:rPr>
      </w:pPr>
      <w:r w:rsidRPr="00D84F7D">
        <w:rPr>
          <w:sz w:val="24"/>
          <w:szCs w:val="24"/>
        </w:rPr>
        <w:t>Ethical considerations and conflict of interests</w:t>
      </w:r>
    </w:p>
    <w:p w:rsidR="006F2EE6" w:rsidRPr="00A500CB" w:rsidRDefault="006F2EE6" w:rsidP="0052196B">
      <w:pPr>
        <w:pStyle w:val="Prrafodelista"/>
        <w:numPr>
          <w:ilvl w:val="0"/>
          <w:numId w:val="12"/>
        </w:numPr>
        <w:rPr>
          <w:sz w:val="24"/>
          <w:szCs w:val="24"/>
        </w:rPr>
      </w:pPr>
      <w:r>
        <w:rPr>
          <w:sz w:val="24"/>
          <w:szCs w:val="24"/>
        </w:rPr>
        <w:t>Supplementary Appendix</w:t>
      </w:r>
    </w:p>
    <w:p w:rsidR="006F2EE6" w:rsidRPr="00B63321" w:rsidRDefault="006F2EE6" w:rsidP="0052196B">
      <w:pPr>
        <w:pStyle w:val="Sinespaciado"/>
        <w:spacing w:line="276" w:lineRule="auto"/>
        <w:rPr>
          <w:b/>
          <w:sz w:val="24"/>
        </w:rPr>
      </w:pPr>
      <w:r w:rsidRPr="00B63321">
        <w:rPr>
          <w:b/>
          <w:sz w:val="24"/>
        </w:rPr>
        <w:t>Chapter 4: Individual patient data meta-analysis results</w:t>
      </w:r>
      <w:r>
        <w:rPr>
          <w:b/>
          <w:sz w:val="24"/>
          <w:szCs w:val="24"/>
        </w:rPr>
        <w:t>………</w:t>
      </w:r>
      <w:r w:rsidR="0052196B">
        <w:rPr>
          <w:b/>
          <w:sz w:val="24"/>
          <w:szCs w:val="24"/>
        </w:rPr>
        <w:t>…………………………….</w:t>
      </w:r>
      <w:r>
        <w:rPr>
          <w:b/>
          <w:sz w:val="24"/>
          <w:szCs w:val="24"/>
        </w:rPr>
        <w:t>80</w:t>
      </w:r>
    </w:p>
    <w:p w:rsidR="006F2EE6" w:rsidRPr="00A925AF" w:rsidRDefault="006F2EE6" w:rsidP="0052196B">
      <w:pPr>
        <w:pStyle w:val="Sinespaciado"/>
        <w:numPr>
          <w:ilvl w:val="0"/>
          <w:numId w:val="12"/>
        </w:numPr>
        <w:spacing w:line="276" w:lineRule="auto"/>
        <w:rPr>
          <w:sz w:val="24"/>
          <w:szCs w:val="24"/>
        </w:rPr>
      </w:pPr>
      <w:r w:rsidRPr="00A925AF">
        <w:rPr>
          <w:sz w:val="24"/>
          <w:szCs w:val="24"/>
        </w:rPr>
        <w:t>Study subjects</w:t>
      </w:r>
    </w:p>
    <w:p w:rsidR="006F2EE6" w:rsidRPr="00A925AF" w:rsidRDefault="006F2EE6" w:rsidP="0052196B">
      <w:pPr>
        <w:pStyle w:val="Sinespaciado"/>
        <w:numPr>
          <w:ilvl w:val="0"/>
          <w:numId w:val="12"/>
        </w:numPr>
        <w:spacing w:line="276" w:lineRule="auto"/>
        <w:rPr>
          <w:sz w:val="24"/>
          <w:szCs w:val="24"/>
        </w:rPr>
      </w:pPr>
      <w:r w:rsidRPr="00A925AF">
        <w:rPr>
          <w:sz w:val="24"/>
          <w:szCs w:val="24"/>
        </w:rPr>
        <w:t>BMI and baseline characteristics</w:t>
      </w:r>
    </w:p>
    <w:p w:rsidR="006F2EE6" w:rsidRPr="00A925AF" w:rsidRDefault="006F2EE6" w:rsidP="0052196B">
      <w:pPr>
        <w:pStyle w:val="Sinespaciado"/>
        <w:numPr>
          <w:ilvl w:val="0"/>
          <w:numId w:val="12"/>
        </w:numPr>
        <w:spacing w:line="276" w:lineRule="auto"/>
        <w:rPr>
          <w:sz w:val="24"/>
          <w:szCs w:val="24"/>
        </w:rPr>
      </w:pPr>
      <w:r w:rsidRPr="00A925AF">
        <w:rPr>
          <w:sz w:val="24"/>
          <w:szCs w:val="24"/>
        </w:rPr>
        <w:t>Clinical outcomes</w:t>
      </w:r>
    </w:p>
    <w:p w:rsidR="006F2EE6" w:rsidRDefault="006F2EE6" w:rsidP="0052196B">
      <w:pPr>
        <w:pStyle w:val="Sinespaciado"/>
        <w:numPr>
          <w:ilvl w:val="1"/>
          <w:numId w:val="12"/>
        </w:numPr>
        <w:spacing w:line="276" w:lineRule="auto"/>
        <w:rPr>
          <w:sz w:val="24"/>
          <w:szCs w:val="24"/>
        </w:rPr>
      </w:pPr>
      <w:r w:rsidRPr="00A925AF">
        <w:rPr>
          <w:sz w:val="24"/>
          <w:szCs w:val="24"/>
        </w:rPr>
        <w:t xml:space="preserve">Primary </w:t>
      </w:r>
      <w:r w:rsidRPr="00C17384">
        <w:rPr>
          <w:noProof/>
          <w:sz w:val="24"/>
          <w:szCs w:val="24"/>
        </w:rPr>
        <w:t>outcome</w:t>
      </w:r>
    </w:p>
    <w:p w:rsidR="006F2EE6" w:rsidRDefault="006F2EE6" w:rsidP="0052196B">
      <w:pPr>
        <w:pStyle w:val="Sinespaciado"/>
        <w:numPr>
          <w:ilvl w:val="1"/>
          <w:numId w:val="12"/>
        </w:numPr>
        <w:spacing w:line="276" w:lineRule="auto"/>
        <w:rPr>
          <w:sz w:val="24"/>
          <w:szCs w:val="24"/>
        </w:rPr>
      </w:pPr>
      <w:r>
        <w:rPr>
          <w:sz w:val="24"/>
          <w:szCs w:val="24"/>
        </w:rPr>
        <w:t>Secondary outcomes</w:t>
      </w:r>
    </w:p>
    <w:p w:rsidR="006F2EE6" w:rsidRDefault="006F2EE6" w:rsidP="0052196B">
      <w:pPr>
        <w:pStyle w:val="Sinespaciado"/>
        <w:numPr>
          <w:ilvl w:val="1"/>
          <w:numId w:val="12"/>
        </w:numPr>
        <w:spacing w:line="276" w:lineRule="auto"/>
        <w:rPr>
          <w:sz w:val="24"/>
          <w:szCs w:val="24"/>
        </w:rPr>
      </w:pPr>
      <w:r>
        <w:rPr>
          <w:sz w:val="24"/>
          <w:szCs w:val="24"/>
        </w:rPr>
        <w:t>Subgroup analysis</w:t>
      </w:r>
    </w:p>
    <w:p w:rsidR="006F2EE6" w:rsidRDefault="006F2EE6" w:rsidP="0052196B">
      <w:pPr>
        <w:pStyle w:val="Sinespaciado"/>
        <w:numPr>
          <w:ilvl w:val="1"/>
          <w:numId w:val="12"/>
        </w:numPr>
        <w:spacing w:line="276" w:lineRule="auto"/>
        <w:rPr>
          <w:sz w:val="24"/>
          <w:szCs w:val="24"/>
        </w:rPr>
      </w:pPr>
      <w:r>
        <w:rPr>
          <w:sz w:val="24"/>
          <w:szCs w:val="24"/>
        </w:rPr>
        <w:t>Sensitivity analysis</w:t>
      </w:r>
    </w:p>
    <w:p w:rsidR="006F2EE6" w:rsidRPr="00A500CB" w:rsidRDefault="006F2EE6" w:rsidP="0052196B">
      <w:pPr>
        <w:pStyle w:val="Sinespaciado"/>
        <w:numPr>
          <w:ilvl w:val="0"/>
          <w:numId w:val="12"/>
        </w:numPr>
        <w:spacing w:line="276" w:lineRule="auto"/>
        <w:rPr>
          <w:sz w:val="24"/>
          <w:szCs w:val="24"/>
        </w:rPr>
      </w:pPr>
      <w:r>
        <w:rPr>
          <w:sz w:val="24"/>
          <w:szCs w:val="24"/>
        </w:rPr>
        <w:t>Supplementary Appendix</w:t>
      </w:r>
    </w:p>
    <w:p w:rsidR="006F2EE6" w:rsidRDefault="006F2EE6" w:rsidP="0052196B">
      <w:pPr>
        <w:pStyle w:val="Sinespaciado"/>
        <w:spacing w:line="276" w:lineRule="auto"/>
        <w:rPr>
          <w:b/>
          <w:sz w:val="24"/>
          <w:szCs w:val="24"/>
        </w:rPr>
      </w:pPr>
    </w:p>
    <w:p w:rsidR="006F2EE6" w:rsidRPr="00B63321" w:rsidRDefault="006F2EE6" w:rsidP="0052196B">
      <w:pPr>
        <w:pStyle w:val="Sinespaciado"/>
        <w:spacing w:line="276" w:lineRule="auto"/>
        <w:rPr>
          <w:b/>
          <w:sz w:val="24"/>
        </w:rPr>
      </w:pPr>
      <w:r w:rsidRPr="00B63321">
        <w:rPr>
          <w:b/>
          <w:sz w:val="24"/>
        </w:rPr>
        <w:t>Chapter 5: Discussion</w:t>
      </w:r>
      <w:r>
        <w:rPr>
          <w:b/>
          <w:sz w:val="24"/>
          <w:szCs w:val="24"/>
        </w:rPr>
        <w:t>………………………………………………………………………………………………………</w:t>
      </w:r>
      <w:r w:rsidR="0052196B">
        <w:rPr>
          <w:b/>
          <w:sz w:val="24"/>
          <w:szCs w:val="24"/>
        </w:rPr>
        <w:t>….</w:t>
      </w:r>
      <w:r>
        <w:rPr>
          <w:b/>
          <w:sz w:val="24"/>
          <w:szCs w:val="24"/>
        </w:rPr>
        <w:t>121</w:t>
      </w:r>
    </w:p>
    <w:p w:rsidR="006F2EE6" w:rsidRPr="00BC7982" w:rsidRDefault="006F2EE6" w:rsidP="0052196B">
      <w:pPr>
        <w:pStyle w:val="Sinespaciado"/>
        <w:numPr>
          <w:ilvl w:val="0"/>
          <w:numId w:val="12"/>
        </w:numPr>
        <w:spacing w:line="276" w:lineRule="auto"/>
        <w:rPr>
          <w:sz w:val="24"/>
          <w:szCs w:val="24"/>
        </w:rPr>
      </w:pPr>
      <w:r w:rsidRPr="00BC7982">
        <w:rPr>
          <w:sz w:val="24"/>
          <w:szCs w:val="24"/>
        </w:rPr>
        <w:t>Main findings</w:t>
      </w:r>
    </w:p>
    <w:p w:rsidR="006F2EE6" w:rsidRPr="00BC7982" w:rsidRDefault="006F2EE6" w:rsidP="0052196B">
      <w:pPr>
        <w:pStyle w:val="Sinespaciado"/>
        <w:numPr>
          <w:ilvl w:val="0"/>
          <w:numId w:val="12"/>
        </w:numPr>
        <w:spacing w:line="276" w:lineRule="auto"/>
        <w:rPr>
          <w:sz w:val="24"/>
          <w:szCs w:val="24"/>
        </w:rPr>
      </w:pPr>
      <w:r w:rsidRPr="00BC7982">
        <w:rPr>
          <w:sz w:val="24"/>
          <w:szCs w:val="24"/>
        </w:rPr>
        <w:t>Findings in the context of previous literature (primary outcome)</w:t>
      </w:r>
    </w:p>
    <w:p w:rsidR="006F2EE6" w:rsidRPr="00BC7982" w:rsidRDefault="006F2EE6" w:rsidP="0052196B">
      <w:pPr>
        <w:pStyle w:val="Sinespaciado"/>
        <w:numPr>
          <w:ilvl w:val="0"/>
          <w:numId w:val="12"/>
        </w:numPr>
        <w:spacing w:line="276" w:lineRule="auto"/>
        <w:rPr>
          <w:sz w:val="24"/>
          <w:szCs w:val="24"/>
        </w:rPr>
      </w:pPr>
      <w:r w:rsidRPr="00BC7982">
        <w:rPr>
          <w:sz w:val="24"/>
          <w:szCs w:val="24"/>
        </w:rPr>
        <w:t>Insights on the obesity paradox mechanisms (secondary outcomes)</w:t>
      </w:r>
    </w:p>
    <w:p w:rsidR="006F2EE6" w:rsidRPr="00BC7982" w:rsidRDefault="006F2EE6" w:rsidP="0052196B">
      <w:pPr>
        <w:pStyle w:val="Sinespaciado"/>
        <w:numPr>
          <w:ilvl w:val="0"/>
          <w:numId w:val="12"/>
        </w:numPr>
        <w:spacing w:line="276" w:lineRule="auto"/>
        <w:rPr>
          <w:sz w:val="24"/>
          <w:szCs w:val="24"/>
        </w:rPr>
      </w:pPr>
      <w:r w:rsidRPr="00BC7982">
        <w:rPr>
          <w:sz w:val="24"/>
          <w:szCs w:val="24"/>
        </w:rPr>
        <w:t>Limitations and threats to validity</w:t>
      </w:r>
    </w:p>
    <w:p w:rsidR="006F2EE6" w:rsidRPr="00BC7982" w:rsidRDefault="006F2EE6" w:rsidP="0052196B">
      <w:pPr>
        <w:pStyle w:val="Sinespaciado"/>
        <w:numPr>
          <w:ilvl w:val="1"/>
          <w:numId w:val="12"/>
        </w:numPr>
        <w:spacing w:line="276" w:lineRule="auto"/>
        <w:rPr>
          <w:sz w:val="24"/>
          <w:szCs w:val="24"/>
        </w:rPr>
      </w:pPr>
      <w:r w:rsidRPr="00BC7982">
        <w:rPr>
          <w:sz w:val="24"/>
          <w:szCs w:val="24"/>
        </w:rPr>
        <w:t>BMI measurement</w:t>
      </w:r>
    </w:p>
    <w:p w:rsidR="006F2EE6" w:rsidRPr="00BC7982" w:rsidRDefault="006F2EE6" w:rsidP="0052196B">
      <w:pPr>
        <w:pStyle w:val="Sinespaciado"/>
        <w:numPr>
          <w:ilvl w:val="1"/>
          <w:numId w:val="12"/>
        </w:numPr>
        <w:spacing w:line="276" w:lineRule="auto"/>
        <w:rPr>
          <w:sz w:val="24"/>
          <w:szCs w:val="24"/>
        </w:rPr>
      </w:pPr>
      <w:r w:rsidRPr="00BC7982">
        <w:rPr>
          <w:sz w:val="24"/>
          <w:szCs w:val="24"/>
        </w:rPr>
        <w:t>Residual confounding</w:t>
      </w:r>
    </w:p>
    <w:p w:rsidR="006F2EE6" w:rsidRPr="00BC7982" w:rsidRDefault="006F2EE6" w:rsidP="0052196B">
      <w:pPr>
        <w:pStyle w:val="Sinespaciado"/>
        <w:numPr>
          <w:ilvl w:val="1"/>
          <w:numId w:val="12"/>
        </w:numPr>
        <w:spacing w:line="276" w:lineRule="auto"/>
        <w:rPr>
          <w:sz w:val="24"/>
          <w:szCs w:val="24"/>
        </w:rPr>
      </w:pPr>
      <w:r w:rsidRPr="00BC7982">
        <w:rPr>
          <w:sz w:val="24"/>
          <w:szCs w:val="24"/>
        </w:rPr>
        <w:t>Selection bias</w:t>
      </w:r>
    </w:p>
    <w:p w:rsidR="006F2EE6" w:rsidRPr="00BC7982" w:rsidRDefault="006F2EE6" w:rsidP="0052196B">
      <w:pPr>
        <w:pStyle w:val="Sinespaciado"/>
        <w:numPr>
          <w:ilvl w:val="1"/>
          <w:numId w:val="12"/>
        </w:numPr>
        <w:spacing w:line="276" w:lineRule="auto"/>
        <w:rPr>
          <w:sz w:val="24"/>
          <w:szCs w:val="24"/>
        </w:rPr>
      </w:pPr>
      <w:r w:rsidRPr="00BC7982">
        <w:rPr>
          <w:sz w:val="24"/>
          <w:szCs w:val="24"/>
        </w:rPr>
        <w:t>Lead-time bias</w:t>
      </w:r>
    </w:p>
    <w:p w:rsidR="006F2EE6" w:rsidRPr="00BC7982" w:rsidRDefault="006F2EE6" w:rsidP="0052196B">
      <w:pPr>
        <w:pStyle w:val="Sinespaciado"/>
        <w:numPr>
          <w:ilvl w:val="1"/>
          <w:numId w:val="12"/>
        </w:numPr>
        <w:spacing w:line="276" w:lineRule="auto"/>
        <w:rPr>
          <w:sz w:val="24"/>
          <w:szCs w:val="24"/>
        </w:rPr>
      </w:pPr>
      <w:r w:rsidRPr="00BC7982">
        <w:rPr>
          <w:sz w:val="24"/>
          <w:szCs w:val="24"/>
        </w:rPr>
        <w:t>Reverse causality</w:t>
      </w:r>
    </w:p>
    <w:p w:rsidR="006F2EE6" w:rsidRPr="00BC7982" w:rsidRDefault="006F2EE6" w:rsidP="0052196B">
      <w:pPr>
        <w:pStyle w:val="Sinespaciado"/>
        <w:numPr>
          <w:ilvl w:val="0"/>
          <w:numId w:val="12"/>
        </w:numPr>
        <w:spacing w:line="276" w:lineRule="auto"/>
        <w:rPr>
          <w:sz w:val="24"/>
          <w:szCs w:val="24"/>
        </w:rPr>
      </w:pPr>
      <w:r w:rsidRPr="00BC7982">
        <w:rPr>
          <w:sz w:val="24"/>
          <w:szCs w:val="24"/>
        </w:rPr>
        <w:t>Future directions</w:t>
      </w:r>
    </w:p>
    <w:p w:rsidR="00A80CE4" w:rsidRPr="00A80CE4" w:rsidRDefault="006F2EE6" w:rsidP="00831001">
      <w:pPr>
        <w:pStyle w:val="Sinespaciado"/>
        <w:numPr>
          <w:ilvl w:val="0"/>
          <w:numId w:val="12"/>
        </w:numPr>
        <w:spacing w:line="480" w:lineRule="auto"/>
        <w:jc w:val="both"/>
        <w:rPr>
          <w:b/>
        </w:rPr>
      </w:pPr>
      <w:r w:rsidRPr="00A80CE4">
        <w:rPr>
          <w:sz w:val="24"/>
          <w:szCs w:val="24"/>
        </w:rPr>
        <w:t>Conclusions</w:t>
      </w:r>
    </w:p>
    <w:p w:rsidR="00A80CE4" w:rsidRDefault="00A80CE4" w:rsidP="00A80CE4">
      <w:pPr>
        <w:pStyle w:val="Sinespaciado"/>
        <w:spacing w:line="480" w:lineRule="auto"/>
        <w:jc w:val="both"/>
        <w:rPr>
          <w:sz w:val="24"/>
          <w:szCs w:val="24"/>
        </w:rPr>
      </w:pPr>
    </w:p>
    <w:p w:rsidR="001C477F" w:rsidRDefault="001C477F" w:rsidP="00A80CE4">
      <w:pPr>
        <w:pStyle w:val="Sinespaciado"/>
        <w:spacing w:line="480" w:lineRule="auto"/>
        <w:jc w:val="both"/>
        <w:sectPr w:rsidR="001C477F" w:rsidSect="001C477F">
          <w:footerReference w:type="default" r:id="rId9"/>
          <w:pgSz w:w="12240" w:h="15840"/>
          <w:pgMar w:top="2155" w:right="1418" w:bottom="1418" w:left="2155" w:header="720" w:footer="720" w:gutter="0"/>
          <w:pgNumType w:fmt="upperRoman"/>
          <w:cols w:space="720"/>
          <w:docGrid w:linePitch="360"/>
        </w:sectPr>
      </w:pPr>
    </w:p>
    <w:p w:rsidR="006F2EE6" w:rsidRDefault="006F2EE6" w:rsidP="00A80CE4">
      <w:pPr>
        <w:pStyle w:val="Sinespaciado"/>
        <w:spacing w:line="480" w:lineRule="auto"/>
        <w:jc w:val="both"/>
      </w:pPr>
      <w:r w:rsidRPr="00111033">
        <w:lastRenderedPageBreak/>
        <w:t>CHAPTER 1: INTRODUCTION AND REVIEW OF THE LITERATURE</w:t>
      </w:r>
    </w:p>
    <w:p w:rsidR="00DC7437" w:rsidRPr="00A80CE4" w:rsidRDefault="00DC7437" w:rsidP="00A80CE4">
      <w:pPr>
        <w:pStyle w:val="Sinespaciado"/>
        <w:spacing w:line="480" w:lineRule="auto"/>
        <w:jc w:val="both"/>
        <w:rPr>
          <w:b/>
        </w:rPr>
      </w:pPr>
    </w:p>
    <w:p w:rsidR="006F2EE6" w:rsidRPr="00111033" w:rsidRDefault="006F2EE6" w:rsidP="0052196B">
      <w:pPr>
        <w:spacing w:line="480" w:lineRule="auto"/>
        <w:jc w:val="both"/>
        <w:rPr>
          <w:b/>
          <w:sz w:val="24"/>
          <w:szCs w:val="24"/>
        </w:rPr>
      </w:pPr>
      <w:r w:rsidRPr="00111033">
        <w:rPr>
          <w:b/>
          <w:sz w:val="24"/>
          <w:szCs w:val="24"/>
        </w:rPr>
        <w:t>Cardiovascular disease burden and risk factors</w:t>
      </w:r>
    </w:p>
    <w:p w:rsidR="006F2EE6" w:rsidRPr="00111033" w:rsidRDefault="006F2EE6" w:rsidP="0052196B">
      <w:pPr>
        <w:pStyle w:val="Sinespaciado"/>
        <w:spacing w:line="480" w:lineRule="auto"/>
        <w:ind w:firstLine="720"/>
        <w:jc w:val="both"/>
        <w:rPr>
          <w:sz w:val="24"/>
          <w:szCs w:val="24"/>
        </w:rPr>
      </w:pPr>
      <w:r w:rsidRPr="00111033">
        <w:rPr>
          <w:sz w:val="24"/>
          <w:szCs w:val="24"/>
        </w:rPr>
        <w:t xml:space="preserve">Cardiovascular disease is considered the </w:t>
      </w:r>
      <w:r w:rsidRPr="00111033">
        <w:rPr>
          <w:noProof/>
          <w:sz w:val="24"/>
          <w:szCs w:val="24"/>
        </w:rPr>
        <w:t>leading</w:t>
      </w:r>
      <w:r w:rsidRPr="00111033">
        <w:rPr>
          <w:sz w:val="24"/>
          <w:szCs w:val="24"/>
        </w:rPr>
        <w:t xml:space="preserve"> cause of death worldwide.</w:t>
      </w:r>
      <w:r w:rsidRPr="00111033">
        <w:rPr>
          <w:noProof/>
          <w:sz w:val="24"/>
          <w:szCs w:val="24"/>
          <w:vertAlign w:val="superscript"/>
        </w:rPr>
        <w:t>1,2</w:t>
      </w:r>
      <w:r w:rsidRPr="00111033">
        <w:rPr>
          <w:sz w:val="24"/>
          <w:szCs w:val="24"/>
        </w:rPr>
        <w:t xml:space="preserve"> In 2010, the two leading causes of </w:t>
      </w:r>
      <w:r>
        <w:rPr>
          <w:sz w:val="24"/>
          <w:szCs w:val="24"/>
        </w:rPr>
        <w:t>CV death</w:t>
      </w:r>
      <w:r w:rsidRPr="00111033">
        <w:rPr>
          <w:sz w:val="24"/>
          <w:szCs w:val="24"/>
        </w:rPr>
        <w:t xml:space="preserve"> were ischemic heart disease (13.3%) and stroke (11.1%).</w:t>
      </w:r>
      <w:r w:rsidRPr="00111033">
        <w:rPr>
          <w:noProof/>
          <w:sz w:val="24"/>
          <w:szCs w:val="24"/>
          <w:vertAlign w:val="superscript"/>
        </w:rPr>
        <w:t>1</w:t>
      </w:r>
      <w:r w:rsidRPr="00111033">
        <w:rPr>
          <w:sz w:val="24"/>
          <w:szCs w:val="24"/>
        </w:rPr>
        <w:t xml:space="preserve"> </w:t>
      </w:r>
      <w:r w:rsidRPr="00111033">
        <w:rPr>
          <w:noProof/>
          <w:sz w:val="24"/>
          <w:szCs w:val="24"/>
        </w:rPr>
        <w:t xml:space="preserve">Also, ischemic heart disease ranked first in disability-adjusted life years (DALYs), </w:t>
      </w:r>
      <w:r>
        <w:rPr>
          <w:noProof/>
          <w:sz w:val="24"/>
          <w:szCs w:val="24"/>
        </w:rPr>
        <w:t>with a relative increase</w:t>
      </w:r>
      <w:r w:rsidRPr="00111033">
        <w:rPr>
          <w:noProof/>
          <w:sz w:val="24"/>
          <w:szCs w:val="24"/>
        </w:rPr>
        <w:t xml:space="preserve"> 29% from 1990.</w:t>
      </w:r>
      <w:r w:rsidRPr="00111033">
        <w:rPr>
          <w:noProof/>
          <w:sz w:val="24"/>
          <w:szCs w:val="24"/>
          <w:vertAlign w:val="superscript"/>
        </w:rPr>
        <w:t>3</w:t>
      </w:r>
      <w:r w:rsidRPr="00111033">
        <w:rPr>
          <w:noProof/>
          <w:sz w:val="24"/>
          <w:szCs w:val="24"/>
        </w:rPr>
        <w:t xml:space="preserve"> It is estimated that 54% of all DALYs are related to non-communicable conditions and 11.8% of these from cardiovascular diseases.</w:t>
      </w:r>
      <w:r w:rsidRPr="00111033">
        <w:rPr>
          <w:noProof/>
          <w:sz w:val="24"/>
          <w:szCs w:val="24"/>
          <w:vertAlign w:val="superscript"/>
        </w:rPr>
        <w:t>3</w:t>
      </w:r>
      <w:r w:rsidRPr="00111033">
        <w:rPr>
          <w:sz w:val="24"/>
          <w:szCs w:val="24"/>
        </w:rPr>
        <w:t xml:space="preserve"> </w:t>
      </w:r>
    </w:p>
    <w:p w:rsidR="006F2EE6" w:rsidRPr="00063981" w:rsidRDefault="006F2EE6" w:rsidP="0052196B">
      <w:pPr>
        <w:pStyle w:val="Sinespaciado"/>
        <w:spacing w:line="480" w:lineRule="auto"/>
        <w:ind w:firstLine="720"/>
        <w:jc w:val="both"/>
        <w:rPr>
          <w:sz w:val="24"/>
          <w:szCs w:val="24"/>
        </w:rPr>
      </w:pPr>
      <w:r w:rsidRPr="006527C7">
        <w:rPr>
          <w:noProof/>
          <w:sz w:val="24"/>
          <w:szCs w:val="24"/>
        </w:rPr>
        <w:t>The INTERHEART study identified 9 modifiable risk factors (abnormal lipids, smoking, hypertension, diabetes, abdominal obesity, psychosocial factors, consumption of fruits, vegetables, alcohol, and regular physical activity) that explained 90% of first myocardial infarctions.</w:t>
      </w:r>
      <w:r w:rsidRPr="00063981">
        <w:rPr>
          <w:noProof/>
          <w:sz w:val="24"/>
          <w:szCs w:val="24"/>
          <w:vertAlign w:val="superscript"/>
        </w:rPr>
        <w:t>4</w:t>
      </w:r>
      <w:r w:rsidRPr="00063981">
        <w:rPr>
          <w:sz w:val="24"/>
          <w:szCs w:val="24"/>
        </w:rPr>
        <w:t xml:space="preserve"> The results were consistent in both genders, at all ages and across all geographic regions. </w:t>
      </w:r>
      <w:r>
        <w:rPr>
          <w:sz w:val="24"/>
          <w:szCs w:val="24"/>
        </w:rPr>
        <w:t xml:space="preserve">As a </w:t>
      </w:r>
      <w:r>
        <w:rPr>
          <w:noProof/>
          <w:sz w:val="24"/>
          <w:szCs w:val="24"/>
        </w:rPr>
        <w:t>consequence</w:t>
      </w:r>
      <w:r>
        <w:rPr>
          <w:sz w:val="24"/>
          <w:szCs w:val="24"/>
        </w:rPr>
        <w:t>, t</w:t>
      </w:r>
      <w:r w:rsidRPr="00063981">
        <w:rPr>
          <w:sz w:val="24"/>
          <w:szCs w:val="24"/>
        </w:rPr>
        <w:t>he current</w:t>
      </w:r>
      <w:r>
        <w:rPr>
          <w:sz w:val="24"/>
          <w:szCs w:val="24"/>
        </w:rPr>
        <w:t xml:space="preserve"> global</w:t>
      </w:r>
      <w:r w:rsidRPr="00063981">
        <w:rPr>
          <w:sz w:val="24"/>
          <w:szCs w:val="24"/>
        </w:rPr>
        <w:t xml:space="preserve"> approach </w:t>
      </w:r>
      <w:r>
        <w:rPr>
          <w:noProof/>
          <w:sz w:val="24"/>
          <w:szCs w:val="24"/>
        </w:rPr>
        <w:t>to</w:t>
      </w:r>
      <w:r w:rsidRPr="00063981">
        <w:rPr>
          <w:sz w:val="24"/>
          <w:szCs w:val="24"/>
        </w:rPr>
        <w:t xml:space="preserve"> cardiovascular prevention is to </w:t>
      </w:r>
      <w:r>
        <w:rPr>
          <w:sz w:val="24"/>
          <w:szCs w:val="24"/>
        </w:rPr>
        <w:t>target all</w:t>
      </w:r>
      <w:r w:rsidRPr="00063981">
        <w:rPr>
          <w:sz w:val="24"/>
          <w:szCs w:val="24"/>
        </w:rPr>
        <w:t xml:space="preserve"> modifiable risk factors.</w:t>
      </w:r>
    </w:p>
    <w:p w:rsidR="006F2EE6" w:rsidRPr="00063981" w:rsidRDefault="006F2EE6" w:rsidP="0052196B">
      <w:pPr>
        <w:pStyle w:val="Sinespaciado"/>
        <w:spacing w:line="480" w:lineRule="auto"/>
        <w:ind w:firstLine="720"/>
        <w:jc w:val="both"/>
        <w:rPr>
          <w:sz w:val="24"/>
          <w:szCs w:val="24"/>
        </w:rPr>
      </w:pPr>
    </w:p>
    <w:p w:rsidR="006F2EE6" w:rsidRPr="00063981" w:rsidRDefault="006F2EE6" w:rsidP="0052196B">
      <w:pPr>
        <w:pStyle w:val="Sinespaciado"/>
        <w:spacing w:line="480" w:lineRule="auto"/>
        <w:jc w:val="both"/>
        <w:rPr>
          <w:b/>
          <w:sz w:val="24"/>
          <w:szCs w:val="24"/>
        </w:rPr>
      </w:pPr>
      <w:r w:rsidRPr="00063981">
        <w:rPr>
          <w:b/>
          <w:sz w:val="24"/>
          <w:szCs w:val="24"/>
        </w:rPr>
        <w:t>Obesity definition</w:t>
      </w:r>
    </w:p>
    <w:p w:rsidR="006F2EE6" w:rsidRPr="00063981" w:rsidRDefault="006F2EE6" w:rsidP="0052196B">
      <w:pPr>
        <w:pStyle w:val="Sinespaciado"/>
        <w:spacing w:line="480" w:lineRule="auto"/>
        <w:ind w:firstLine="720"/>
        <w:jc w:val="both"/>
        <w:rPr>
          <w:sz w:val="24"/>
          <w:szCs w:val="24"/>
        </w:rPr>
      </w:pPr>
      <w:r w:rsidRPr="00063981">
        <w:rPr>
          <w:sz w:val="24"/>
          <w:szCs w:val="24"/>
        </w:rPr>
        <w:t xml:space="preserve">Obesity </w:t>
      </w:r>
      <w:r w:rsidRPr="006527C7">
        <w:rPr>
          <w:noProof/>
          <w:sz w:val="24"/>
          <w:szCs w:val="24"/>
        </w:rPr>
        <w:t>is defined</w:t>
      </w:r>
      <w:r w:rsidRPr="00063981">
        <w:rPr>
          <w:sz w:val="24"/>
          <w:szCs w:val="24"/>
        </w:rPr>
        <w:t xml:space="preserve"> as “the condition in which excess fat has accumulated in the body”.</w:t>
      </w:r>
      <w:r w:rsidRPr="00063981">
        <w:rPr>
          <w:noProof/>
          <w:sz w:val="24"/>
          <w:szCs w:val="24"/>
          <w:vertAlign w:val="superscript"/>
        </w:rPr>
        <w:t>5</w:t>
      </w:r>
      <w:r w:rsidRPr="00063981">
        <w:rPr>
          <w:sz w:val="24"/>
          <w:szCs w:val="24"/>
        </w:rPr>
        <w:t xml:space="preserve"> The World Health Organization defines obesity as a </w:t>
      </w:r>
      <w:r w:rsidRPr="006527C7">
        <w:rPr>
          <w:noProof/>
          <w:sz w:val="24"/>
          <w:szCs w:val="24"/>
        </w:rPr>
        <w:t>body</w:t>
      </w:r>
      <w:r>
        <w:rPr>
          <w:noProof/>
          <w:sz w:val="24"/>
          <w:szCs w:val="24"/>
        </w:rPr>
        <w:t xml:space="preserve"> </w:t>
      </w:r>
      <w:r w:rsidRPr="006527C7">
        <w:rPr>
          <w:noProof/>
          <w:sz w:val="24"/>
          <w:szCs w:val="24"/>
        </w:rPr>
        <w:t>mass</w:t>
      </w:r>
      <w:r w:rsidRPr="00063981">
        <w:rPr>
          <w:sz w:val="24"/>
          <w:szCs w:val="24"/>
        </w:rPr>
        <w:t xml:space="preserve"> index (BMI) more than 30 kg/m</w:t>
      </w:r>
      <w:r w:rsidRPr="00063981">
        <w:rPr>
          <w:sz w:val="24"/>
          <w:szCs w:val="24"/>
          <w:vertAlign w:val="superscript"/>
        </w:rPr>
        <w:t>2</w:t>
      </w:r>
      <w:r w:rsidRPr="00063981">
        <w:rPr>
          <w:sz w:val="24"/>
          <w:szCs w:val="24"/>
        </w:rPr>
        <w:t xml:space="preserve">. Also, individuals are categorized as underweight, normal weight, overweight or obese (Table 1) according to BMI values. </w:t>
      </w:r>
    </w:p>
    <w:p w:rsidR="006F2EE6" w:rsidRPr="00063981" w:rsidRDefault="006F2EE6" w:rsidP="0052196B">
      <w:pPr>
        <w:pStyle w:val="Sinespaciado"/>
        <w:spacing w:line="480" w:lineRule="auto"/>
        <w:ind w:firstLine="720"/>
        <w:jc w:val="both"/>
        <w:rPr>
          <w:sz w:val="24"/>
          <w:szCs w:val="24"/>
        </w:rPr>
      </w:pPr>
      <w:r w:rsidRPr="00063981">
        <w:rPr>
          <w:sz w:val="24"/>
          <w:szCs w:val="24"/>
        </w:rPr>
        <w:lastRenderedPageBreak/>
        <w:t>BMI is estimated by dividing weight in kilograms over height in meters (kg/m</w:t>
      </w:r>
      <w:r w:rsidRPr="00063981">
        <w:rPr>
          <w:sz w:val="24"/>
          <w:szCs w:val="24"/>
          <w:vertAlign w:val="superscript"/>
        </w:rPr>
        <w:t>2</w:t>
      </w:r>
      <w:r>
        <w:rPr>
          <w:sz w:val="24"/>
          <w:szCs w:val="24"/>
        </w:rPr>
        <w:t xml:space="preserve">). </w:t>
      </w:r>
      <w:r w:rsidRPr="00063981">
        <w:rPr>
          <w:sz w:val="24"/>
          <w:szCs w:val="24"/>
        </w:rPr>
        <w:t>Therefore,</w:t>
      </w:r>
      <w:r>
        <w:rPr>
          <w:sz w:val="24"/>
          <w:szCs w:val="24"/>
        </w:rPr>
        <w:t xml:space="preserve"> BMI</w:t>
      </w:r>
      <w:r w:rsidRPr="00063981">
        <w:rPr>
          <w:sz w:val="24"/>
          <w:szCs w:val="24"/>
        </w:rPr>
        <w:t xml:space="preserve"> is </w:t>
      </w:r>
      <w:r>
        <w:rPr>
          <w:sz w:val="24"/>
          <w:szCs w:val="24"/>
        </w:rPr>
        <w:t>simply</w:t>
      </w:r>
      <w:r w:rsidRPr="00063981">
        <w:rPr>
          <w:sz w:val="24"/>
          <w:szCs w:val="24"/>
        </w:rPr>
        <w:t xml:space="preserve"> a measure of weight adjusted </w:t>
      </w:r>
      <w:r>
        <w:rPr>
          <w:noProof/>
          <w:sz w:val="24"/>
          <w:szCs w:val="24"/>
        </w:rPr>
        <w:t>for</w:t>
      </w:r>
      <w:r w:rsidRPr="00063981">
        <w:rPr>
          <w:sz w:val="24"/>
          <w:szCs w:val="24"/>
        </w:rPr>
        <w:t xml:space="preserve"> height and, although </w:t>
      </w:r>
      <w:r>
        <w:rPr>
          <w:sz w:val="24"/>
          <w:szCs w:val="24"/>
        </w:rPr>
        <w:t xml:space="preserve">it is not a </w:t>
      </w:r>
      <w:r w:rsidRPr="00063981">
        <w:rPr>
          <w:sz w:val="24"/>
          <w:szCs w:val="24"/>
        </w:rPr>
        <w:t xml:space="preserve">direct measure of adiposity, it </w:t>
      </w:r>
      <w:r w:rsidRPr="006527C7">
        <w:rPr>
          <w:noProof/>
          <w:sz w:val="24"/>
          <w:szCs w:val="24"/>
        </w:rPr>
        <w:t>is highly correlated</w:t>
      </w:r>
      <w:r w:rsidRPr="00063981">
        <w:rPr>
          <w:sz w:val="24"/>
          <w:szCs w:val="24"/>
        </w:rPr>
        <w:t xml:space="preserve"> with body fat.</w:t>
      </w:r>
      <w:r w:rsidRPr="00063981">
        <w:rPr>
          <w:noProof/>
          <w:sz w:val="24"/>
          <w:szCs w:val="24"/>
          <w:vertAlign w:val="superscript"/>
        </w:rPr>
        <w:t>6,7</w:t>
      </w:r>
      <w:r w:rsidRPr="00063981">
        <w:rPr>
          <w:sz w:val="24"/>
          <w:szCs w:val="24"/>
        </w:rPr>
        <w:t xml:space="preserve"> </w:t>
      </w:r>
      <w:proofErr w:type="gramStart"/>
      <w:r w:rsidRPr="00063981">
        <w:rPr>
          <w:sz w:val="24"/>
          <w:szCs w:val="24"/>
        </w:rPr>
        <w:t>This</w:t>
      </w:r>
      <w:proofErr w:type="gramEnd"/>
      <w:r w:rsidRPr="00063981">
        <w:rPr>
          <w:sz w:val="24"/>
          <w:szCs w:val="24"/>
        </w:rPr>
        <w:t xml:space="preserve"> correlation combined with a relatively easy calculation</w:t>
      </w:r>
      <w:r>
        <w:rPr>
          <w:sz w:val="24"/>
          <w:szCs w:val="24"/>
        </w:rPr>
        <w:t>,</w:t>
      </w:r>
      <w:r w:rsidRPr="00063981">
        <w:rPr>
          <w:sz w:val="24"/>
          <w:szCs w:val="24"/>
        </w:rPr>
        <w:t xml:space="preserve"> made BMI a popular tool for obesity </w:t>
      </w:r>
      <w:r>
        <w:rPr>
          <w:sz w:val="24"/>
          <w:szCs w:val="24"/>
        </w:rPr>
        <w:t>assessment</w:t>
      </w:r>
      <w:r w:rsidRPr="00063981">
        <w:rPr>
          <w:sz w:val="24"/>
          <w:szCs w:val="24"/>
        </w:rPr>
        <w:t xml:space="preserve"> worldwide</w:t>
      </w:r>
      <w:r>
        <w:rPr>
          <w:sz w:val="24"/>
          <w:szCs w:val="24"/>
        </w:rPr>
        <w:t xml:space="preserve">. </w:t>
      </w:r>
      <w:r w:rsidRPr="006527C7">
        <w:rPr>
          <w:noProof/>
          <w:sz w:val="24"/>
          <w:szCs w:val="24"/>
        </w:rPr>
        <w:t>In addition</w:t>
      </w:r>
      <w:r w:rsidRPr="00063981">
        <w:rPr>
          <w:sz w:val="24"/>
          <w:szCs w:val="24"/>
        </w:rPr>
        <w:t>, major society guidelines currently recommend calc</w:t>
      </w:r>
      <w:r>
        <w:rPr>
          <w:sz w:val="24"/>
          <w:szCs w:val="24"/>
        </w:rPr>
        <w:t>ulating BMI in general practice</w:t>
      </w:r>
      <w:r w:rsidRPr="00063981">
        <w:rPr>
          <w:sz w:val="24"/>
          <w:szCs w:val="24"/>
        </w:rPr>
        <w:t>.</w:t>
      </w:r>
      <w:r w:rsidRPr="00B36BE7">
        <w:rPr>
          <w:noProof/>
          <w:sz w:val="24"/>
          <w:szCs w:val="24"/>
          <w:vertAlign w:val="superscript"/>
        </w:rPr>
        <w:t>8-11</w:t>
      </w:r>
      <w:hyperlink w:anchor="_ENREF_9" w:tooltip="Jensen, 2014 #38" w:history="1"/>
    </w:p>
    <w:p w:rsidR="006F2EE6" w:rsidRPr="00063981" w:rsidRDefault="006F2EE6" w:rsidP="0052196B">
      <w:pPr>
        <w:pStyle w:val="Sinespaciado"/>
        <w:spacing w:line="480" w:lineRule="auto"/>
        <w:ind w:firstLine="720"/>
        <w:jc w:val="both"/>
        <w:rPr>
          <w:sz w:val="24"/>
          <w:szCs w:val="24"/>
        </w:rPr>
      </w:pPr>
      <w:r w:rsidRPr="00063981">
        <w:rPr>
          <w:sz w:val="24"/>
          <w:szCs w:val="24"/>
        </w:rPr>
        <w:t xml:space="preserve">Other anthropometric measures of adiposity </w:t>
      </w:r>
      <w:r>
        <w:rPr>
          <w:sz w:val="24"/>
          <w:szCs w:val="24"/>
        </w:rPr>
        <w:t>that consider</w:t>
      </w:r>
      <w:r w:rsidRPr="00063981">
        <w:rPr>
          <w:sz w:val="24"/>
          <w:szCs w:val="24"/>
        </w:rPr>
        <w:t xml:space="preserve"> abdominal obesity had </w:t>
      </w:r>
      <w:r w:rsidRPr="006527C7">
        <w:rPr>
          <w:noProof/>
          <w:sz w:val="24"/>
          <w:szCs w:val="24"/>
        </w:rPr>
        <w:t>been described</w:t>
      </w:r>
      <w:r w:rsidRPr="00063981">
        <w:rPr>
          <w:sz w:val="24"/>
          <w:szCs w:val="24"/>
        </w:rPr>
        <w:t xml:space="preserve"> in the literature, such as waist-to-hip ratio, waist circumference, and waist-to-height ratio. These measures have been shown to be superior to BMI in certain settings and populations.</w:t>
      </w:r>
      <w:r w:rsidRPr="00063981">
        <w:rPr>
          <w:noProof/>
          <w:sz w:val="24"/>
          <w:szCs w:val="24"/>
          <w:vertAlign w:val="superscript"/>
        </w:rPr>
        <w:t>12-14</w:t>
      </w:r>
      <w:r w:rsidRPr="00063981">
        <w:rPr>
          <w:sz w:val="24"/>
          <w:szCs w:val="24"/>
        </w:rPr>
        <w:t xml:space="preserve"> However, the current approach of the World Health Organization and major society guidelines is to use these </w:t>
      </w:r>
      <w:r>
        <w:rPr>
          <w:sz w:val="24"/>
          <w:szCs w:val="24"/>
        </w:rPr>
        <w:t xml:space="preserve">additional </w:t>
      </w:r>
      <w:r w:rsidRPr="00063981">
        <w:rPr>
          <w:sz w:val="24"/>
          <w:szCs w:val="24"/>
        </w:rPr>
        <w:t>measures as complement</w:t>
      </w:r>
      <w:r>
        <w:rPr>
          <w:sz w:val="24"/>
          <w:szCs w:val="24"/>
        </w:rPr>
        <w:t xml:space="preserve"> (not as a replacement)</w:t>
      </w:r>
      <w:r w:rsidRPr="00063981">
        <w:rPr>
          <w:sz w:val="24"/>
          <w:szCs w:val="24"/>
        </w:rPr>
        <w:t xml:space="preserve"> of BMI.</w:t>
      </w:r>
      <w:r w:rsidRPr="00F77152">
        <w:rPr>
          <w:noProof/>
          <w:sz w:val="24"/>
          <w:szCs w:val="24"/>
          <w:vertAlign w:val="superscript"/>
        </w:rPr>
        <w:t>10,15</w:t>
      </w:r>
    </w:p>
    <w:p w:rsidR="006F2EE6" w:rsidRPr="00063981" w:rsidRDefault="006F2EE6" w:rsidP="0052196B">
      <w:pPr>
        <w:pStyle w:val="Sinespaciado"/>
        <w:spacing w:line="480" w:lineRule="auto"/>
        <w:ind w:firstLine="720"/>
        <w:jc w:val="both"/>
        <w:rPr>
          <w:sz w:val="24"/>
          <w:szCs w:val="24"/>
        </w:rPr>
      </w:pPr>
    </w:p>
    <w:p w:rsidR="006F2EE6" w:rsidRPr="00063981" w:rsidRDefault="006F2EE6" w:rsidP="0052196B">
      <w:pPr>
        <w:pStyle w:val="Sinespaciado"/>
        <w:spacing w:line="480" w:lineRule="auto"/>
        <w:jc w:val="both"/>
        <w:rPr>
          <w:b/>
          <w:sz w:val="24"/>
          <w:szCs w:val="24"/>
        </w:rPr>
      </w:pPr>
      <w:r w:rsidRPr="00063981">
        <w:rPr>
          <w:b/>
          <w:sz w:val="24"/>
          <w:szCs w:val="24"/>
        </w:rPr>
        <w:t xml:space="preserve">Obesity </w:t>
      </w:r>
      <w:r>
        <w:rPr>
          <w:b/>
          <w:noProof/>
          <w:sz w:val="24"/>
          <w:szCs w:val="24"/>
        </w:rPr>
        <w:t>E</w:t>
      </w:r>
      <w:r w:rsidRPr="006527C7">
        <w:rPr>
          <w:b/>
          <w:noProof/>
          <w:sz w:val="24"/>
          <w:szCs w:val="24"/>
        </w:rPr>
        <w:t>pidemiology</w:t>
      </w:r>
    </w:p>
    <w:p w:rsidR="006F2EE6" w:rsidRDefault="006F2EE6" w:rsidP="0052196B">
      <w:pPr>
        <w:pStyle w:val="Sinespaciado"/>
        <w:spacing w:line="480" w:lineRule="auto"/>
        <w:ind w:firstLine="720"/>
        <w:jc w:val="both"/>
        <w:rPr>
          <w:sz w:val="24"/>
          <w:szCs w:val="24"/>
        </w:rPr>
      </w:pPr>
      <w:r>
        <w:rPr>
          <w:sz w:val="24"/>
          <w:szCs w:val="24"/>
        </w:rPr>
        <w:t xml:space="preserve">The prevalence of obesity has risen substantially during the last three decades. </w:t>
      </w:r>
      <w:r w:rsidRPr="006527C7">
        <w:rPr>
          <w:noProof/>
          <w:sz w:val="24"/>
          <w:szCs w:val="24"/>
        </w:rPr>
        <w:t>The 2013 age-standardized global prevalence of BMI ≥ 25 kg/m</w:t>
      </w:r>
      <w:r w:rsidRPr="006527C7">
        <w:rPr>
          <w:noProof/>
          <w:sz w:val="24"/>
          <w:szCs w:val="24"/>
          <w:vertAlign w:val="superscript"/>
        </w:rPr>
        <w:t>2</w:t>
      </w:r>
      <w:r w:rsidRPr="006527C7">
        <w:rPr>
          <w:noProof/>
          <w:sz w:val="24"/>
          <w:szCs w:val="24"/>
        </w:rPr>
        <w:t xml:space="preserve"> among adults was 36.9% in men and 38% in women, compared to 28.8% in men and 29.8%  in women in 1980.</w:t>
      </w:r>
      <w:r w:rsidRPr="006527C7">
        <w:rPr>
          <w:noProof/>
          <w:sz w:val="24"/>
          <w:szCs w:val="24"/>
          <w:vertAlign w:val="superscript"/>
        </w:rPr>
        <w:t>16</w:t>
      </w:r>
      <w:r w:rsidRPr="006527C7">
        <w:rPr>
          <w:noProof/>
          <w:sz w:val="24"/>
          <w:szCs w:val="24"/>
        </w:rPr>
        <w:t xml:space="preserve"> Developed countries usually rank first in obesity prevalence.</w:t>
      </w:r>
      <w:r>
        <w:rPr>
          <w:sz w:val="24"/>
          <w:szCs w:val="24"/>
        </w:rPr>
        <w:t xml:space="preserve"> A cross-sectional analysis done in the United States between 2011 and 2012 by the </w:t>
      </w:r>
      <w:r w:rsidRPr="0045076C">
        <w:rPr>
          <w:sz w:val="24"/>
          <w:szCs w:val="24"/>
        </w:rPr>
        <w:t xml:space="preserve">National </w:t>
      </w:r>
      <w:r w:rsidRPr="006527C7">
        <w:rPr>
          <w:noProof/>
          <w:sz w:val="24"/>
          <w:szCs w:val="24"/>
        </w:rPr>
        <w:t>Health</w:t>
      </w:r>
      <w:r w:rsidRPr="0045076C">
        <w:rPr>
          <w:sz w:val="24"/>
          <w:szCs w:val="24"/>
        </w:rPr>
        <w:t xml:space="preserve"> and Nutrition Examination Survey</w:t>
      </w:r>
      <w:r>
        <w:rPr>
          <w:sz w:val="24"/>
          <w:szCs w:val="24"/>
        </w:rPr>
        <w:t xml:space="preserve"> concluded that 36% of adults were obese and 34% overweight.</w:t>
      </w:r>
      <w:r w:rsidRPr="0045076C">
        <w:rPr>
          <w:noProof/>
          <w:sz w:val="24"/>
          <w:szCs w:val="24"/>
          <w:vertAlign w:val="superscript"/>
        </w:rPr>
        <w:t>17</w:t>
      </w:r>
      <w:r>
        <w:rPr>
          <w:sz w:val="24"/>
          <w:szCs w:val="24"/>
        </w:rPr>
        <w:t xml:space="preserve"> In 2004, the </w:t>
      </w:r>
      <w:r w:rsidRPr="004D5532">
        <w:rPr>
          <w:sz w:val="24"/>
          <w:szCs w:val="24"/>
        </w:rPr>
        <w:t>National Institute for Health and Care Excellence</w:t>
      </w:r>
      <w:r>
        <w:rPr>
          <w:sz w:val="24"/>
          <w:szCs w:val="24"/>
        </w:rPr>
        <w:t xml:space="preserve"> in England </w:t>
      </w:r>
      <w:r>
        <w:rPr>
          <w:sz w:val="24"/>
          <w:szCs w:val="24"/>
        </w:rPr>
        <w:lastRenderedPageBreak/>
        <w:t>found that 66% of the population was overweight or obese.</w:t>
      </w:r>
      <w:r w:rsidRPr="006D0FD3">
        <w:rPr>
          <w:noProof/>
          <w:sz w:val="24"/>
          <w:szCs w:val="24"/>
          <w:vertAlign w:val="superscript"/>
        </w:rPr>
        <w:t>18</w:t>
      </w:r>
      <w:r>
        <w:rPr>
          <w:sz w:val="24"/>
          <w:szCs w:val="24"/>
        </w:rPr>
        <w:t xml:space="preserve"> However, in developed countries the prevalence of obesity has become more stable during the last 8 years. </w:t>
      </w:r>
      <w:r w:rsidRPr="006527C7">
        <w:rPr>
          <w:noProof/>
          <w:sz w:val="24"/>
          <w:szCs w:val="24"/>
        </w:rPr>
        <w:t>On the other hand,  obesity prevalence seems to be increasing in the developing world</w:t>
      </w:r>
      <w:r>
        <w:rPr>
          <w:noProof/>
          <w:sz w:val="24"/>
          <w:szCs w:val="24"/>
        </w:rPr>
        <w:t xml:space="preserve"> and given the large popuations ,</w:t>
      </w:r>
      <w:r w:rsidRPr="006527C7">
        <w:rPr>
          <w:noProof/>
          <w:sz w:val="24"/>
          <w:szCs w:val="24"/>
        </w:rPr>
        <w:t xml:space="preserve"> two-thirds of all obese people in the world live</w:t>
      </w:r>
      <w:r>
        <w:rPr>
          <w:noProof/>
          <w:sz w:val="24"/>
          <w:szCs w:val="24"/>
        </w:rPr>
        <w:t xml:space="preserve"> in these countries</w:t>
      </w:r>
      <w:r w:rsidRPr="006527C7">
        <w:rPr>
          <w:noProof/>
          <w:sz w:val="24"/>
          <w:szCs w:val="24"/>
        </w:rPr>
        <w:t>.</w:t>
      </w:r>
      <w:r w:rsidRPr="00DF4491">
        <w:rPr>
          <w:noProof/>
          <w:sz w:val="24"/>
          <w:szCs w:val="24"/>
          <w:vertAlign w:val="superscript"/>
        </w:rPr>
        <w:t>16</w:t>
      </w:r>
      <w:r>
        <w:rPr>
          <w:sz w:val="24"/>
          <w:szCs w:val="24"/>
        </w:rPr>
        <w:t xml:space="preserve">  </w:t>
      </w:r>
    </w:p>
    <w:p w:rsidR="006F2EE6" w:rsidRPr="00D25271" w:rsidRDefault="006F2EE6" w:rsidP="0052196B">
      <w:pPr>
        <w:pStyle w:val="Sinespaciado"/>
        <w:spacing w:line="480" w:lineRule="auto"/>
        <w:ind w:firstLine="720"/>
        <w:jc w:val="both"/>
        <w:rPr>
          <w:sz w:val="24"/>
          <w:szCs w:val="24"/>
        </w:rPr>
      </w:pPr>
    </w:p>
    <w:p w:rsidR="006F2EE6" w:rsidRPr="00063981" w:rsidRDefault="006F2EE6" w:rsidP="0052196B">
      <w:pPr>
        <w:pStyle w:val="Sinespaciado"/>
        <w:spacing w:line="480" w:lineRule="auto"/>
        <w:jc w:val="both"/>
        <w:rPr>
          <w:b/>
          <w:sz w:val="24"/>
          <w:szCs w:val="24"/>
        </w:rPr>
      </w:pPr>
      <w:r w:rsidRPr="00063981">
        <w:rPr>
          <w:b/>
          <w:sz w:val="24"/>
          <w:szCs w:val="24"/>
        </w:rPr>
        <w:t>B</w:t>
      </w:r>
      <w:r w:rsidR="0052196B">
        <w:rPr>
          <w:b/>
          <w:sz w:val="24"/>
          <w:szCs w:val="24"/>
        </w:rPr>
        <w:t>ody mass</w:t>
      </w:r>
      <w:r w:rsidRPr="00063981">
        <w:rPr>
          <w:b/>
          <w:sz w:val="24"/>
          <w:szCs w:val="24"/>
        </w:rPr>
        <w:t xml:space="preserve"> index and </w:t>
      </w:r>
      <w:r>
        <w:rPr>
          <w:b/>
          <w:sz w:val="24"/>
          <w:szCs w:val="24"/>
        </w:rPr>
        <w:t xml:space="preserve">primary </w:t>
      </w:r>
      <w:r w:rsidRPr="00063981">
        <w:rPr>
          <w:b/>
          <w:sz w:val="24"/>
          <w:szCs w:val="24"/>
        </w:rPr>
        <w:t>cardiovascular prevention</w:t>
      </w:r>
    </w:p>
    <w:p w:rsidR="006F2EE6" w:rsidRPr="00063981" w:rsidRDefault="006F2EE6" w:rsidP="0052196B">
      <w:pPr>
        <w:pStyle w:val="Sinespaciado"/>
        <w:spacing w:line="480" w:lineRule="auto"/>
        <w:ind w:firstLine="720"/>
        <w:jc w:val="both"/>
        <w:rPr>
          <w:noProof/>
          <w:sz w:val="24"/>
          <w:szCs w:val="24"/>
        </w:rPr>
      </w:pPr>
      <w:r w:rsidRPr="00063981">
        <w:rPr>
          <w:sz w:val="24"/>
          <w:szCs w:val="24"/>
        </w:rPr>
        <w:t>Current national guidelines consider the normal BMI range (18.5 to 24.9 kg/m</w:t>
      </w:r>
      <w:r w:rsidRPr="00063981">
        <w:rPr>
          <w:sz w:val="24"/>
          <w:szCs w:val="24"/>
          <w:vertAlign w:val="superscript"/>
        </w:rPr>
        <w:t>2</w:t>
      </w:r>
      <w:r w:rsidRPr="00063981">
        <w:rPr>
          <w:sz w:val="24"/>
          <w:szCs w:val="24"/>
        </w:rPr>
        <w:t xml:space="preserve">) as a target for cardiovascular prevention, including </w:t>
      </w:r>
      <w:r>
        <w:rPr>
          <w:sz w:val="24"/>
          <w:szCs w:val="24"/>
        </w:rPr>
        <w:t xml:space="preserve">in those who have suffered an </w:t>
      </w:r>
      <w:r w:rsidRPr="00063981">
        <w:rPr>
          <w:sz w:val="24"/>
          <w:szCs w:val="24"/>
        </w:rPr>
        <w:t>acute coronary syndrome (ACS).</w:t>
      </w:r>
      <w:r w:rsidRPr="006527C7">
        <w:rPr>
          <w:noProof/>
          <w:sz w:val="24"/>
          <w:szCs w:val="24"/>
          <w:vertAlign w:val="superscript"/>
        </w:rPr>
        <w:t>9,10</w:t>
      </w:r>
      <w:r w:rsidRPr="006527C7">
        <w:rPr>
          <w:noProof/>
          <w:sz w:val="24"/>
          <w:szCs w:val="24"/>
        </w:rPr>
        <w:t xml:space="preserve"> These recommendations are supported by studies in individuals without prior CVD, in which individuals who are overweight (BMI 25 to 29.9 kg/m</w:t>
      </w:r>
      <w:r w:rsidRPr="006527C7">
        <w:rPr>
          <w:noProof/>
          <w:sz w:val="24"/>
          <w:szCs w:val="24"/>
          <w:vertAlign w:val="superscript"/>
        </w:rPr>
        <w:t>2</w:t>
      </w:r>
      <w:r w:rsidRPr="006527C7">
        <w:rPr>
          <w:noProof/>
          <w:sz w:val="24"/>
          <w:szCs w:val="24"/>
        </w:rPr>
        <w:t>) or obese (&gt; 30 kg/m</w:t>
      </w:r>
      <w:r w:rsidRPr="006527C7">
        <w:rPr>
          <w:noProof/>
          <w:sz w:val="24"/>
          <w:szCs w:val="24"/>
          <w:vertAlign w:val="superscript"/>
        </w:rPr>
        <w:t>2</w:t>
      </w:r>
      <w:r w:rsidRPr="006527C7">
        <w:rPr>
          <w:noProof/>
          <w:sz w:val="24"/>
          <w:szCs w:val="24"/>
        </w:rPr>
        <w:t>) are at higher risk of myocardial infarction and mortality as compared to patients with a normal BMI range.</w:t>
      </w:r>
      <w:r w:rsidRPr="006527C7">
        <w:rPr>
          <w:noProof/>
          <w:sz w:val="24"/>
          <w:szCs w:val="24"/>
          <w:vertAlign w:val="superscript"/>
        </w:rPr>
        <w:t>12,19-22</w:t>
      </w:r>
      <w:r w:rsidRPr="00063981">
        <w:rPr>
          <w:noProof/>
          <w:sz w:val="24"/>
          <w:szCs w:val="24"/>
        </w:rPr>
        <w:t xml:space="preserve"> Moreover, weight reduction among obese patients is associated with improved blood pressure, diabetes and </w:t>
      </w:r>
      <w:r>
        <w:rPr>
          <w:noProof/>
          <w:sz w:val="24"/>
          <w:szCs w:val="24"/>
        </w:rPr>
        <w:t>dysl</w:t>
      </w:r>
      <w:r w:rsidRPr="00063981">
        <w:rPr>
          <w:noProof/>
          <w:sz w:val="24"/>
          <w:szCs w:val="24"/>
        </w:rPr>
        <w:t>ipidemia control</w:t>
      </w:r>
      <w:r>
        <w:rPr>
          <w:noProof/>
          <w:sz w:val="24"/>
          <w:szCs w:val="24"/>
        </w:rPr>
        <w:t>, although a reduction in clinical events has yet to be demosntrated</w:t>
      </w:r>
      <w:r w:rsidRPr="00063981">
        <w:rPr>
          <w:noProof/>
          <w:sz w:val="24"/>
          <w:szCs w:val="24"/>
        </w:rPr>
        <w:t>.</w:t>
      </w:r>
      <w:r w:rsidRPr="00DF4491">
        <w:rPr>
          <w:noProof/>
          <w:sz w:val="24"/>
          <w:szCs w:val="24"/>
          <w:vertAlign w:val="superscript"/>
        </w:rPr>
        <w:t>23,24</w:t>
      </w:r>
    </w:p>
    <w:p w:rsidR="006F2EE6" w:rsidRPr="00063981" w:rsidRDefault="006F2EE6" w:rsidP="0052196B">
      <w:pPr>
        <w:pStyle w:val="Sinespaciado"/>
        <w:spacing w:line="480" w:lineRule="auto"/>
        <w:jc w:val="both"/>
        <w:rPr>
          <w:sz w:val="24"/>
          <w:szCs w:val="24"/>
        </w:rPr>
      </w:pPr>
    </w:p>
    <w:p w:rsidR="006F2EE6" w:rsidRPr="00063981" w:rsidRDefault="006F2EE6" w:rsidP="0052196B">
      <w:pPr>
        <w:pStyle w:val="Sinespaciado"/>
        <w:spacing w:line="480" w:lineRule="auto"/>
        <w:jc w:val="both"/>
        <w:rPr>
          <w:b/>
          <w:sz w:val="24"/>
          <w:szCs w:val="24"/>
        </w:rPr>
      </w:pPr>
      <w:r w:rsidRPr="00063981">
        <w:rPr>
          <w:b/>
          <w:sz w:val="24"/>
          <w:szCs w:val="24"/>
        </w:rPr>
        <w:t>B</w:t>
      </w:r>
      <w:r w:rsidR="0052196B">
        <w:rPr>
          <w:b/>
          <w:sz w:val="24"/>
          <w:szCs w:val="24"/>
        </w:rPr>
        <w:t>ody mass</w:t>
      </w:r>
      <w:r w:rsidRPr="00063981">
        <w:rPr>
          <w:b/>
          <w:sz w:val="24"/>
          <w:szCs w:val="24"/>
        </w:rPr>
        <w:t xml:space="preserve"> index and</w:t>
      </w:r>
      <w:r>
        <w:rPr>
          <w:b/>
          <w:sz w:val="24"/>
          <w:szCs w:val="24"/>
        </w:rPr>
        <w:t xml:space="preserve"> </w:t>
      </w:r>
      <w:r>
        <w:rPr>
          <w:b/>
          <w:noProof/>
          <w:sz w:val="24"/>
          <w:szCs w:val="24"/>
        </w:rPr>
        <w:t>secondary cardiovascular</w:t>
      </w:r>
      <w:r w:rsidRPr="006527C7">
        <w:rPr>
          <w:b/>
          <w:noProof/>
          <w:sz w:val="24"/>
          <w:szCs w:val="24"/>
        </w:rPr>
        <w:t xml:space="preserve"> prevention</w:t>
      </w:r>
      <w:r>
        <w:rPr>
          <w:b/>
          <w:sz w:val="24"/>
          <w:szCs w:val="24"/>
        </w:rPr>
        <w:t xml:space="preserve">: “The obesity </w:t>
      </w:r>
      <w:r w:rsidRPr="006527C7">
        <w:rPr>
          <w:b/>
          <w:noProof/>
          <w:sz w:val="24"/>
          <w:szCs w:val="24"/>
        </w:rPr>
        <w:t>paradox”</w:t>
      </w:r>
    </w:p>
    <w:p w:rsidR="006F2EE6" w:rsidRPr="00063981" w:rsidRDefault="006F2EE6" w:rsidP="0052196B">
      <w:pPr>
        <w:pStyle w:val="Sinespaciado"/>
        <w:spacing w:line="480" w:lineRule="auto"/>
        <w:ind w:firstLine="720"/>
        <w:jc w:val="both"/>
        <w:rPr>
          <w:sz w:val="24"/>
          <w:szCs w:val="24"/>
        </w:rPr>
      </w:pPr>
      <w:r w:rsidRPr="00063981">
        <w:rPr>
          <w:sz w:val="24"/>
          <w:szCs w:val="24"/>
        </w:rPr>
        <w:t xml:space="preserve">On the other hand, excess adipose tissue may be beneficial after coronary heart disease (CHD) </w:t>
      </w:r>
      <w:r w:rsidRPr="00063981">
        <w:rPr>
          <w:noProof/>
          <w:sz w:val="24"/>
          <w:szCs w:val="24"/>
        </w:rPr>
        <w:t>is established</w:t>
      </w:r>
      <w:r w:rsidRPr="00063981">
        <w:rPr>
          <w:sz w:val="24"/>
          <w:szCs w:val="24"/>
        </w:rPr>
        <w:t xml:space="preserve">. This hypothesis </w:t>
      </w:r>
      <w:r w:rsidRPr="006527C7">
        <w:rPr>
          <w:noProof/>
          <w:sz w:val="24"/>
          <w:szCs w:val="24"/>
        </w:rPr>
        <w:t>is supported</w:t>
      </w:r>
      <w:r w:rsidRPr="00063981">
        <w:rPr>
          <w:sz w:val="24"/>
          <w:szCs w:val="24"/>
        </w:rPr>
        <w:t xml:space="preserve"> by a series of meta-analyses of observational studies</w:t>
      </w:r>
      <w:r>
        <w:rPr>
          <w:sz w:val="24"/>
          <w:szCs w:val="24"/>
        </w:rPr>
        <w:t xml:space="preserve"> including patients with CHD</w:t>
      </w:r>
      <w:r w:rsidRPr="00063981">
        <w:rPr>
          <w:sz w:val="24"/>
          <w:szCs w:val="24"/>
        </w:rPr>
        <w:t xml:space="preserve">, showing a J- or U-shaped association </w:t>
      </w:r>
      <w:r w:rsidRPr="00063981">
        <w:rPr>
          <w:sz w:val="24"/>
          <w:szCs w:val="24"/>
        </w:rPr>
        <w:lastRenderedPageBreak/>
        <w:t xml:space="preserve">between BMI and mortality or BMI and cardiovascular mortality. In these </w:t>
      </w:r>
      <w:r w:rsidRPr="00063981">
        <w:rPr>
          <w:noProof/>
          <w:sz w:val="24"/>
          <w:szCs w:val="24"/>
        </w:rPr>
        <w:t>studies,</w:t>
      </w:r>
      <w:r w:rsidRPr="00063981">
        <w:rPr>
          <w:sz w:val="24"/>
          <w:szCs w:val="24"/>
        </w:rPr>
        <w:t xml:space="preserve"> a normal BMI was associated with a higher rate of recurrent clinical events compared to those who had a higher BMI.</w:t>
      </w:r>
      <w:r w:rsidRPr="00DF4491">
        <w:rPr>
          <w:noProof/>
          <w:sz w:val="24"/>
          <w:szCs w:val="24"/>
          <w:vertAlign w:val="superscript"/>
        </w:rPr>
        <w:t>25-28</w:t>
      </w:r>
      <w:r>
        <w:rPr>
          <w:sz w:val="24"/>
          <w:szCs w:val="24"/>
        </w:rPr>
        <w:t xml:space="preserve"> </w:t>
      </w:r>
      <w:hyperlink w:anchor="_ENREF_5" w:tooltip="Oreopoulos, 2008 #3" w:history="1"/>
      <w:hyperlink w:anchor="_ENREF_3" w:tooltip="Niedziela, 2014 #2" w:history="1"/>
      <w:r w:rsidRPr="00063981">
        <w:rPr>
          <w:sz w:val="24"/>
          <w:szCs w:val="24"/>
        </w:rPr>
        <w:t xml:space="preserve">This phenomenon has been named “the obesity paradox”, given the opposite direction of the effects compared to what </w:t>
      </w:r>
      <w:r>
        <w:rPr>
          <w:sz w:val="24"/>
          <w:szCs w:val="24"/>
        </w:rPr>
        <w:t xml:space="preserve">would be expected </w:t>
      </w:r>
      <w:r w:rsidRPr="00063981">
        <w:rPr>
          <w:sz w:val="24"/>
          <w:szCs w:val="24"/>
        </w:rPr>
        <w:t xml:space="preserve">based on the studies of people without CVD. </w:t>
      </w:r>
      <w:r w:rsidRPr="006527C7">
        <w:rPr>
          <w:noProof/>
          <w:sz w:val="24"/>
          <w:szCs w:val="24"/>
        </w:rPr>
        <w:t xml:space="preserve">This pattern was also observed in those with other chronic cardiovascular conditions (heart failure, hypertension and peripheral vascular disease), among those with non-cardiovascular chronic conditions (the elderly, chronic renal failure, chronic obstructive pulmonary disease, cancer, rheumatoid arthritis and acquired immune deficiency syndrome) and  </w:t>
      </w:r>
      <w:r>
        <w:rPr>
          <w:noProof/>
          <w:sz w:val="24"/>
          <w:szCs w:val="24"/>
        </w:rPr>
        <w:t xml:space="preserve">acutely </w:t>
      </w:r>
      <w:r w:rsidRPr="006527C7">
        <w:rPr>
          <w:noProof/>
          <w:sz w:val="24"/>
          <w:szCs w:val="24"/>
        </w:rPr>
        <w:t xml:space="preserve"> ill adult patients.</w:t>
      </w:r>
      <w:r w:rsidRPr="00DF4491">
        <w:rPr>
          <w:noProof/>
          <w:sz w:val="24"/>
          <w:szCs w:val="24"/>
          <w:vertAlign w:val="superscript"/>
        </w:rPr>
        <w:t>29,30</w:t>
      </w:r>
      <w:r w:rsidRPr="00063981">
        <w:rPr>
          <w:sz w:val="24"/>
          <w:szCs w:val="24"/>
        </w:rPr>
        <w:t xml:space="preserve"> </w:t>
      </w:r>
    </w:p>
    <w:p w:rsidR="006F2EE6" w:rsidRDefault="006F2EE6" w:rsidP="0052196B">
      <w:pPr>
        <w:pStyle w:val="Sinespaciado"/>
        <w:spacing w:line="480" w:lineRule="auto"/>
        <w:ind w:firstLine="720"/>
        <w:jc w:val="both"/>
        <w:rPr>
          <w:sz w:val="24"/>
          <w:szCs w:val="24"/>
        </w:rPr>
      </w:pPr>
      <w:r w:rsidRPr="00063981">
        <w:rPr>
          <w:sz w:val="24"/>
          <w:szCs w:val="24"/>
        </w:rPr>
        <w:t>Several mechanisms</w:t>
      </w:r>
      <w:r>
        <w:rPr>
          <w:noProof/>
          <w:sz w:val="24"/>
          <w:szCs w:val="24"/>
        </w:rPr>
        <w:t xml:space="preserve"> have been </w:t>
      </w:r>
      <w:r w:rsidRPr="006527C7">
        <w:rPr>
          <w:noProof/>
          <w:sz w:val="24"/>
          <w:szCs w:val="24"/>
        </w:rPr>
        <w:t>proposed</w:t>
      </w:r>
      <w:r w:rsidRPr="00063981">
        <w:rPr>
          <w:sz w:val="24"/>
          <w:szCs w:val="24"/>
        </w:rPr>
        <w:t xml:space="preserve"> in the literature for explaining this association</w:t>
      </w:r>
      <w:r>
        <w:rPr>
          <w:sz w:val="24"/>
          <w:szCs w:val="24"/>
        </w:rPr>
        <w:t xml:space="preserve"> (Table 2)</w:t>
      </w:r>
      <w:r w:rsidRPr="00063981">
        <w:rPr>
          <w:sz w:val="24"/>
          <w:szCs w:val="24"/>
        </w:rPr>
        <w:t xml:space="preserve">. Some hypothesized mediators deserve to </w:t>
      </w:r>
      <w:r w:rsidRPr="006527C7">
        <w:rPr>
          <w:noProof/>
          <w:sz w:val="24"/>
          <w:szCs w:val="24"/>
        </w:rPr>
        <w:t>be mentioned</w:t>
      </w:r>
      <w:r w:rsidRPr="00063981">
        <w:rPr>
          <w:sz w:val="24"/>
          <w:szCs w:val="24"/>
        </w:rPr>
        <w:t>. First, increased adiposity might increase</w:t>
      </w:r>
      <w:r>
        <w:rPr>
          <w:sz w:val="24"/>
          <w:szCs w:val="24"/>
        </w:rPr>
        <w:t xml:space="preserve"> the</w:t>
      </w:r>
      <w:r w:rsidRPr="00063981">
        <w:rPr>
          <w:sz w:val="24"/>
          <w:szCs w:val="24"/>
        </w:rPr>
        <w:t xml:space="preserve"> </w:t>
      </w:r>
      <w:r w:rsidRPr="006527C7">
        <w:rPr>
          <w:noProof/>
          <w:sz w:val="24"/>
          <w:szCs w:val="24"/>
        </w:rPr>
        <w:t>metabolic</w:t>
      </w:r>
      <w:r w:rsidRPr="00063981">
        <w:rPr>
          <w:sz w:val="24"/>
          <w:szCs w:val="24"/>
        </w:rPr>
        <w:t xml:space="preserve"> reserve and counteract the </w:t>
      </w:r>
      <w:r>
        <w:rPr>
          <w:noProof/>
          <w:sz w:val="24"/>
          <w:szCs w:val="24"/>
        </w:rPr>
        <w:t>advers</w:t>
      </w:r>
      <w:r w:rsidRPr="006527C7">
        <w:rPr>
          <w:noProof/>
          <w:sz w:val="24"/>
          <w:szCs w:val="24"/>
        </w:rPr>
        <w:t>e</w:t>
      </w:r>
      <w:r w:rsidRPr="00063981">
        <w:rPr>
          <w:sz w:val="24"/>
          <w:szCs w:val="24"/>
        </w:rPr>
        <w:t xml:space="preserve"> effects of inflammation and cachexia.</w:t>
      </w:r>
      <w:r w:rsidRPr="00DF4491">
        <w:rPr>
          <w:noProof/>
          <w:sz w:val="24"/>
          <w:szCs w:val="24"/>
          <w:vertAlign w:val="superscript"/>
        </w:rPr>
        <w:t>31</w:t>
      </w:r>
      <w:r w:rsidRPr="00063981">
        <w:rPr>
          <w:sz w:val="24"/>
          <w:szCs w:val="24"/>
        </w:rPr>
        <w:t xml:space="preserve"> </w:t>
      </w:r>
      <w:proofErr w:type="gramStart"/>
      <w:r>
        <w:rPr>
          <w:sz w:val="24"/>
          <w:szCs w:val="24"/>
        </w:rPr>
        <w:t>Most</w:t>
      </w:r>
      <w:proofErr w:type="gramEnd"/>
      <w:r>
        <w:rPr>
          <w:sz w:val="24"/>
          <w:szCs w:val="24"/>
        </w:rPr>
        <w:t xml:space="preserve"> severely compromised patients after ACS are likely to develop heart failure, and therefore being at risk of developing cachexia. This mechanism </w:t>
      </w:r>
      <w:r w:rsidRPr="006527C7">
        <w:rPr>
          <w:noProof/>
          <w:sz w:val="24"/>
          <w:szCs w:val="24"/>
        </w:rPr>
        <w:t>is aligned</w:t>
      </w:r>
      <w:r>
        <w:rPr>
          <w:sz w:val="24"/>
          <w:szCs w:val="24"/>
        </w:rPr>
        <w:t xml:space="preserve"> with previous research among patients with heart failure, in which obese patients consistently have better survival compared to normal weight.</w:t>
      </w:r>
      <w:r w:rsidRPr="00650AD4">
        <w:rPr>
          <w:noProof/>
          <w:sz w:val="24"/>
          <w:szCs w:val="24"/>
          <w:vertAlign w:val="superscript"/>
        </w:rPr>
        <w:t>32,33</w:t>
      </w:r>
      <w:r>
        <w:rPr>
          <w:sz w:val="24"/>
          <w:szCs w:val="24"/>
        </w:rPr>
        <w:t xml:space="preserve"> Furthermore, in other conditions related </w:t>
      </w:r>
      <w:r>
        <w:rPr>
          <w:noProof/>
          <w:sz w:val="24"/>
          <w:szCs w:val="24"/>
        </w:rPr>
        <w:t>to</w:t>
      </w:r>
      <w:r>
        <w:rPr>
          <w:sz w:val="24"/>
          <w:szCs w:val="24"/>
        </w:rPr>
        <w:t xml:space="preserve"> cachexia, such as lung cancer (a non-obesity related cancer), obese patients have better survival compared to normal weight.</w:t>
      </w:r>
      <w:r w:rsidRPr="008E04C7">
        <w:rPr>
          <w:noProof/>
          <w:sz w:val="24"/>
          <w:szCs w:val="24"/>
          <w:vertAlign w:val="superscript"/>
        </w:rPr>
        <w:t>34</w:t>
      </w:r>
    </w:p>
    <w:p w:rsidR="006F2EE6" w:rsidRDefault="006F2EE6" w:rsidP="0052196B">
      <w:pPr>
        <w:pStyle w:val="Sinespaciado"/>
        <w:spacing w:line="480" w:lineRule="auto"/>
        <w:ind w:firstLine="720"/>
        <w:jc w:val="both"/>
        <w:rPr>
          <w:sz w:val="24"/>
          <w:szCs w:val="24"/>
        </w:rPr>
      </w:pPr>
      <w:r>
        <w:rPr>
          <w:sz w:val="24"/>
          <w:szCs w:val="24"/>
        </w:rPr>
        <w:t>Second</w:t>
      </w:r>
      <w:r w:rsidRPr="00063981">
        <w:rPr>
          <w:sz w:val="24"/>
          <w:szCs w:val="24"/>
        </w:rPr>
        <w:t>, obesity might be associated with lower rates of bleeding compared with individuals who are under-weight.</w:t>
      </w:r>
      <w:r w:rsidRPr="006527C7">
        <w:rPr>
          <w:noProof/>
          <w:sz w:val="24"/>
          <w:szCs w:val="24"/>
          <w:vertAlign w:val="superscript"/>
        </w:rPr>
        <w:t>35,36</w:t>
      </w:r>
      <w:r w:rsidRPr="006527C7">
        <w:rPr>
          <w:noProof/>
          <w:sz w:val="24"/>
          <w:szCs w:val="24"/>
        </w:rPr>
        <w:t xml:space="preserve"> Bleeding is associated with increased </w:t>
      </w:r>
      <w:r w:rsidRPr="006527C7">
        <w:rPr>
          <w:noProof/>
          <w:sz w:val="24"/>
          <w:szCs w:val="24"/>
        </w:rPr>
        <w:lastRenderedPageBreak/>
        <w:t>cardiovascular events and mortality, and this relationship may be ca</w:t>
      </w:r>
      <w:r>
        <w:rPr>
          <w:noProof/>
          <w:sz w:val="24"/>
          <w:szCs w:val="24"/>
        </w:rPr>
        <w:t>u</w:t>
      </w:r>
      <w:r w:rsidRPr="006527C7">
        <w:rPr>
          <w:noProof/>
          <w:sz w:val="24"/>
          <w:szCs w:val="24"/>
        </w:rPr>
        <w:t>sal</w:t>
      </w:r>
      <w:r>
        <w:rPr>
          <w:noProof/>
          <w:sz w:val="24"/>
          <w:szCs w:val="24"/>
        </w:rPr>
        <w:t>.</w:t>
      </w:r>
      <w:r w:rsidRPr="006527C7">
        <w:rPr>
          <w:noProof/>
          <w:sz w:val="24"/>
          <w:szCs w:val="24"/>
          <w:vertAlign w:val="superscript"/>
        </w:rPr>
        <w:t>37</w:t>
      </w:r>
      <w:r w:rsidRPr="006527C7">
        <w:rPr>
          <w:noProof/>
          <w:sz w:val="24"/>
          <w:szCs w:val="24"/>
        </w:rPr>
        <w:t xml:space="preserve"> Obese patients receive relatively lower antiplatelet and anticoagulant doses </w:t>
      </w:r>
      <w:r>
        <w:rPr>
          <w:noProof/>
          <w:sz w:val="24"/>
          <w:szCs w:val="24"/>
        </w:rPr>
        <w:t>given their higher body weight</w:t>
      </w:r>
      <w:r w:rsidRPr="006527C7">
        <w:rPr>
          <w:noProof/>
          <w:sz w:val="24"/>
          <w:szCs w:val="24"/>
        </w:rPr>
        <w:t xml:space="preserve"> (during the ACS admission and after discharge), which may be related to fewer bleeding events.</w:t>
      </w:r>
      <w:r>
        <w:rPr>
          <w:sz w:val="24"/>
          <w:szCs w:val="24"/>
        </w:rPr>
        <w:t xml:space="preserve"> This mechanism </w:t>
      </w:r>
      <w:r w:rsidRPr="006527C7">
        <w:rPr>
          <w:noProof/>
          <w:sz w:val="24"/>
          <w:szCs w:val="24"/>
        </w:rPr>
        <w:t>is supported</w:t>
      </w:r>
      <w:r>
        <w:rPr>
          <w:sz w:val="24"/>
          <w:szCs w:val="24"/>
        </w:rPr>
        <w:t xml:space="preserve"> by previous reports that reported reduced risk at PCI access site and </w:t>
      </w:r>
      <w:r w:rsidRPr="006527C7">
        <w:rPr>
          <w:noProof/>
          <w:sz w:val="24"/>
          <w:szCs w:val="24"/>
        </w:rPr>
        <w:t>gastrointestinal</w:t>
      </w:r>
      <w:r>
        <w:rPr>
          <w:sz w:val="24"/>
          <w:szCs w:val="24"/>
        </w:rPr>
        <w:t xml:space="preserve"> bleeding among ACS patients.</w:t>
      </w:r>
      <w:r w:rsidRPr="004A2F8B">
        <w:rPr>
          <w:noProof/>
          <w:sz w:val="24"/>
          <w:szCs w:val="24"/>
          <w:vertAlign w:val="superscript"/>
        </w:rPr>
        <w:t>38,39</w:t>
      </w:r>
    </w:p>
    <w:p w:rsidR="006F2EE6" w:rsidRDefault="006F2EE6" w:rsidP="0052196B">
      <w:pPr>
        <w:pStyle w:val="Sinespaciado"/>
        <w:spacing w:line="480" w:lineRule="auto"/>
        <w:ind w:firstLine="720"/>
        <w:jc w:val="both"/>
        <w:rPr>
          <w:sz w:val="24"/>
          <w:szCs w:val="24"/>
        </w:rPr>
      </w:pPr>
      <w:r>
        <w:rPr>
          <w:sz w:val="24"/>
          <w:szCs w:val="24"/>
        </w:rPr>
        <w:t>Finally</w:t>
      </w:r>
      <w:r w:rsidRPr="00063981">
        <w:rPr>
          <w:sz w:val="24"/>
          <w:szCs w:val="24"/>
        </w:rPr>
        <w:t>, the increased vessel size of obese patients may be related to better outcomes after coronary revascularization.</w:t>
      </w:r>
      <w:r>
        <w:rPr>
          <w:sz w:val="24"/>
          <w:szCs w:val="24"/>
        </w:rPr>
        <w:t xml:space="preserve">  Increased body size, assessed by BMI or body-surface area, is linearly associated with coronary vessel size.</w:t>
      </w:r>
      <w:r w:rsidRPr="007779BC">
        <w:rPr>
          <w:noProof/>
          <w:sz w:val="24"/>
          <w:szCs w:val="24"/>
          <w:vertAlign w:val="superscript"/>
        </w:rPr>
        <w:t>40,41</w:t>
      </w:r>
      <w:r w:rsidR="00DC7437">
        <w:rPr>
          <w:sz w:val="24"/>
          <w:szCs w:val="24"/>
        </w:rPr>
        <w:t xml:space="preserve"> </w:t>
      </w:r>
      <w:proofErr w:type="gramStart"/>
      <w:r>
        <w:rPr>
          <w:sz w:val="24"/>
          <w:szCs w:val="24"/>
        </w:rPr>
        <w:t>Larger</w:t>
      </w:r>
      <w:proofErr w:type="gramEnd"/>
      <w:r>
        <w:rPr>
          <w:sz w:val="24"/>
          <w:szCs w:val="24"/>
        </w:rPr>
        <w:t xml:space="preserve"> vessel size is related to improved outcomes after </w:t>
      </w:r>
      <w:r w:rsidRPr="006527C7">
        <w:rPr>
          <w:noProof/>
          <w:sz w:val="24"/>
          <w:szCs w:val="24"/>
        </w:rPr>
        <w:t>primary</w:t>
      </w:r>
      <w:r>
        <w:rPr>
          <w:sz w:val="24"/>
          <w:szCs w:val="24"/>
        </w:rPr>
        <w:t xml:space="preserve"> coronary interventions, such as procedural success rate, </w:t>
      </w:r>
      <w:proofErr w:type="spellStart"/>
      <w:r>
        <w:rPr>
          <w:sz w:val="24"/>
          <w:szCs w:val="24"/>
        </w:rPr>
        <w:t>reinfarction</w:t>
      </w:r>
      <w:proofErr w:type="spellEnd"/>
      <w:r>
        <w:rPr>
          <w:sz w:val="24"/>
          <w:szCs w:val="24"/>
        </w:rPr>
        <w:t xml:space="preserve">, </w:t>
      </w:r>
      <w:r w:rsidRPr="006527C7">
        <w:rPr>
          <w:noProof/>
          <w:sz w:val="24"/>
          <w:szCs w:val="24"/>
        </w:rPr>
        <w:t>restenosis</w:t>
      </w:r>
      <w:r>
        <w:rPr>
          <w:noProof/>
          <w:sz w:val="24"/>
          <w:szCs w:val="24"/>
        </w:rPr>
        <w:t>,</w:t>
      </w:r>
      <w:r>
        <w:rPr>
          <w:sz w:val="24"/>
          <w:szCs w:val="24"/>
        </w:rPr>
        <w:t xml:space="preserve"> and mortality.</w:t>
      </w:r>
      <w:r w:rsidRPr="007779BC">
        <w:rPr>
          <w:noProof/>
          <w:sz w:val="24"/>
          <w:szCs w:val="24"/>
          <w:vertAlign w:val="superscript"/>
        </w:rPr>
        <w:t>42</w:t>
      </w:r>
      <w:r>
        <w:rPr>
          <w:sz w:val="24"/>
          <w:szCs w:val="24"/>
        </w:rPr>
        <w:t xml:space="preserve"> </w:t>
      </w:r>
    </w:p>
    <w:p w:rsidR="006F2EE6" w:rsidRDefault="006F2EE6" w:rsidP="0052196B">
      <w:pPr>
        <w:pStyle w:val="Sinespaciado"/>
        <w:spacing w:line="480" w:lineRule="auto"/>
        <w:ind w:firstLine="720"/>
        <w:jc w:val="both"/>
        <w:rPr>
          <w:sz w:val="24"/>
          <w:szCs w:val="24"/>
        </w:rPr>
      </w:pPr>
      <w:r>
        <w:rPr>
          <w:sz w:val="24"/>
          <w:szCs w:val="24"/>
        </w:rPr>
        <w:t>On the other hand, many investigators have postulated different biases that may explain this paradox (Table 2). Obese patients are likely to have ACS at a younger age and have lower smoking rates compared to normal weight ACS patients, leading to confounding bias.</w:t>
      </w:r>
      <w:r w:rsidRPr="007C2E56">
        <w:rPr>
          <w:noProof/>
          <w:sz w:val="24"/>
          <w:szCs w:val="24"/>
          <w:vertAlign w:val="superscript"/>
        </w:rPr>
        <w:t>27</w:t>
      </w:r>
      <w:r>
        <w:rPr>
          <w:sz w:val="24"/>
          <w:szCs w:val="24"/>
        </w:rPr>
        <w:t xml:space="preserve"> Also, other commonly unmeasured confounders, like cardio-respiratory fitness, may </w:t>
      </w:r>
      <w:r>
        <w:rPr>
          <w:noProof/>
          <w:sz w:val="24"/>
          <w:szCs w:val="24"/>
        </w:rPr>
        <w:t>result in</w:t>
      </w:r>
      <w:r w:rsidRPr="006527C7">
        <w:rPr>
          <w:noProof/>
          <w:sz w:val="24"/>
          <w:szCs w:val="24"/>
        </w:rPr>
        <w:t xml:space="preserve"> residual confounding</w:t>
      </w:r>
      <w:r>
        <w:rPr>
          <w:sz w:val="24"/>
          <w:szCs w:val="24"/>
        </w:rPr>
        <w:t>.</w:t>
      </w:r>
      <w:r w:rsidRPr="004A2F8B">
        <w:rPr>
          <w:noProof/>
          <w:sz w:val="24"/>
          <w:szCs w:val="24"/>
          <w:vertAlign w:val="superscript"/>
        </w:rPr>
        <w:t>43</w:t>
      </w:r>
      <w:r>
        <w:rPr>
          <w:sz w:val="24"/>
          <w:szCs w:val="24"/>
        </w:rPr>
        <w:t xml:space="preserve"> Other biases different than confounding </w:t>
      </w:r>
      <w:r w:rsidRPr="006527C7">
        <w:rPr>
          <w:noProof/>
          <w:sz w:val="24"/>
          <w:szCs w:val="24"/>
        </w:rPr>
        <w:t>were also reported</w:t>
      </w:r>
      <w:r>
        <w:rPr>
          <w:sz w:val="24"/>
          <w:szCs w:val="24"/>
        </w:rPr>
        <w:t xml:space="preserve">. Obese patients are likely to have less severe CAD (likely secondary to a younger age at ACS presentation) which can </w:t>
      </w:r>
      <w:r w:rsidRPr="006527C7">
        <w:rPr>
          <w:noProof/>
          <w:sz w:val="24"/>
          <w:szCs w:val="24"/>
        </w:rPr>
        <w:t>be related</w:t>
      </w:r>
      <w:r>
        <w:rPr>
          <w:sz w:val="24"/>
          <w:szCs w:val="24"/>
        </w:rPr>
        <w:t xml:space="preserve"> to a lead time bias.</w:t>
      </w:r>
      <w:r w:rsidRPr="004A2F8B">
        <w:rPr>
          <w:noProof/>
          <w:sz w:val="24"/>
          <w:szCs w:val="24"/>
          <w:vertAlign w:val="superscript"/>
        </w:rPr>
        <w:t>44,45</w:t>
      </w:r>
      <w:r>
        <w:rPr>
          <w:sz w:val="24"/>
          <w:szCs w:val="24"/>
        </w:rPr>
        <w:t xml:space="preserve"> Since patients with severe chronic conditions (including CHD) are likely to have lower </w:t>
      </w:r>
      <w:r w:rsidRPr="006527C7">
        <w:rPr>
          <w:noProof/>
          <w:sz w:val="24"/>
          <w:szCs w:val="24"/>
        </w:rPr>
        <w:t>BMI,</w:t>
      </w:r>
      <w:r>
        <w:rPr>
          <w:sz w:val="24"/>
          <w:szCs w:val="24"/>
        </w:rPr>
        <w:t xml:space="preserve"> reverse causality </w:t>
      </w:r>
      <w:r w:rsidRPr="006527C7">
        <w:rPr>
          <w:noProof/>
          <w:sz w:val="24"/>
          <w:szCs w:val="24"/>
        </w:rPr>
        <w:t>was also proposed</w:t>
      </w:r>
      <w:r>
        <w:rPr>
          <w:sz w:val="24"/>
          <w:szCs w:val="24"/>
        </w:rPr>
        <w:t xml:space="preserve"> as a potential mechanism.</w:t>
      </w:r>
      <w:r w:rsidRPr="004A2F8B">
        <w:rPr>
          <w:noProof/>
          <w:sz w:val="24"/>
          <w:szCs w:val="24"/>
          <w:vertAlign w:val="superscript"/>
        </w:rPr>
        <w:t>46</w:t>
      </w:r>
      <w:r>
        <w:rPr>
          <w:sz w:val="24"/>
          <w:szCs w:val="24"/>
        </w:rPr>
        <w:t xml:space="preserve"> Some of these previously mentioned biases may </w:t>
      </w:r>
      <w:r w:rsidRPr="006527C7">
        <w:rPr>
          <w:noProof/>
          <w:sz w:val="24"/>
          <w:szCs w:val="24"/>
        </w:rPr>
        <w:t>be addressed</w:t>
      </w:r>
      <w:r>
        <w:rPr>
          <w:sz w:val="24"/>
          <w:szCs w:val="24"/>
        </w:rPr>
        <w:t xml:space="preserve"> </w:t>
      </w:r>
      <w:r>
        <w:rPr>
          <w:noProof/>
          <w:sz w:val="24"/>
          <w:szCs w:val="24"/>
        </w:rPr>
        <w:t>by</w:t>
      </w:r>
      <w:r>
        <w:rPr>
          <w:sz w:val="24"/>
          <w:szCs w:val="24"/>
        </w:rPr>
        <w:t xml:space="preserve"> adjusting or exclusion </w:t>
      </w:r>
      <w:r>
        <w:rPr>
          <w:sz w:val="24"/>
          <w:szCs w:val="24"/>
        </w:rPr>
        <w:lastRenderedPageBreak/>
        <w:t xml:space="preserve">(especially confounding bias), but others may remain even after any effort for controlling them. </w:t>
      </w:r>
    </w:p>
    <w:p w:rsidR="006F2EE6" w:rsidRDefault="006F2EE6" w:rsidP="0052196B">
      <w:pPr>
        <w:pStyle w:val="Sinespaciado"/>
        <w:spacing w:line="480" w:lineRule="auto"/>
        <w:ind w:firstLine="720"/>
        <w:jc w:val="both"/>
        <w:rPr>
          <w:sz w:val="24"/>
          <w:szCs w:val="24"/>
        </w:rPr>
      </w:pPr>
    </w:p>
    <w:p w:rsidR="006F2EE6" w:rsidRPr="009019BA" w:rsidRDefault="006F2EE6" w:rsidP="0052196B">
      <w:pPr>
        <w:pStyle w:val="Sinespaciado"/>
        <w:spacing w:line="480" w:lineRule="auto"/>
        <w:jc w:val="both"/>
        <w:rPr>
          <w:b/>
          <w:sz w:val="24"/>
          <w:szCs w:val="24"/>
        </w:rPr>
      </w:pPr>
      <w:r w:rsidRPr="009019BA">
        <w:rPr>
          <w:b/>
          <w:sz w:val="24"/>
          <w:szCs w:val="24"/>
        </w:rPr>
        <w:t>Literature review</w:t>
      </w:r>
    </w:p>
    <w:p w:rsidR="006F2EE6" w:rsidRDefault="006F2EE6" w:rsidP="0052196B">
      <w:pPr>
        <w:pStyle w:val="Sinespaciado"/>
        <w:spacing w:line="480" w:lineRule="auto"/>
        <w:ind w:firstLine="720"/>
        <w:jc w:val="both"/>
        <w:rPr>
          <w:noProof/>
          <w:sz w:val="24"/>
          <w:szCs w:val="24"/>
        </w:rPr>
      </w:pPr>
      <w:r w:rsidRPr="006527C7">
        <w:rPr>
          <w:noProof/>
          <w:sz w:val="24"/>
          <w:szCs w:val="24"/>
        </w:rPr>
        <w:t xml:space="preserve">After an initial comprehensive search of articles evaluating the relationship between BMI and mortality after ACS, a systematic review with meta-analysis published on October 2014 including 26 studies (218,532 participants) </w:t>
      </w:r>
      <w:r>
        <w:rPr>
          <w:noProof/>
          <w:sz w:val="24"/>
          <w:szCs w:val="24"/>
        </w:rPr>
        <w:t>were</w:t>
      </w:r>
      <w:r w:rsidRPr="006527C7">
        <w:rPr>
          <w:noProof/>
          <w:sz w:val="24"/>
          <w:szCs w:val="24"/>
        </w:rPr>
        <w:t xml:space="preserve"> identified.</w:t>
      </w:r>
      <w:r w:rsidRPr="006527C7">
        <w:rPr>
          <w:noProof/>
          <w:sz w:val="24"/>
          <w:szCs w:val="24"/>
          <w:vertAlign w:val="superscript"/>
        </w:rPr>
        <w:t>27</w:t>
      </w:r>
      <w:r w:rsidRPr="006527C7">
        <w:rPr>
          <w:noProof/>
          <w:sz w:val="24"/>
          <w:szCs w:val="24"/>
        </w:rPr>
        <w:t xml:space="preserve"> This review detected </w:t>
      </w:r>
      <w:r>
        <w:rPr>
          <w:noProof/>
          <w:sz w:val="24"/>
          <w:szCs w:val="24"/>
        </w:rPr>
        <w:t>lower</w:t>
      </w:r>
      <w:r w:rsidRPr="006527C7">
        <w:rPr>
          <w:noProof/>
          <w:sz w:val="24"/>
          <w:szCs w:val="24"/>
        </w:rPr>
        <w:t xml:space="preserve"> mortality (compared to normal weight) among overweight (RR 0.70; 95%</w:t>
      </w:r>
      <w:r>
        <w:rPr>
          <w:noProof/>
          <w:sz w:val="24"/>
          <w:szCs w:val="24"/>
        </w:rPr>
        <w:t xml:space="preserve"> </w:t>
      </w:r>
      <w:r w:rsidRPr="006527C7">
        <w:rPr>
          <w:noProof/>
          <w:sz w:val="24"/>
          <w:szCs w:val="24"/>
        </w:rPr>
        <w:t>CI 0.64–0.76) and obese (RR 0.70; 95%</w:t>
      </w:r>
      <w:r>
        <w:rPr>
          <w:noProof/>
          <w:sz w:val="24"/>
          <w:szCs w:val="24"/>
        </w:rPr>
        <w:t xml:space="preserve"> </w:t>
      </w:r>
      <w:r w:rsidRPr="006527C7">
        <w:rPr>
          <w:noProof/>
          <w:sz w:val="24"/>
          <w:szCs w:val="24"/>
        </w:rPr>
        <w:t>CI 0.64–0.76) patients, based on unadjusted estimates.</w:t>
      </w:r>
      <w:r>
        <w:rPr>
          <w:noProof/>
          <w:sz w:val="24"/>
          <w:szCs w:val="24"/>
        </w:rPr>
        <w:t xml:space="preserve"> No other systematic review on this topic </w:t>
      </w:r>
      <w:r w:rsidRPr="006527C7">
        <w:rPr>
          <w:noProof/>
          <w:sz w:val="24"/>
          <w:szCs w:val="24"/>
        </w:rPr>
        <w:t>was identified</w:t>
      </w:r>
      <w:r>
        <w:rPr>
          <w:noProof/>
          <w:sz w:val="24"/>
          <w:szCs w:val="24"/>
        </w:rPr>
        <w:t>.</w:t>
      </w:r>
    </w:p>
    <w:p w:rsidR="006F2EE6" w:rsidRDefault="006F2EE6" w:rsidP="0052196B">
      <w:pPr>
        <w:pStyle w:val="Sinespaciado"/>
        <w:spacing w:line="480" w:lineRule="auto"/>
        <w:ind w:firstLine="720"/>
        <w:jc w:val="both"/>
        <w:rPr>
          <w:noProof/>
          <w:sz w:val="24"/>
          <w:szCs w:val="24"/>
        </w:rPr>
      </w:pPr>
      <w:r>
        <w:rPr>
          <w:noProof/>
          <w:sz w:val="24"/>
          <w:szCs w:val="24"/>
        </w:rPr>
        <w:t xml:space="preserve">This </w:t>
      </w:r>
      <w:r w:rsidRPr="006527C7">
        <w:rPr>
          <w:noProof/>
          <w:sz w:val="24"/>
          <w:szCs w:val="24"/>
        </w:rPr>
        <w:t>review</w:t>
      </w:r>
      <w:r>
        <w:rPr>
          <w:noProof/>
          <w:sz w:val="24"/>
          <w:szCs w:val="24"/>
        </w:rPr>
        <w:t xml:space="preserve"> detected that obese patients were younger (20/26 studies), that current smoking status was less common  in obese or overweight patients (7 studies), and renal disease was less prevalent among obese patients. These three variables </w:t>
      </w:r>
      <w:r w:rsidRPr="006527C7">
        <w:rPr>
          <w:noProof/>
          <w:sz w:val="24"/>
          <w:szCs w:val="24"/>
        </w:rPr>
        <w:t>are strongly related</w:t>
      </w:r>
      <w:r>
        <w:rPr>
          <w:noProof/>
          <w:sz w:val="24"/>
          <w:szCs w:val="24"/>
        </w:rPr>
        <w:t xml:space="preserve"> to poorer outcomes after ACS. Therefore, unadjusted estimates are likely to deviate the estimates in favor of obesity. </w:t>
      </w:r>
    </w:p>
    <w:p w:rsidR="006F2EE6" w:rsidRDefault="006F2EE6" w:rsidP="0052196B">
      <w:pPr>
        <w:pStyle w:val="Sinespaciado"/>
        <w:spacing w:line="480" w:lineRule="auto"/>
        <w:ind w:firstLine="720"/>
        <w:jc w:val="both"/>
        <w:rPr>
          <w:noProof/>
          <w:sz w:val="24"/>
          <w:szCs w:val="24"/>
        </w:rPr>
      </w:pPr>
      <w:r>
        <w:rPr>
          <w:noProof/>
          <w:sz w:val="24"/>
          <w:szCs w:val="24"/>
        </w:rPr>
        <w:t xml:space="preserve">The studies included in the systematic review </w:t>
      </w:r>
      <w:r w:rsidRPr="006527C7">
        <w:rPr>
          <w:noProof/>
          <w:sz w:val="24"/>
          <w:szCs w:val="24"/>
        </w:rPr>
        <w:t>were reviewed,</w:t>
      </w:r>
      <w:r>
        <w:rPr>
          <w:noProof/>
          <w:sz w:val="24"/>
          <w:szCs w:val="24"/>
        </w:rPr>
        <w:t xml:space="preserve"> and several limitations </w:t>
      </w:r>
      <w:r w:rsidRPr="006527C7">
        <w:rPr>
          <w:noProof/>
          <w:sz w:val="24"/>
          <w:szCs w:val="24"/>
        </w:rPr>
        <w:t>were noticed</w:t>
      </w:r>
      <w:r>
        <w:rPr>
          <w:noProof/>
          <w:sz w:val="24"/>
          <w:szCs w:val="24"/>
        </w:rPr>
        <w:t>. First, 9 of 26 studies reported only in-hospital mortality, including the two largest cohorts (Diercks et al. with 80,845 and Das et al. with 49,329 participants).</w:t>
      </w:r>
      <w:r w:rsidRPr="00C75D25">
        <w:rPr>
          <w:noProof/>
          <w:sz w:val="24"/>
          <w:szCs w:val="24"/>
          <w:vertAlign w:val="superscript"/>
        </w:rPr>
        <w:t>44,47</w:t>
      </w:r>
      <w:r>
        <w:rPr>
          <w:noProof/>
          <w:sz w:val="24"/>
          <w:szCs w:val="24"/>
        </w:rPr>
        <w:t xml:space="preserve"> This time frame may be considered short to evaluate the impact of BMI after ACS. Second, missing data on BMI, relev</w:t>
      </w:r>
      <w:r w:rsidRPr="006527C7">
        <w:rPr>
          <w:noProof/>
          <w:sz w:val="24"/>
          <w:szCs w:val="24"/>
        </w:rPr>
        <w:t>ant</w:t>
      </w:r>
      <w:r>
        <w:rPr>
          <w:noProof/>
          <w:sz w:val="24"/>
          <w:szCs w:val="24"/>
        </w:rPr>
        <w:t xml:space="preserve"> covariates and follow-</w:t>
      </w:r>
      <w:r w:rsidRPr="006527C7">
        <w:rPr>
          <w:noProof/>
          <w:sz w:val="24"/>
          <w:szCs w:val="24"/>
        </w:rPr>
        <w:t>up were</w:t>
      </w:r>
      <w:r>
        <w:rPr>
          <w:noProof/>
          <w:sz w:val="24"/>
          <w:szCs w:val="24"/>
        </w:rPr>
        <w:t xml:space="preserve"> </w:t>
      </w:r>
      <w:r w:rsidRPr="006527C7">
        <w:rPr>
          <w:noProof/>
          <w:sz w:val="24"/>
          <w:szCs w:val="24"/>
        </w:rPr>
        <w:t>rarely</w:t>
      </w:r>
      <w:r>
        <w:rPr>
          <w:noProof/>
          <w:sz w:val="24"/>
          <w:szCs w:val="24"/>
        </w:rPr>
        <w:t xml:space="preserve"> described or commonly exceeded  10% when these </w:t>
      </w:r>
      <w:r w:rsidRPr="006527C7">
        <w:rPr>
          <w:noProof/>
          <w:sz w:val="24"/>
          <w:szCs w:val="24"/>
        </w:rPr>
        <w:t>were described</w:t>
      </w:r>
      <w:r>
        <w:rPr>
          <w:noProof/>
          <w:sz w:val="24"/>
          <w:szCs w:val="24"/>
        </w:rPr>
        <w:t xml:space="preserve">. </w:t>
      </w:r>
      <w:r w:rsidRPr="006527C7">
        <w:rPr>
          <w:noProof/>
          <w:sz w:val="24"/>
          <w:szCs w:val="24"/>
        </w:rPr>
        <w:t xml:space="preserve">Third, BMI </w:t>
      </w:r>
      <w:r w:rsidRPr="006527C7">
        <w:rPr>
          <w:noProof/>
          <w:sz w:val="24"/>
          <w:szCs w:val="24"/>
        </w:rPr>
        <w:lastRenderedPageBreak/>
        <w:t>was analyzed as a continuous linear variable in some cohorts, even though the available information has systematically shown a J- or U- shaped pattern between BMI and outcomes in all settings (including primary prevention).</w:t>
      </w:r>
      <w:r w:rsidRPr="006527C7">
        <w:rPr>
          <w:noProof/>
          <w:sz w:val="24"/>
          <w:szCs w:val="24"/>
          <w:vertAlign w:val="superscript"/>
        </w:rPr>
        <w:t>19</w:t>
      </w:r>
      <w:r w:rsidRPr="006527C7">
        <w:rPr>
          <w:noProof/>
          <w:sz w:val="24"/>
          <w:szCs w:val="24"/>
        </w:rPr>
        <w:t xml:space="preserve"> Finally, other limitations were noticed, such as narrow inclusion criteria, low event rates among the different BMI strata or </w:t>
      </w:r>
      <w:r>
        <w:rPr>
          <w:noProof/>
          <w:sz w:val="24"/>
          <w:szCs w:val="24"/>
        </w:rPr>
        <w:t>inclusion of</w:t>
      </w:r>
      <w:r w:rsidRPr="006527C7">
        <w:rPr>
          <w:noProof/>
          <w:sz w:val="24"/>
          <w:szCs w:val="24"/>
        </w:rPr>
        <w:t xml:space="preserve"> one ethnic group.</w:t>
      </w:r>
    </w:p>
    <w:p w:rsidR="006F2EE6" w:rsidRDefault="006F2EE6" w:rsidP="0052196B">
      <w:pPr>
        <w:pStyle w:val="Sinespaciado"/>
        <w:spacing w:line="480" w:lineRule="auto"/>
        <w:jc w:val="both"/>
        <w:rPr>
          <w:b/>
          <w:sz w:val="24"/>
          <w:szCs w:val="24"/>
        </w:rPr>
      </w:pPr>
    </w:p>
    <w:p w:rsidR="006F2EE6" w:rsidRDefault="006F2EE6" w:rsidP="0052196B">
      <w:pPr>
        <w:pStyle w:val="Sinespaciado"/>
        <w:spacing w:line="480" w:lineRule="auto"/>
        <w:jc w:val="both"/>
        <w:rPr>
          <w:b/>
          <w:sz w:val="24"/>
          <w:szCs w:val="24"/>
        </w:rPr>
      </w:pPr>
      <w:r>
        <w:rPr>
          <w:b/>
          <w:sz w:val="24"/>
          <w:szCs w:val="24"/>
        </w:rPr>
        <w:t>Rationale:</w:t>
      </w:r>
    </w:p>
    <w:p w:rsidR="006F2EE6" w:rsidRDefault="006F2EE6" w:rsidP="0052196B">
      <w:pPr>
        <w:pStyle w:val="Sinespaciado"/>
        <w:spacing w:line="480" w:lineRule="auto"/>
        <w:ind w:firstLine="720"/>
        <w:jc w:val="both"/>
        <w:rPr>
          <w:sz w:val="24"/>
          <w:szCs w:val="24"/>
        </w:rPr>
      </w:pPr>
      <w:r>
        <w:rPr>
          <w:sz w:val="24"/>
          <w:szCs w:val="24"/>
        </w:rPr>
        <w:t>In summary, there exists a substantial body of evidence showing that increased BMI is related to better outcomes after ACS compared to normal weight patients, called the “obesity paradox</w:t>
      </w:r>
      <w:r w:rsidRPr="006527C7">
        <w:rPr>
          <w:noProof/>
          <w:sz w:val="24"/>
          <w:szCs w:val="24"/>
        </w:rPr>
        <w:t>”.</w:t>
      </w:r>
      <w:r>
        <w:rPr>
          <w:sz w:val="24"/>
          <w:szCs w:val="24"/>
        </w:rPr>
        <w:t xml:space="preserve"> However, the current systematic review and cohort studies present several limitations as outlined above, and the mechanisms are still unknown. </w:t>
      </w:r>
    </w:p>
    <w:p w:rsidR="006F2EE6" w:rsidRDefault="006F2EE6" w:rsidP="0052196B">
      <w:pPr>
        <w:pStyle w:val="Sinespaciado"/>
        <w:spacing w:line="480" w:lineRule="auto"/>
        <w:jc w:val="both"/>
        <w:rPr>
          <w:b/>
          <w:noProof/>
          <w:sz w:val="24"/>
          <w:szCs w:val="24"/>
        </w:rPr>
      </w:pPr>
    </w:p>
    <w:p w:rsidR="006F2EE6" w:rsidRDefault="006F2EE6" w:rsidP="0052196B">
      <w:pPr>
        <w:pStyle w:val="Sinespaciado"/>
        <w:spacing w:line="480" w:lineRule="auto"/>
        <w:jc w:val="both"/>
        <w:rPr>
          <w:noProof/>
          <w:sz w:val="24"/>
          <w:szCs w:val="24"/>
        </w:rPr>
      </w:pPr>
      <w:r w:rsidRPr="00B1512C">
        <w:rPr>
          <w:b/>
          <w:noProof/>
          <w:sz w:val="24"/>
          <w:szCs w:val="24"/>
        </w:rPr>
        <w:t>Research question:</w:t>
      </w:r>
      <w:r>
        <w:rPr>
          <w:noProof/>
          <w:sz w:val="24"/>
          <w:szCs w:val="24"/>
        </w:rPr>
        <w:t xml:space="preserve"> </w:t>
      </w:r>
    </w:p>
    <w:p w:rsidR="006F2EE6" w:rsidRDefault="006F2EE6" w:rsidP="0052196B">
      <w:pPr>
        <w:pStyle w:val="Sinespaciado"/>
        <w:spacing w:line="480" w:lineRule="auto"/>
        <w:ind w:firstLine="720"/>
        <w:jc w:val="both"/>
        <w:rPr>
          <w:noProof/>
          <w:sz w:val="24"/>
          <w:szCs w:val="24"/>
        </w:rPr>
      </w:pPr>
      <w:r w:rsidRPr="006527C7">
        <w:rPr>
          <w:noProof/>
          <w:sz w:val="24"/>
          <w:szCs w:val="24"/>
        </w:rPr>
        <w:t>Do adult patients post ACS with an increased BMI (overweight, BMI 25 to 29.9 kg/m</w:t>
      </w:r>
      <w:r w:rsidRPr="006527C7">
        <w:rPr>
          <w:noProof/>
          <w:sz w:val="24"/>
          <w:szCs w:val="24"/>
          <w:vertAlign w:val="superscript"/>
        </w:rPr>
        <w:t>2</w:t>
      </w:r>
      <w:r w:rsidRPr="006527C7">
        <w:rPr>
          <w:noProof/>
          <w:sz w:val="24"/>
          <w:szCs w:val="24"/>
        </w:rPr>
        <w:t xml:space="preserve"> or obese, BMI 30 to 39.9 kg/m</w:t>
      </w:r>
      <w:r w:rsidRPr="006527C7">
        <w:rPr>
          <w:noProof/>
          <w:sz w:val="24"/>
          <w:szCs w:val="24"/>
          <w:vertAlign w:val="superscript"/>
        </w:rPr>
        <w:t>2</w:t>
      </w:r>
      <w:r w:rsidRPr="006527C7">
        <w:rPr>
          <w:noProof/>
          <w:sz w:val="24"/>
          <w:szCs w:val="24"/>
        </w:rPr>
        <w:t>), have a lower  mortality and lower risk of other major adverse cardiovascular events compared to patients with a normal BMI (18.5 to 24.9 kg/m</w:t>
      </w:r>
      <w:r w:rsidRPr="006527C7">
        <w:rPr>
          <w:noProof/>
          <w:sz w:val="24"/>
          <w:szCs w:val="24"/>
          <w:vertAlign w:val="superscript"/>
        </w:rPr>
        <w:t>2</w:t>
      </w:r>
      <w:r w:rsidRPr="006527C7">
        <w:rPr>
          <w:noProof/>
          <w:sz w:val="24"/>
          <w:szCs w:val="24"/>
        </w:rPr>
        <w:t>)?</w:t>
      </w:r>
    </w:p>
    <w:p w:rsidR="0052196B" w:rsidRDefault="0052196B" w:rsidP="0052196B">
      <w:pPr>
        <w:pStyle w:val="Sinespaciado"/>
        <w:spacing w:line="480" w:lineRule="auto"/>
        <w:jc w:val="both"/>
        <w:rPr>
          <w:b/>
          <w:sz w:val="24"/>
          <w:szCs w:val="24"/>
        </w:rPr>
      </w:pPr>
    </w:p>
    <w:p w:rsidR="0052196B" w:rsidRDefault="0052196B" w:rsidP="0052196B">
      <w:pPr>
        <w:pStyle w:val="Sinespaciado"/>
        <w:spacing w:line="480" w:lineRule="auto"/>
        <w:jc w:val="both"/>
        <w:rPr>
          <w:b/>
          <w:sz w:val="24"/>
          <w:szCs w:val="24"/>
        </w:rPr>
      </w:pPr>
    </w:p>
    <w:p w:rsidR="0052196B" w:rsidRDefault="0052196B" w:rsidP="0052196B">
      <w:pPr>
        <w:pStyle w:val="Sinespaciado"/>
        <w:spacing w:line="480" w:lineRule="auto"/>
        <w:jc w:val="both"/>
        <w:rPr>
          <w:b/>
          <w:sz w:val="24"/>
          <w:szCs w:val="24"/>
        </w:rPr>
      </w:pPr>
    </w:p>
    <w:p w:rsidR="0052196B" w:rsidRDefault="0052196B" w:rsidP="0052196B">
      <w:pPr>
        <w:pStyle w:val="Sinespaciado"/>
        <w:spacing w:line="480" w:lineRule="auto"/>
        <w:jc w:val="both"/>
        <w:rPr>
          <w:b/>
          <w:sz w:val="24"/>
          <w:szCs w:val="24"/>
        </w:rPr>
      </w:pPr>
    </w:p>
    <w:p w:rsidR="0052196B" w:rsidRDefault="006F2EE6" w:rsidP="0052196B">
      <w:pPr>
        <w:pStyle w:val="Sinespaciado"/>
        <w:spacing w:line="480" w:lineRule="auto"/>
        <w:jc w:val="both"/>
        <w:rPr>
          <w:b/>
          <w:sz w:val="24"/>
          <w:szCs w:val="24"/>
        </w:rPr>
      </w:pPr>
      <w:r w:rsidRPr="00B1512C">
        <w:rPr>
          <w:b/>
          <w:sz w:val="24"/>
          <w:szCs w:val="24"/>
        </w:rPr>
        <w:lastRenderedPageBreak/>
        <w:t>Thesis Objectives:</w:t>
      </w:r>
    </w:p>
    <w:p w:rsidR="006F2EE6" w:rsidRDefault="006F2EE6" w:rsidP="0052196B">
      <w:pPr>
        <w:pStyle w:val="Sinespaciado"/>
        <w:spacing w:line="480" w:lineRule="auto"/>
        <w:ind w:firstLine="720"/>
        <w:jc w:val="both"/>
        <w:rPr>
          <w:sz w:val="24"/>
          <w:szCs w:val="24"/>
        </w:rPr>
      </w:pPr>
      <w:r>
        <w:rPr>
          <w:sz w:val="24"/>
          <w:szCs w:val="24"/>
        </w:rPr>
        <w:t xml:space="preserve">The main objectives of this thesis </w:t>
      </w:r>
      <w:r>
        <w:rPr>
          <w:noProof/>
          <w:sz w:val="24"/>
          <w:szCs w:val="24"/>
        </w:rPr>
        <w:t>are</w:t>
      </w:r>
      <w:r>
        <w:rPr>
          <w:sz w:val="24"/>
          <w:szCs w:val="24"/>
        </w:rPr>
        <w:t xml:space="preserve"> to address these limitations doing an updated systematic review with meta-analysis, and an individual patient data meta-analysis </w:t>
      </w:r>
      <w:r>
        <w:rPr>
          <w:noProof/>
          <w:sz w:val="24"/>
          <w:szCs w:val="24"/>
        </w:rPr>
        <w:t>of</w:t>
      </w:r>
      <w:r>
        <w:rPr>
          <w:sz w:val="24"/>
          <w:szCs w:val="24"/>
        </w:rPr>
        <w:t xml:space="preserve"> high-quality ACS trials executed by the PHRI.</w:t>
      </w:r>
    </w:p>
    <w:p w:rsidR="006F2EE6" w:rsidRDefault="006F2EE6" w:rsidP="0052196B">
      <w:pPr>
        <w:pStyle w:val="Sinespaciado"/>
        <w:numPr>
          <w:ilvl w:val="0"/>
          <w:numId w:val="10"/>
        </w:numPr>
        <w:spacing w:line="480" w:lineRule="auto"/>
        <w:jc w:val="both"/>
        <w:rPr>
          <w:sz w:val="24"/>
          <w:szCs w:val="24"/>
        </w:rPr>
      </w:pPr>
      <w:r>
        <w:rPr>
          <w:sz w:val="24"/>
          <w:szCs w:val="24"/>
          <w:u w:val="single"/>
        </w:rPr>
        <w:t>Updated</w:t>
      </w:r>
      <w:r w:rsidRPr="0083597F">
        <w:rPr>
          <w:sz w:val="24"/>
          <w:szCs w:val="24"/>
          <w:u w:val="single"/>
        </w:rPr>
        <w:t xml:space="preserve"> systematic review</w:t>
      </w:r>
      <w:r>
        <w:rPr>
          <w:sz w:val="24"/>
          <w:szCs w:val="24"/>
          <w:u w:val="single"/>
        </w:rPr>
        <w:t xml:space="preserve"> and meta-analysis</w:t>
      </w:r>
      <w:r w:rsidRPr="0083597F">
        <w:rPr>
          <w:sz w:val="24"/>
          <w:szCs w:val="24"/>
          <w:u w:val="single"/>
        </w:rPr>
        <w:t>:</w:t>
      </w:r>
      <w:r>
        <w:rPr>
          <w:sz w:val="24"/>
          <w:szCs w:val="24"/>
        </w:rPr>
        <w:t xml:space="preserve"> The rationale for doing an updated systematic review and meta-analysis are to:</w:t>
      </w:r>
    </w:p>
    <w:p w:rsidR="006F2EE6" w:rsidRDefault="006F2EE6" w:rsidP="0052196B">
      <w:pPr>
        <w:pStyle w:val="Sinespaciado"/>
        <w:numPr>
          <w:ilvl w:val="0"/>
          <w:numId w:val="8"/>
        </w:numPr>
        <w:spacing w:line="480" w:lineRule="auto"/>
        <w:jc w:val="both"/>
        <w:rPr>
          <w:sz w:val="24"/>
          <w:szCs w:val="24"/>
        </w:rPr>
      </w:pPr>
      <w:r>
        <w:rPr>
          <w:sz w:val="24"/>
          <w:szCs w:val="24"/>
        </w:rPr>
        <w:t>Update</w:t>
      </w:r>
      <w:r w:rsidRPr="00063981">
        <w:rPr>
          <w:sz w:val="24"/>
          <w:szCs w:val="24"/>
        </w:rPr>
        <w:t xml:space="preserve"> </w:t>
      </w:r>
      <w:r>
        <w:rPr>
          <w:sz w:val="24"/>
          <w:szCs w:val="24"/>
        </w:rPr>
        <w:t>the</w:t>
      </w:r>
      <w:r w:rsidRPr="00063981">
        <w:rPr>
          <w:sz w:val="24"/>
          <w:szCs w:val="24"/>
        </w:rPr>
        <w:t xml:space="preserve"> recently published</w:t>
      </w:r>
      <w:r>
        <w:rPr>
          <w:sz w:val="24"/>
          <w:szCs w:val="24"/>
        </w:rPr>
        <w:t xml:space="preserve"> systematic </w:t>
      </w:r>
      <w:r w:rsidRPr="00063981">
        <w:rPr>
          <w:noProof/>
          <w:sz w:val="24"/>
          <w:szCs w:val="24"/>
        </w:rPr>
        <w:t>review</w:t>
      </w:r>
    </w:p>
    <w:p w:rsidR="006F2EE6" w:rsidRDefault="006F2EE6" w:rsidP="0052196B">
      <w:pPr>
        <w:pStyle w:val="Sinespaciado"/>
        <w:numPr>
          <w:ilvl w:val="0"/>
          <w:numId w:val="8"/>
        </w:numPr>
        <w:spacing w:line="480" w:lineRule="auto"/>
        <w:jc w:val="both"/>
        <w:rPr>
          <w:sz w:val="24"/>
          <w:szCs w:val="24"/>
        </w:rPr>
      </w:pPr>
      <w:r>
        <w:rPr>
          <w:noProof/>
          <w:sz w:val="24"/>
          <w:szCs w:val="24"/>
        </w:rPr>
        <w:t>Generate</w:t>
      </w:r>
      <w:r w:rsidRPr="006527C7">
        <w:rPr>
          <w:noProof/>
          <w:sz w:val="24"/>
          <w:szCs w:val="24"/>
        </w:rPr>
        <w:t xml:space="preserve"> a solid review of the available literature</w:t>
      </w:r>
    </w:p>
    <w:p w:rsidR="006F2EE6" w:rsidRDefault="006F2EE6" w:rsidP="0052196B">
      <w:pPr>
        <w:pStyle w:val="Sinespaciado"/>
        <w:numPr>
          <w:ilvl w:val="0"/>
          <w:numId w:val="8"/>
        </w:numPr>
        <w:spacing w:line="480" w:lineRule="auto"/>
        <w:jc w:val="both"/>
        <w:rPr>
          <w:sz w:val="24"/>
          <w:szCs w:val="24"/>
        </w:rPr>
      </w:pPr>
      <w:r>
        <w:rPr>
          <w:sz w:val="24"/>
          <w:szCs w:val="24"/>
        </w:rPr>
        <w:t>P</w:t>
      </w:r>
      <w:r w:rsidRPr="00063981">
        <w:rPr>
          <w:sz w:val="24"/>
          <w:szCs w:val="24"/>
        </w:rPr>
        <w:t>erform meta-analysis using adjusted estimates between BM</w:t>
      </w:r>
      <w:r>
        <w:rPr>
          <w:sz w:val="24"/>
          <w:szCs w:val="24"/>
        </w:rPr>
        <w:t>I and all-cause mortality (recent systematic review reported only unadjusted mortality)</w:t>
      </w:r>
    </w:p>
    <w:p w:rsidR="006F2EE6" w:rsidRDefault="006F2EE6" w:rsidP="0052196B">
      <w:pPr>
        <w:pStyle w:val="Sinespaciado"/>
        <w:numPr>
          <w:ilvl w:val="0"/>
          <w:numId w:val="8"/>
        </w:numPr>
        <w:spacing w:line="480" w:lineRule="auto"/>
        <w:jc w:val="both"/>
        <w:rPr>
          <w:sz w:val="24"/>
          <w:szCs w:val="24"/>
        </w:rPr>
      </w:pPr>
      <w:r w:rsidRPr="006527C7">
        <w:rPr>
          <w:noProof/>
          <w:sz w:val="24"/>
          <w:szCs w:val="24"/>
        </w:rPr>
        <w:t xml:space="preserve">Study the effect of </w:t>
      </w:r>
      <w:r w:rsidRPr="006527C7">
        <w:rPr>
          <w:i/>
          <w:noProof/>
          <w:sz w:val="24"/>
          <w:szCs w:val="24"/>
        </w:rPr>
        <w:t xml:space="preserve">a priori </w:t>
      </w:r>
      <w:r w:rsidRPr="006527C7">
        <w:rPr>
          <w:noProof/>
          <w:sz w:val="24"/>
          <w:szCs w:val="24"/>
        </w:rPr>
        <w:t>study-level subgroups</w:t>
      </w:r>
    </w:p>
    <w:p w:rsidR="006F2EE6" w:rsidRPr="0083597F" w:rsidRDefault="006F2EE6" w:rsidP="0052196B">
      <w:pPr>
        <w:pStyle w:val="Sinespaciado"/>
        <w:numPr>
          <w:ilvl w:val="0"/>
          <w:numId w:val="8"/>
        </w:numPr>
        <w:spacing w:line="480" w:lineRule="auto"/>
        <w:jc w:val="both"/>
        <w:rPr>
          <w:sz w:val="24"/>
          <w:szCs w:val="24"/>
        </w:rPr>
      </w:pPr>
      <w:r>
        <w:rPr>
          <w:sz w:val="24"/>
          <w:szCs w:val="24"/>
        </w:rPr>
        <w:t>Assess the limitations of the current literature in a thorough and systematic fashion to help inform the methods for objective 2.</w:t>
      </w:r>
    </w:p>
    <w:p w:rsidR="006F2EE6" w:rsidRDefault="006F2EE6" w:rsidP="0052196B">
      <w:pPr>
        <w:pStyle w:val="Sinespaciado"/>
        <w:numPr>
          <w:ilvl w:val="0"/>
          <w:numId w:val="10"/>
        </w:numPr>
        <w:spacing w:line="480" w:lineRule="auto"/>
        <w:jc w:val="both"/>
        <w:rPr>
          <w:noProof/>
          <w:sz w:val="24"/>
          <w:szCs w:val="24"/>
        </w:rPr>
      </w:pPr>
      <w:r w:rsidRPr="0083597F">
        <w:rPr>
          <w:noProof/>
          <w:sz w:val="24"/>
          <w:szCs w:val="24"/>
          <w:u w:val="single"/>
        </w:rPr>
        <w:t>Individual patient data meta-analysis</w:t>
      </w:r>
      <w:r>
        <w:rPr>
          <w:noProof/>
          <w:sz w:val="24"/>
          <w:szCs w:val="24"/>
          <w:u w:val="single"/>
        </w:rPr>
        <w:t xml:space="preserve"> </w:t>
      </w:r>
      <w:r w:rsidRPr="006527C7">
        <w:rPr>
          <w:noProof/>
          <w:sz w:val="24"/>
          <w:szCs w:val="24"/>
          <w:u w:val="single"/>
        </w:rPr>
        <w:t>from</w:t>
      </w:r>
      <w:r>
        <w:rPr>
          <w:noProof/>
          <w:sz w:val="24"/>
          <w:szCs w:val="24"/>
          <w:u w:val="single"/>
        </w:rPr>
        <w:t xml:space="preserve"> high-quality ACS randomized trials</w:t>
      </w:r>
      <w:r w:rsidRPr="0083597F">
        <w:rPr>
          <w:noProof/>
          <w:sz w:val="24"/>
          <w:szCs w:val="24"/>
          <w:u w:val="single"/>
        </w:rPr>
        <w:t>:</w:t>
      </w:r>
      <w:r>
        <w:rPr>
          <w:noProof/>
          <w:sz w:val="24"/>
          <w:szCs w:val="24"/>
        </w:rPr>
        <w:t xml:space="preserve"> Individual patient data meta-analysis </w:t>
      </w:r>
      <w:r w:rsidRPr="006527C7">
        <w:rPr>
          <w:noProof/>
          <w:sz w:val="24"/>
          <w:szCs w:val="24"/>
        </w:rPr>
        <w:t>ha</w:t>
      </w:r>
      <w:r>
        <w:rPr>
          <w:noProof/>
          <w:sz w:val="24"/>
          <w:szCs w:val="24"/>
        </w:rPr>
        <w:t xml:space="preserve">s several advantages over study-level meta-analysis, such </w:t>
      </w:r>
      <w:r w:rsidRPr="006527C7">
        <w:rPr>
          <w:noProof/>
          <w:sz w:val="24"/>
          <w:szCs w:val="24"/>
        </w:rPr>
        <w:t>as:</w:t>
      </w:r>
      <w:r w:rsidRPr="00340A31">
        <w:rPr>
          <w:noProof/>
          <w:sz w:val="24"/>
          <w:szCs w:val="24"/>
          <w:vertAlign w:val="superscript"/>
        </w:rPr>
        <w:t>48</w:t>
      </w:r>
    </w:p>
    <w:p w:rsidR="006F2EE6" w:rsidRDefault="006F2EE6" w:rsidP="0052196B">
      <w:pPr>
        <w:pStyle w:val="Sinespaciado"/>
        <w:numPr>
          <w:ilvl w:val="0"/>
          <w:numId w:val="11"/>
        </w:numPr>
        <w:spacing w:line="480" w:lineRule="auto"/>
        <w:jc w:val="both"/>
        <w:rPr>
          <w:sz w:val="24"/>
          <w:szCs w:val="24"/>
        </w:rPr>
      </w:pPr>
      <w:r>
        <w:rPr>
          <w:sz w:val="24"/>
          <w:szCs w:val="24"/>
        </w:rPr>
        <w:t>Homogeneous BMI categorization.</w:t>
      </w:r>
    </w:p>
    <w:p w:rsidR="006F2EE6" w:rsidRDefault="006F2EE6" w:rsidP="0052196B">
      <w:pPr>
        <w:pStyle w:val="Sinespaciado"/>
        <w:numPr>
          <w:ilvl w:val="0"/>
          <w:numId w:val="11"/>
        </w:numPr>
        <w:spacing w:line="480" w:lineRule="auto"/>
        <w:jc w:val="both"/>
        <w:rPr>
          <w:sz w:val="24"/>
          <w:szCs w:val="24"/>
        </w:rPr>
      </w:pPr>
      <w:r>
        <w:rPr>
          <w:sz w:val="24"/>
          <w:szCs w:val="24"/>
        </w:rPr>
        <w:t>Statistical analysis homogenization.</w:t>
      </w:r>
    </w:p>
    <w:p w:rsidR="006F2EE6" w:rsidRDefault="006F2EE6" w:rsidP="0052196B">
      <w:pPr>
        <w:pStyle w:val="Sinespaciado"/>
        <w:numPr>
          <w:ilvl w:val="0"/>
          <w:numId w:val="11"/>
        </w:numPr>
        <w:spacing w:line="480" w:lineRule="auto"/>
        <w:jc w:val="both"/>
        <w:rPr>
          <w:sz w:val="24"/>
          <w:szCs w:val="24"/>
        </w:rPr>
      </w:pPr>
      <w:r>
        <w:rPr>
          <w:sz w:val="24"/>
          <w:szCs w:val="24"/>
        </w:rPr>
        <w:t>BMI analysis as a continuous variable.</w:t>
      </w:r>
    </w:p>
    <w:p w:rsidR="006F2EE6" w:rsidRDefault="006F2EE6" w:rsidP="0052196B">
      <w:pPr>
        <w:pStyle w:val="Sinespaciado"/>
        <w:numPr>
          <w:ilvl w:val="0"/>
          <w:numId w:val="11"/>
        </w:numPr>
        <w:spacing w:line="480" w:lineRule="auto"/>
        <w:jc w:val="both"/>
        <w:rPr>
          <w:sz w:val="24"/>
          <w:szCs w:val="24"/>
        </w:rPr>
      </w:pPr>
      <w:r>
        <w:rPr>
          <w:sz w:val="24"/>
          <w:szCs w:val="24"/>
        </w:rPr>
        <w:t>Allows performing subgroup and sensitivity analysis properly.</w:t>
      </w:r>
    </w:p>
    <w:p w:rsidR="006F2EE6" w:rsidRDefault="006F2EE6" w:rsidP="0052196B">
      <w:pPr>
        <w:pStyle w:val="Sinespaciado"/>
        <w:numPr>
          <w:ilvl w:val="0"/>
          <w:numId w:val="11"/>
        </w:numPr>
        <w:spacing w:line="480" w:lineRule="auto"/>
        <w:jc w:val="both"/>
        <w:rPr>
          <w:sz w:val="24"/>
          <w:szCs w:val="24"/>
        </w:rPr>
      </w:pPr>
      <w:r w:rsidRPr="006527C7">
        <w:rPr>
          <w:noProof/>
          <w:sz w:val="24"/>
          <w:szCs w:val="24"/>
        </w:rPr>
        <w:lastRenderedPageBreak/>
        <w:t>Avoids the risk patient duplicate sets.</w:t>
      </w:r>
    </w:p>
    <w:p w:rsidR="006F2EE6" w:rsidRDefault="006F2EE6" w:rsidP="0052196B">
      <w:pPr>
        <w:pStyle w:val="Sinespaciado"/>
        <w:numPr>
          <w:ilvl w:val="0"/>
          <w:numId w:val="11"/>
        </w:numPr>
        <w:spacing w:line="480" w:lineRule="auto"/>
        <w:jc w:val="both"/>
        <w:rPr>
          <w:sz w:val="24"/>
          <w:szCs w:val="24"/>
        </w:rPr>
      </w:pPr>
      <w:r>
        <w:rPr>
          <w:noProof/>
          <w:sz w:val="24"/>
          <w:szCs w:val="24"/>
        </w:rPr>
        <w:t>Better missing data management</w:t>
      </w:r>
      <w:r>
        <w:rPr>
          <w:sz w:val="24"/>
          <w:szCs w:val="24"/>
        </w:rPr>
        <w:t xml:space="preserve">. </w:t>
      </w:r>
    </w:p>
    <w:p w:rsidR="006F2EE6" w:rsidRDefault="006F2EE6" w:rsidP="0052196B">
      <w:pPr>
        <w:pStyle w:val="Sinespaciado"/>
        <w:numPr>
          <w:ilvl w:val="0"/>
          <w:numId w:val="11"/>
        </w:numPr>
        <w:spacing w:line="480" w:lineRule="auto"/>
        <w:jc w:val="both"/>
        <w:rPr>
          <w:sz w:val="24"/>
          <w:szCs w:val="24"/>
        </w:rPr>
      </w:pPr>
      <w:r>
        <w:rPr>
          <w:sz w:val="24"/>
          <w:szCs w:val="24"/>
        </w:rPr>
        <w:t xml:space="preserve">Avoids ecological fallacies, especially important if aggregate data comes from studies </w:t>
      </w:r>
      <w:r>
        <w:rPr>
          <w:noProof/>
          <w:sz w:val="24"/>
          <w:szCs w:val="24"/>
        </w:rPr>
        <w:t>that</w:t>
      </w:r>
      <w:r>
        <w:rPr>
          <w:sz w:val="24"/>
          <w:szCs w:val="24"/>
        </w:rPr>
        <w:t xml:space="preserve"> included </w:t>
      </w:r>
      <w:r>
        <w:rPr>
          <w:noProof/>
          <w:sz w:val="24"/>
          <w:szCs w:val="24"/>
        </w:rPr>
        <w:t>a certain age, sex or ethnicity</w:t>
      </w:r>
      <w:r>
        <w:rPr>
          <w:sz w:val="24"/>
          <w:szCs w:val="24"/>
        </w:rPr>
        <w:t>.</w:t>
      </w:r>
    </w:p>
    <w:p w:rsidR="006F2EE6" w:rsidRDefault="006F2EE6" w:rsidP="0052196B">
      <w:pPr>
        <w:pStyle w:val="Sinespaciado"/>
        <w:numPr>
          <w:ilvl w:val="0"/>
          <w:numId w:val="11"/>
        </w:numPr>
        <w:spacing w:line="480" w:lineRule="auto"/>
        <w:jc w:val="both"/>
        <w:rPr>
          <w:sz w:val="24"/>
          <w:szCs w:val="24"/>
        </w:rPr>
      </w:pPr>
      <w:r>
        <w:rPr>
          <w:sz w:val="24"/>
          <w:szCs w:val="24"/>
        </w:rPr>
        <w:t>Also allows better adjustment for confounders and evaluation of a range of outcomes (recurrent MI, cause specific mortality and bleeding).</w:t>
      </w:r>
    </w:p>
    <w:p w:rsidR="006F2EE6" w:rsidRDefault="006F2EE6" w:rsidP="0052196B">
      <w:pPr>
        <w:pStyle w:val="Sinespaciado"/>
        <w:spacing w:line="480" w:lineRule="auto"/>
        <w:jc w:val="both"/>
        <w:rPr>
          <w:sz w:val="24"/>
          <w:szCs w:val="24"/>
        </w:rPr>
      </w:pPr>
    </w:p>
    <w:p w:rsidR="006F2EE6" w:rsidRDefault="006F2EE6" w:rsidP="0052196B">
      <w:pPr>
        <w:pStyle w:val="Sinespaciado"/>
        <w:spacing w:line="480" w:lineRule="auto"/>
        <w:ind w:firstLine="720"/>
        <w:jc w:val="both"/>
        <w:rPr>
          <w:noProof/>
          <w:sz w:val="24"/>
          <w:szCs w:val="24"/>
        </w:rPr>
      </w:pPr>
      <w:r>
        <w:rPr>
          <w:noProof/>
          <w:sz w:val="24"/>
          <w:szCs w:val="24"/>
        </w:rPr>
        <w:t xml:space="preserve"> </w:t>
      </w:r>
      <w:r w:rsidRPr="006527C7">
        <w:rPr>
          <w:noProof/>
          <w:sz w:val="24"/>
          <w:szCs w:val="24"/>
        </w:rPr>
        <w:t>Analyzing data from well-executed trials also may provide advantages over previous cohort studies, such as a lower rate of missing data (especially on BMI and other important prognostic variables), lower loss to follow-up rates and centrally adjudicated events.</w:t>
      </w:r>
      <w:r>
        <w:rPr>
          <w:noProof/>
          <w:sz w:val="24"/>
          <w:szCs w:val="24"/>
        </w:rPr>
        <w:t xml:space="preserve"> Statistical precision also is </w:t>
      </w:r>
      <w:r w:rsidRPr="006527C7">
        <w:rPr>
          <w:noProof/>
          <w:sz w:val="24"/>
          <w:szCs w:val="24"/>
        </w:rPr>
        <w:t>an important</w:t>
      </w:r>
      <w:r>
        <w:rPr>
          <w:noProof/>
          <w:sz w:val="24"/>
          <w:szCs w:val="24"/>
        </w:rPr>
        <w:t xml:space="preserve"> advantage, since more than 80,000 participants are </w:t>
      </w:r>
      <w:r w:rsidRPr="006527C7">
        <w:rPr>
          <w:noProof/>
          <w:sz w:val="24"/>
          <w:szCs w:val="24"/>
        </w:rPr>
        <w:t>available</w:t>
      </w:r>
      <w:r>
        <w:rPr>
          <w:noProof/>
          <w:sz w:val="24"/>
          <w:szCs w:val="24"/>
        </w:rPr>
        <w:t xml:space="preserve"> for analysis. As a result, an individual patient data meta-analysis of high-quality randomized trials may improve the understanding of the “obesity paradox” among ACS patients.</w:t>
      </w:r>
    </w:p>
    <w:p w:rsidR="006F2EE6" w:rsidRDefault="006F2EE6" w:rsidP="0052196B">
      <w:pPr>
        <w:pStyle w:val="Sinespaciado"/>
        <w:spacing w:line="480" w:lineRule="auto"/>
        <w:ind w:firstLine="720"/>
        <w:jc w:val="both"/>
        <w:rPr>
          <w:sz w:val="24"/>
          <w:szCs w:val="24"/>
        </w:rPr>
      </w:pPr>
    </w:p>
    <w:p w:rsidR="006F2EE6" w:rsidRDefault="006F2EE6" w:rsidP="0052196B">
      <w:pPr>
        <w:pStyle w:val="Sinespaciado"/>
        <w:spacing w:line="480" w:lineRule="auto"/>
        <w:ind w:firstLine="720"/>
        <w:jc w:val="both"/>
        <w:rPr>
          <w:sz w:val="24"/>
          <w:szCs w:val="24"/>
        </w:rPr>
      </w:pPr>
      <w:r>
        <w:rPr>
          <w:sz w:val="24"/>
          <w:szCs w:val="24"/>
        </w:rPr>
        <w:br w:type="page"/>
      </w:r>
    </w:p>
    <w:p w:rsidR="006F2EE6" w:rsidRPr="00063981" w:rsidRDefault="006F2EE6" w:rsidP="0052196B">
      <w:pPr>
        <w:spacing w:line="480" w:lineRule="auto"/>
        <w:jc w:val="both"/>
        <w:rPr>
          <w:sz w:val="24"/>
          <w:szCs w:val="24"/>
        </w:rPr>
      </w:pPr>
      <w:r w:rsidRPr="00063981">
        <w:rPr>
          <w:b/>
          <w:sz w:val="24"/>
          <w:szCs w:val="24"/>
        </w:rPr>
        <w:lastRenderedPageBreak/>
        <w:t>References</w:t>
      </w:r>
      <w:r w:rsidRPr="00063981">
        <w:rPr>
          <w:sz w:val="24"/>
          <w:szCs w:val="24"/>
        </w:rPr>
        <w:t>:</w:t>
      </w:r>
    </w:p>
    <w:p w:rsidR="006F2EE6" w:rsidRPr="00E46EBC" w:rsidRDefault="006F2EE6" w:rsidP="0052196B">
      <w:pPr>
        <w:pStyle w:val="chapterstitles"/>
        <w:spacing w:after="0"/>
        <w:jc w:val="both"/>
        <w:rPr>
          <w:rFonts w:ascii="Calibri" w:hAnsi="Calibri"/>
          <w:noProof/>
          <w:sz w:val="22"/>
        </w:rPr>
      </w:pPr>
      <w:bookmarkStart w:id="0" w:name="_ENREF_1"/>
      <w:r w:rsidRPr="00E46EBC">
        <w:rPr>
          <w:rFonts w:ascii="Calibri" w:hAnsi="Calibri"/>
          <w:noProof/>
          <w:sz w:val="22"/>
        </w:rPr>
        <w:t>1.</w:t>
      </w:r>
      <w:r w:rsidRPr="00E46EBC">
        <w:rPr>
          <w:rFonts w:ascii="Calibri" w:hAnsi="Calibri"/>
          <w:noProof/>
          <w:sz w:val="22"/>
        </w:rPr>
        <w:tab/>
        <w:t>Lozano R, Naghavi M, Foreman K, et al. Global and regional mortality from 235 causes of death for 20 age groups in 1990 and 2010: a systematic analysis for the Global Burden of Disease Study 2010. Lancet 2012;380:2095-128.</w:t>
      </w:r>
      <w:bookmarkEnd w:id="0"/>
    </w:p>
    <w:p w:rsidR="006F2EE6" w:rsidRPr="00E46EBC" w:rsidRDefault="006F2EE6" w:rsidP="0052196B">
      <w:pPr>
        <w:pStyle w:val="chapterstitles"/>
        <w:spacing w:after="0"/>
        <w:jc w:val="both"/>
        <w:rPr>
          <w:rFonts w:ascii="Calibri" w:hAnsi="Calibri"/>
          <w:noProof/>
          <w:sz w:val="22"/>
        </w:rPr>
      </w:pPr>
      <w:bookmarkStart w:id="1" w:name="_ENREF_2"/>
      <w:r w:rsidRPr="00E46EBC">
        <w:rPr>
          <w:rFonts w:ascii="Calibri" w:hAnsi="Calibri"/>
          <w:noProof/>
          <w:sz w:val="22"/>
        </w:rPr>
        <w:t>2.</w:t>
      </w:r>
      <w:r w:rsidRPr="00E46EBC">
        <w:rPr>
          <w:rFonts w:ascii="Calibri" w:hAnsi="Calibri"/>
          <w:noProof/>
          <w:sz w:val="22"/>
        </w:rPr>
        <w:tab/>
        <w:t>Lloyd-Jones DM, Leip EP, Larson MG, et al. Prediction of lifetime risk for cardiovascular disease by risk factor burden at 50 years of age. Circulation 2006;113:791-8.</w:t>
      </w:r>
      <w:bookmarkEnd w:id="1"/>
    </w:p>
    <w:p w:rsidR="006F2EE6" w:rsidRPr="00E46EBC" w:rsidRDefault="006F2EE6" w:rsidP="0052196B">
      <w:pPr>
        <w:pStyle w:val="chapterstitles"/>
        <w:spacing w:after="0"/>
        <w:jc w:val="both"/>
        <w:rPr>
          <w:rFonts w:ascii="Calibri" w:hAnsi="Calibri"/>
          <w:noProof/>
          <w:sz w:val="22"/>
        </w:rPr>
      </w:pPr>
      <w:bookmarkStart w:id="2" w:name="_ENREF_3"/>
      <w:r w:rsidRPr="00E46EBC">
        <w:rPr>
          <w:rFonts w:ascii="Calibri" w:hAnsi="Calibri"/>
          <w:noProof/>
          <w:sz w:val="22"/>
        </w:rPr>
        <w:t>3.</w:t>
      </w:r>
      <w:r w:rsidRPr="00E46EBC">
        <w:rPr>
          <w:rFonts w:ascii="Calibri" w:hAnsi="Calibri"/>
          <w:noProof/>
          <w:sz w:val="22"/>
        </w:rPr>
        <w:tab/>
        <w:t>Murray CJ, Vos T, Lozano R, et al. Disability-adjusted life years (DALYs) for 291 diseases and injuries in 21 regions, 1990-2010: a systematic analysis for the Global Burden of Disease Study 2010. Lancet 2012;380:2197-223.</w:t>
      </w:r>
      <w:bookmarkEnd w:id="2"/>
    </w:p>
    <w:p w:rsidR="006F2EE6" w:rsidRPr="00E46EBC" w:rsidRDefault="006F2EE6" w:rsidP="0052196B">
      <w:pPr>
        <w:pStyle w:val="chapterstitles"/>
        <w:spacing w:after="0"/>
        <w:jc w:val="both"/>
        <w:rPr>
          <w:rFonts w:ascii="Calibri" w:hAnsi="Calibri"/>
          <w:noProof/>
          <w:sz w:val="22"/>
        </w:rPr>
      </w:pPr>
      <w:bookmarkStart w:id="3" w:name="_ENREF_4"/>
      <w:r w:rsidRPr="00E46EBC">
        <w:rPr>
          <w:rFonts w:ascii="Calibri" w:hAnsi="Calibri"/>
          <w:noProof/>
          <w:sz w:val="22"/>
        </w:rPr>
        <w:t>4.</w:t>
      </w:r>
      <w:r w:rsidRPr="00E46EBC">
        <w:rPr>
          <w:rFonts w:ascii="Calibri" w:hAnsi="Calibri"/>
          <w:noProof/>
          <w:sz w:val="22"/>
        </w:rPr>
        <w:tab/>
        <w:t>Yusuf S, Hawken S, Ounpuu S, et al. Effect of potentially modifiable risk factors associated with myocardial infarction in 52 countries (the INTERHEART study): case-control study. Lancet 2004;364:937-52.</w:t>
      </w:r>
      <w:bookmarkEnd w:id="3"/>
    </w:p>
    <w:p w:rsidR="006F2EE6" w:rsidRPr="00E46EBC" w:rsidRDefault="006F2EE6" w:rsidP="0052196B">
      <w:pPr>
        <w:pStyle w:val="chapterstitles"/>
        <w:spacing w:after="0"/>
        <w:jc w:val="both"/>
        <w:rPr>
          <w:rFonts w:ascii="Calibri" w:hAnsi="Calibri"/>
          <w:noProof/>
          <w:sz w:val="22"/>
        </w:rPr>
      </w:pPr>
      <w:bookmarkStart w:id="4" w:name="_ENREF_5"/>
      <w:r w:rsidRPr="00E46EBC">
        <w:rPr>
          <w:rFonts w:ascii="Calibri" w:hAnsi="Calibri"/>
          <w:noProof/>
          <w:sz w:val="22"/>
        </w:rPr>
        <w:t>5.</w:t>
      </w:r>
      <w:r w:rsidRPr="00E46EBC">
        <w:rPr>
          <w:rFonts w:ascii="Calibri" w:hAnsi="Calibri"/>
          <w:noProof/>
          <w:sz w:val="22"/>
        </w:rPr>
        <w:tab/>
        <w:t>Concise Medical Dictionary: Oxford University Press; 2010.</w:t>
      </w:r>
      <w:bookmarkEnd w:id="4"/>
    </w:p>
    <w:p w:rsidR="006F2EE6" w:rsidRPr="00E46EBC" w:rsidRDefault="006F2EE6" w:rsidP="0052196B">
      <w:pPr>
        <w:pStyle w:val="chapterstitles"/>
        <w:spacing w:after="0"/>
        <w:jc w:val="both"/>
        <w:rPr>
          <w:rFonts w:ascii="Calibri" w:hAnsi="Calibri"/>
          <w:noProof/>
          <w:sz w:val="22"/>
        </w:rPr>
      </w:pPr>
      <w:bookmarkStart w:id="5" w:name="_ENREF_6"/>
      <w:r w:rsidRPr="00E46EBC">
        <w:rPr>
          <w:rFonts w:ascii="Calibri" w:hAnsi="Calibri"/>
          <w:noProof/>
          <w:sz w:val="22"/>
        </w:rPr>
        <w:t>6.</w:t>
      </w:r>
      <w:r w:rsidRPr="00E46EBC">
        <w:rPr>
          <w:rFonts w:ascii="Calibri" w:hAnsi="Calibri"/>
          <w:noProof/>
          <w:sz w:val="22"/>
        </w:rPr>
        <w:tab/>
        <w:t>Gallagher D, Visser M, Sepulveda D, Pierson RN, Harris T, Heymsfield SB. How useful is body mass index for comparison of body fatness across age, sex, and ethnic groups? American journal of epidemiology 1996;143:228-39.</w:t>
      </w:r>
      <w:bookmarkEnd w:id="5"/>
    </w:p>
    <w:p w:rsidR="006F2EE6" w:rsidRPr="00E46EBC" w:rsidRDefault="006F2EE6" w:rsidP="0052196B">
      <w:pPr>
        <w:pStyle w:val="chapterstitles"/>
        <w:spacing w:after="0"/>
        <w:jc w:val="both"/>
        <w:rPr>
          <w:rFonts w:ascii="Calibri" w:hAnsi="Calibri"/>
          <w:noProof/>
          <w:sz w:val="22"/>
        </w:rPr>
      </w:pPr>
      <w:bookmarkStart w:id="6" w:name="_ENREF_7"/>
      <w:r w:rsidRPr="00E46EBC">
        <w:rPr>
          <w:rFonts w:ascii="Calibri" w:hAnsi="Calibri"/>
          <w:noProof/>
          <w:sz w:val="22"/>
        </w:rPr>
        <w:t>7.</w:t>
      </w:r>
      <w:r w:rsidRPr="00E46EBC">
        <w:rPr>
          <w:rFonts w:ascii="Calibri" w:hAnsi="Calibri"/>
          <w:noProof/>
          <w:sz w:val="22"/>
        </w:rPr>
        <w:tab/>
        <w:t>Bedogni G, Pietrobelli A, Heymsfield SB, et al. Is body mass index a measure of adiposity in elderly women? Obesity research 2001;9:17-20.</w:t>
      </w:r>
      <w:bookmarkEnd w:id="6"/>
    </w:p>
    <w:p w:rsidR="006F2EE6" w:rsidRPr="00E46EBC" w:rsidRDefault="006F2EE6" w:rsidP="0052196B">
      <w:pPr>
        <w:pStyle w:val="chapterstitles"/>
        <w:spacing w:after="0"/>
        <w:jc w:val="both"/>
        <w:rPr>
          <w:rFonts w:ascii="Calibri" w:hAnsi="Calibri"/>
          <w:noProof/>
          <w:sz w:val="22"/>
        </w:rPr>
      </w:pPr>
      <w:bookmarkStart w:id="7" w:name="_ENREF_8"/>
      <w:r w:rsidRPr="00E46EBC">
        <w:rPr>
          <w:rFonts w:ascii="Calibri" w:hAnsi="Calibri"/>
          <w:noProof/>
          <w:sz w:val="22"/>
        </w:rPr>
        <w:t>8.</w:t>
      </w:r>
      <w:r w:rsidRPr="00E46EBC">
        <w:rPr>
          <w:rFonts w:ascii="Calibri" w:hAnsi="Calibri"/>
          <w:noProof/>
          <w:sz w:val="22"/>
        </w:rPr>
        <w:tab/>
        <w:t>WHO. Physical status: the use and interpretation of anthropometry. Report of a WHO Expert Committee. WHO Technical Report Series 854. Geneva: World Health Organization, 1995.</w:t>
      </w:r>
      <w:bookmarkEnd w:id="7"/>
    </w:p>
    <w:p w:rsidR="006F2EE6" w:rsidRPr="00E46EBC" w:rsidRDefault="006F2EE6" w:rsidP="0052196B">
      <w:pPr>
        <w:pStyle w:val="chapterstitles"/>
        <w:spacing w:after="0"/>
        <w:jc w:val="both"/>
        <w:rPr>
          <w:rFonts w:ascii="Calibri" w:hAnsi="Calibri"/>
          <w:noProof/>
          <w:sz w:val="22"/>
        </w:rPr>
      </w:pPr>
      <w:bookmarkStart w:id="8" w:name="_ENREF_9"/>
      <w:r w:rsidRPr="00E46EBC">
        <w:rPr>
          <w:rFonts w:ascii="Calibri" w:hAnsi="Calibri"/>
          <w:noProof/>
          <w:sz w:val="22"/>
        </w:rPr>
        <w:t>9.</w:t>
      </w:r>
      <w:r w:rsidRPr="00E46EBC">
        <w:rPr>
          <w:rFonts w:ascii="Calibri" w:hAnsi="Calibri"/>
          <w:noProof/>
          <w:sz w:val="22"/>
        </w:rPr>
        <w:tab/>
        <w:t xml:space="preserve">Jensen MD, Ryan DH, Apovian CM, et al. 2013 AHA/ACC/TOS guideline for the management of overweight and obesity in adults: a report of the American College of </w:t>
      </w:r>
      <w:r w:rsidRPr="00E46EBC">
        <w:rPr>
          <w:rFonts w:ascii="Calibri" w:hAnsi="Calibri"/>
          <w:noProof/>
          <w:sz w:val="22"/>
        </w:rPr>
        <w:lastRenderedPageBreak/>
        <w:t>Cardiology/American Heart Association Task Force on Practice Guidelines and The Obesity Society. Journal of the American College of Cardiology 2014;63:2985-3023.</w:t>
      </w:r>
      <w:bookmarkEnd w:id="8"/>
    </w:p>
    <w:p w:rsidR="006F2EE6" w:rsidRPr="00E46EBC" w:rsidRDefault="006F2EE6" w:rsidP="0052196B">
      <w:pPr>
        <w:pStyle w:val="chapterstitles"/>
        <w:spacing w:after="0"/>
        <w:jc w:val="both"/>
        <w:rPr>
          <w:rFonts w:ascii="Calibri" w:hAnsi="Calibri"/>
          <w:noProof/>
          <w:sz w:val="22"/>
        </w:rPr>
      </w:pPr>
      <w:bookmarkStart w:id="9" w:name="_ENREF_10"/>
      <w:r w:rsidRPr="00E46EBC">
        <w:rPr>
          <w:rFonts w:ascii="Calibri" w:hAnsi="Calibri"/>
          <w:noProof/>
          <w:sz w:val="22"/>
        </w:rPr>
        <w:t>10.</w:t>
      </w:r>
      <w:r w:rsidRPr="00E46EBC">
        <w:rPr>
          <w:rFonts w:ascii="Calibri" w:hAnsi="Calibri"/>
          <w:noProof/>
          <w:sz w:val="22"/>
        </w:rPr>
        <w:tab/>
        <w:t>Perk J, De Backer G, Gohlke H, et al. 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 experts). European heart journal 2012;33:1635-701.</w:t>
      </w:r>
      <w:bookmarkEnd w:id="9"/>
    </w:p>
    <w:p w:rsidR="006F2EE6" w:rsidRPr="00E46EBC" w:rsidRDefault="006F2EE6" w:rsidP="0052196B">
      <w:pPr>
        <w:pStyle w:val="chapterstitles"/>
        <w:spacing w:after="0"/>
        <w:jc w:val="both"/>
        <w:rPr>
          <w:rFonts w:ascii="Calibri" w:hAnsi="Calibri"/>
          <w:noProof/>
          <w:sz w:val="22"/>
        </w:rPr>
      </w:pPr>
      <w:bookmarkStart w:id="10" w:name="_ENREF_11"/>
      <w:r w:rsidRPr="00E46EBC">
        <w:rPr>
          <w:rFonts w:ascii="Calibri" w:hAnsi="Calibri"/>
          <w:noProof/>
          <w:sz w:val="22"/>
        </w:rPr>
        <w:t>11.</w:t>
      </w:r>
      <w:r w:rsidRPr="00E46EBC">
        <w:rPr>
          <w:rFonts w:ascii="Calibri" w:hAnsi="Calibri"/>
          <w:noProof/>
          <w:sz w:val="22"/>
        </w:rPr>
        <w:tab/>
        <w:t>In: Obesity: The Prevention, Identification, Assessment and Management of Overweight and Obesity in Adults and Children NICE guidelines. London; 2006.</w:t>
      </w:r>
      <w:bookmarkEnd w:id="10"/>
    </w:p>
    <w:p w:rsidR="006F2EE6" w:rsidRPr="00E46EBC" w:rsidRDefault="006F2EE6" w:rsidP="0052196B">
      <w:pPr>
        <w:pStyle w:val="chapterstitles"/>
        <w:spacing w:after="0"/>
        <w:jc w:val="both"/>
        <w:rPr>
          <w:rFonts w:ascii="Calibri" w:hAnsi="Calibri"/>
          <w:noProof/>
          <w:sz w:val="22"/>
        </w:rPr>
      </w:pPr>
      <w:bookmarkStart w:id="11" w:name="_ENREF_12"/>
      <w:r w:rsidRPr="00E46EBC">
        <w:rPr>
          <w:rFonts w:ascii="Calibri" w:hAnsi="Calibri"/>
          <w:noProof/>
          <w:sz w:val="22"/>
        </w:rPr>
        <w:t>12.</w:t>
      </w:r>
      <w:r w:rsidRPr="00E46EBC">
        <w:rPr>
          <w:rFonts w:ascii="Calibri" w:hAnsi="Calibri"/>
          <w:noProof/>
          <w:sz w:val="22"/>
        </w:rPr>
        <w:tab/>
        <w:t>Yusuf S, Hawken S, Ounpuu S, et al. Obesity and the risk of myocardial infarction in 27,000 participants from 52 countries: a case-control study. Lancet 2005;366:1640-9.</w:t>
      </w:r>
      <w:bookmarkEnd w:id="11"/>
    </w:p>
    <w:p w:rsidR="006F2EE6" w:rsidRPr="00E46EBC" w:rsidRDefault="006F2EE6" w:rsidP="0052196B">
      <w:pPr>
        <w:pStyle w:val="chapterstitles"/>
        <w:spacing w:after="0"/>
        <w:jc w:val="both"/>
        <w:rPr>
          <w:rFonts w:ascii="Calibri" w:hAnsi="Calibri"/>
          <w:noProof/>
          <w:sz w:val="22"/>
        </w:rPr>
      </w:pPr>
      <w:bookmarkStart w:id="12" w:name="_ENREF_13"/>
      <w:r w:rsidRPr="00E46EBC">
        <w:rPr>
          <w:rFonts w:ascii="Calibri" w:hAnsi="Calibri"/>
          <w:noProof/>
          <w:sz w:val="22"/>
        </w:rPr>
        <w:t>13.</w:t>
      </w:r>
      <w:r w:rsidRPr="00E46EBC">
        <w:rPr>
          <w:rFonts w:ascii="Calibri" w:hAnsi="Calibri"/>
          <w:noProof/>
          <w:sz w:val="22"/>
        </w:rPr>
        <w:tab/>
        <w:t>Lee CM, Huxley RR, Wildman RP, Woodward M. Indices of abdominal obesity are better discriminators of cardiovascular risk factors than BMI: a meta-analysis. Journal of clinical epidemiology 2008;61:646-53.</w:t>
      </w:r>
      <w:bookmarkEnd w:id="12"/>
    </w:p>
    <w:p w:rsidR="006F2EE6" w:rsidRPr="00E46EBC" w:rsidRDefault="006F2EE6" w:rsidP="0052196B">
      <w:pPr>
        <w:pStyle w:val="chapterstitles"/>
        <w:spacing w:after="0"/>
        <w:jc w:val="both"/>
        <w:rPr>
          <w:rFonts w:ascii="Calibri" w:hAnsi="Calibri"/>
          <w:noProof/>
          <w:sz w:val="22"/>
        </w:rPr>
      </w:pPr>
      <w:bookmarkStart w:id="13" w:name="_ENREF_14"/>
      <w:r w:rsidRPr="00E46EBC">
        <w:rPr>
          <w:rFonts w:ascii="Calibri" w:hAnsi="Calibri"/>
          <w:noProof/>
          <w:sz w:val="22"/>
        </w:rPr>
        <w:t>14.</w:t>
      </w:r>
      <w:r w:rsidRPr="00E46EBC">
        <w:rPr>
          <w:rFonts w:ascii="Calibri" w:hAnsi="Calibri"/>
          <w:noProof/>
          <w:sz w:val="22"/>
        </w:rPr>
        <w:tab/>
        <w:t>Zhu S, Wang Z, Heshka S, Heo M, Faith MS, Heymsfield SB. Waist circumference and obesity-associated risk factors among whites in the third National Health and Nutrition Examination Survey: clinical action thresholds. The American journal of clinical nutrition 2002;76:743-9.</w:t>
      </w:r>
      <w:bookmarkEnd w:id="13"/>
    </w:p>
    <w:p w:rsidR="006F2EE6" w:rsidRPr="00E46EBC" w:rsidRDefault="006F2EE6" w:rsidP="0052196B">
      <w:pPr>
        <w:pStyle w:val="chapterstitles"/>
        <w:spacing w:after="0"/>
        <w:jc w:val="both"/>
        <w:rPr>
          <w:rFonts w:ascii="Calibri" w:hAnsi="Calibri"/>
          <w:noProof/>
          <w:sz w:val="22"/>
        </w:rPr>
      </w:pPr>
      <w:bookmarkStart w:id="14" w:name="_ENREF_15"/>
      <w:r w:rsidRPr="00E46EBC">
        <w:rPr>
          <w:rFonts w:ascii="Calibri" w:hAnsi="Calibri"/>
          <w:noProof/>
          <w:sz w:val="22"/>
        </w:rPr>
        <w:t>15.</w:t>
      </w:r>
      <w:r w:rsidRPr="00E46EBC">
        <w:rPr>
          <w:rFonts w:ascii="Calibri" w:hAnsi="Calibri"/>
          <w:noProof/>
          <w:sz w:val="22"/>
        </w:rPr>
        <w:tab/>
        <w:t>Waist Circumference and Waist-Hip Ratio. Geneva: World Health Organization; 2008.</w:t>
      </w:r>
      <w:bookmarkEnd w:id="14"/>
    </w:p>
    <w:p w:rsidR="006F2EE6" w:rsidRPr="00E46EBC" w:rsidRDefault="006F2EE6" w:rsidP="0052196B">
      <w:pPr>
        <w:pStyle w:val="chapterstitles"/>
        <w:spacing w:after="0"/>
        <w:jc w:val="both"/>
        <w:rPr>
          <w:rFonts w:ascii="Calibri" w:hAnsi="Calibri"/>
          <w:noProof/>
          <w:sz w:val="22"/>
        </w:rPr>
      </w:pPr>
      <w:bookmarkStart w:id="15" w:name="_ENREF_16"/>
      <w:r w:rsidRPr="00E46EBC">
        <w:rPr>
          <w:rFonts w:ascii="Calibri" w:hAnsi="Calibri"/>
          <w:noProof/>
          <w:sz w:val="22"/>
        </w:rPr>
        <w:t>16.</w:t>
      </w:r>
      <w:r w:rsidRPr="00E46EBC">
        <w:rPr>
          <w:rFonts w:ascii="Calibri" w:hAnsi="Calibri"/>
          <w:noProof/>
          <w:sz w:val="22"/>
        </w:rPr>
        <w:tab/>
        <w:t>Ng M, Fleming T, Robinson M, et al. Global, regional, and national prevalence of overweight and obesity in children and adults during 1980-2013: a systematic analysis for the Global Burden of Disease Study 2013. Lancet 2014;384:766-81.</w:t>
      </w:r>
      <w:bookmarkEnd w:id="15"/>
    </w:p>
    <w:p w:rsidR="006F2EE6" w:rsidRPr="00E46EBC" w:rsidRDefault="006F2EE6" w:rsidP="0052196B">
      <w:pPr>
        <w:pStyle w:val="chapterstitles"/>
        <w:spacing w:after="0"/>
        <w:jc w:val="both"/>
        <w:rPr>
          <w:rFonts w:ascii="Calibri" w:hAnsi="Calibri"/>
          <w:noProof/>
          <w:sz w:val="22"/>
        </w:rPr>
      </w:pPr>
      <w:bookmarkStart w:id="16" w:name="_ENREF_17"/>
      <w:r w:rsidRPr="00E46EBC">
        <w:rPr>
          <w:rFonts w:ascii="Calibri" w:hAnsi="Calibri"/>
          <w:noProof/>
          <w:sz w:val="22"/>
        </w:rPr>
        <w:lastRenderedPageBreak/>
        <w:t>17.</w:t>
      </w:r>
      <w:r w:rsidRPr="00E46EBC">
        <w:rPr>
          <w:rFonts w:ascii="Calibri" w:hAnsi="Calibri"/>
          <w:noProof/>
          <w:sz w:val="22"/>
        </w:rPr>
        <w:tab/>
        <w:t>Ogden CL, Carroll MD, Kit BK, Flegal KM. Prevalence of childhood and adult obesity in the United States, 2011-2012. Jama 2014;311:806-14.</w:t>
      </w:r>
      <w:bookmarkEnd w:id="16"/>
    </w:p>
    <w:p w:rsidR="006F2EE6" w:rsidRPr="00E46EBC" w:rsidRDefault="006F2EE6" w:rsidP="0052196B">
      <w:pPr>
        <w:pStyle w:val="chapterstitles"/>
        <w:spacing w:after="0"/>
        <w:jc w:val="both"/>
        <w:rPr>
          <w:rFonts w:ascii="Calibri" w:hAnsi="Calibri"/>
          <w:noProof/>
          <w:sz w:val="22"/>
        </w:rPr>
      </w:pPr>
      <w:bookmarkStart w:id="17" w:name="_ENREF_18"/>
      <w:r w:rsidRPr="00E46EBC">
        <w:rPr>
          <w:rFonts w:ascii="Calibri" w:hAnsi="Calibri"/>
          <w:noProof/>
          <w:sz w:val="22"/>
        </w:rPr>
        <w:t>18.</w:t>
      </w:r>
      <w:r w:rsidRPr="00E46EBC">
        <w:rPr>
          <w:rFonts w:ascii="Calibri" w:hAnsi="Calibri"/>
          <w:noProof/>
          <w:sz w:val="22"/>
        </w:rPr>
        <w:tab/>
        <w:t>In: Obesity: The Prevention, Identification, Assessment and Management of Overweight and Obesity in Adults and Children. London; 2006.</w:t>
      </w:r>
      <w:bookmarkEnd w:id="17"/>
    </w:p>
    <w:p w:rsidR="006F2EE6" w:rsidRPr="00E46EBC" w:rsidRDefault="006F2EE6" w:rsidP="0052196B">
      <w:pPr>
        <w:pStyle w:val="chapterstitles"/>
        <w:spacing w:after="0"/>
        <w:jc w:val="both"/>
        <w:rPr>
          <w:rFonts w:ascii="Calibri" w:hAnsi="Calibri"/>
          <w:noProof/>
          <w:sz w:val="22"/>
        </w:rPr>
      </w:pPr>
      <w:bookmarkStart w:id="18" w:name="_ENREF_19"/>
      <w:r w:rsidRPr="00421E15">
        <w:rPr>
          <w:rFonts w:ascii="Calibri" w:hAnsi="Calibri"/>
          <w:noProof/>
          <w:sz w:val="22"/>
        </w:rPr>
        <w:t>19.</w:t>
      </w:r>
      <w:r w:rsidRPr="00421E15">
        <w:rPr>
          <w:rFonts w:ascii="Calibri" w:hAnsi="Calibri"/>
          <w:noProof/>
          <w:sz w:val="22"/>
        </w:rPr>
        <w:tab/>
        <w:t xml:space="preserve">Berrington de Gonzalez A, Hartge P, Cerhan JR, et al. </w:t>
      </w:r>
      <w:r w:rsidRPr="00E46EBC">
        <w:rPr>
          <w:rFonts w:ascii="Calibri" w:hAnsi="Calibri"/>
          <w:noProof/>
          <w:sz w:val="22"/>
        </w:rPr>
        <w:t>B</w:t>
      </w:r>
      <w:r w:rsidR="0052196B">
        <w:rPr>
          <w:rFonts w:ascii="Calibri" w:hAnsi="Calibri"/>
          <w:noProof/>
          <w:sz w:val="22"/>
        </w:rPr>
        <w:t>ody mass</w:t>
      </w:r>
      <w:r w:rsidRPr="00E46EBC">
        <w:rPr>
          <w:rFonts w:ascii="Calibri" w:hAnsi="Calibri"/>
          <w:noProof/>
          <w:sz w:val="22"/>
        </w:rPr>
        <w:t xml:space="preserve"> index and mortality among 1.46 million white adults. The New England journal of medicine 2010;363:2211-9.</w:t>
      </w:r>
      <w:bookmarkEnd w:id="18"/>
    </w:p>
    <w:p w:rsidR="006F2EE6" w:rsidRPr="00E46EBC" w:rsidRDefault="006F2EE6" w:rsidP="0052196B">
      <w:pPr>
        <w:pStyle w:val="chapterstitles"/>
        <w:spacing w:after="0"/>
        <w:jc w:val="both"/>
        <w:rPr>
          <w:rFonts w:ascii="Calibri" w:hAnsi="Calibri"/>
          <w:noProof/>
          <w:sz w:val="22"/>
        </w:rPr>
      </w:pPr>
      <w:bookmarkStart w:id="19" w:name="_ENREF_20"/>
      <w:r w:rsidRPr="00E46EBC">
        <w:rPr>
          <w:rFonts w:ascii="Calibri" w:hAnsi="Calibri"/>
          <w:noProof/>
          <w:sz w:val="22"/>
        </w:rPr>
        <w:t>20.</w:t>
      </w:r>
      <w:r w:rsidRPr="00E46EBC">
        <w:rPr>
          <w:rFonts w:ascii="Calibri" w:hAnsi="Calibri"/>
          <w:noProof/>
          <w:sz w:val="22"/>
        </w:rPr>
        <w:tab/>
        <w:t>Whitlock G, Lewington S, Sherliker P, et al. B</w:t>
      </w:r>
      <w:r w:rsidR="0052196B">
        <w:rPr>
          <w:rFonts w:ascii="Calibri" w:hAnsi="Calibri"/>
          <w:noProof/>
          <w:sz w:val="22"/>
        </w:rPr>
        <w:t>ody mass</w:t>
      </w:r>
      <w:r w:rsidRPr="00E46EBC">
        <w:rPr>
          <w:rFonts w:ascii="Calibri" w:hAnsi="Calibri"/>
          <w:noProof/>
          <w:sz w:val="22"/>
        </w:rPr>
        <w:t xml:space="preserve"> index and cause-specific mortality in 900 000 adults: collaborative analyses of 57 prospective studies. Lancet 2009;373:1083-96.</w:t>
      </w:r>
      <w:bookmarkEnd w:id="19"/>
    </w:p>
    <w:p w:rsidR="006F2EE6" w:rsidRPr="00421E15" w:rsidRDefault="006F2EE6" w:rsidP="0052196B">
      <w:pPr>
        <w:pStyle w:val="chapterstitles"/>
        <w:spacing w:after="0"/>
        <w:jc w:val="both"/>
        <w:rPr>
          <w:rFonts w:ascii="Calibri" w:hAnsi="Calibri"/>
          <w:noProof/>
          <w:sz w:val="22"/>
          <w:lang w:val="es-ES"/>
        </w:rPr>
      </w:pPr>
      <w:bookmarkStart w:id="20" w:name="_ENREF_21"/>
      <w:r w:rsidRPr="00E46EBC">
        <w:rPr>
          <w:rFonts w:ascii="Calibri" w:hAnsi="Calibri"/>
          <w:noProof/>
          <w:sz w:val="22"/>
        </w:rPr>
        <w:t>21.</w:t>
      </w:r>
      <w:r w:rsidRPr="00E46EBC">
        <w:rPr>
          <w:rFonts w:ascii="Calibri" w:hAnsi="Calibri"/>
          <w:noProof/>
          <w:sz w:val="22"/>
        </w:rPr>
        <w:tab/>
        <w:t xml:space="preserve">Hubert HB, Feinleib M, McNamara PM, Castelli WP. Obesity as an independent risk factor for cardiovascular disease: a 26-year follow-up of participants in the Framingham Heart Study. </w:t>
      </w:r>
      <w:r w:rsidRPr="00421E15">
        <w:rPr>
          <w:rFonts w:ascii="Calibri" w:hAnsi="Calibri"/>
          <w:noProof/>
          <w:sz w:val="22"/>
          <w:lang w:val="es-ES"/>
        </w:rPr>
        <w:t>Circulation 1983;67:968-77.</w:t>
      </w:r>
      <w:bookmarkEnd w:id="20"/>
    </w:p>
    <w:p w:rsidR="006F2EE6" w:rsidRPr="00E46EBC" w:rsidRDefault="006F2EE6" w:rsidP="0052196B">
      <w:pPr>
        <w:pStyle w:val="chapterstitles"/>
        <w:spacing w:after="0"/>
        <w:jc w:val="both"/>
        <w:rPr>
          <w:rFonts w:ascii="Calibri" w:hAnsi="Calibri"/>
          <w:noProof/>
          <w:sz w:val="22"/>
        </w:rPr>
      </w:pPr>
      <w:bookmarkStart w:id="21" w:name="_ENREF_22"/>
      <w:r w:rsidRPr="00E46EBC">
        <w:rPr>
          <w:rFonts w:ascii="Calibri" w:hAnsi="Calibri"/>
          <w:noProof/>
          <w:sz w:val="22"/>
          <w:lang w:val="es-ES"/>
        </w:rPr>
        <w:t>22.</w:t>
      </w:r>
      <w:r w:rsidRPr="00E46EBC">
        <w:rPr>
          <w:rFonts w:ascii="Calibri" w:hAnsi="Calibri"/>
          <w:noProof/>
          <w:sz w:val="22"/>
          <w:lang w:val="es-ES"/>
        </w:rPr>
        <w:tab/>
        <w:t xml:space="preserve">Calle EE, Thun MJ, Petrelli JM, Rodriguez C, Heath CW, Jr. </w:t>
      </w:r>
      <w:r w:rsidRPr="00E46EBC">
        <w:rPr>
          <w:rFonts w:ascii="Calibri" w:hAnsi="Calibri"/>
          <w:noProof/>
          <w:sz w:val="22"/>
        </w:rPr>
        <w:t>B</w:t>
      </w:r>
      <w:r w:rsidR="0052196B">
        <w:rPr>
          <w:rFonts w:ascii="Calibri" w:hAnsi="Calibri"/>
          <w:noProof/>
          <w:sz w:val="22"/>
        </w:rPr>
        <w:t>ody mass</w:t>
      </w:r>
      <w:r w:rsidRPr="00E46EBC">
        <w:rPr>
          <w:rFonts w:ascii="Calibri" w:hAnsi="Calibri"/>
          <w:noProof/>
          <w:sz w:val="22"/>
        </w:rPr>
        <w:t xml:space="preserve"> index and mortality in a prospective cohort of U.S. adults. The New England journal of medicine 1999;341:1097-105.</w:t>
      </w:r>
      <w:bookmarkEnd w:id="21"/>
    </w:p>
    <w:p w:rsidR="006F2EE6" w:rsidRPr="00E46EBC" w:rsidRDefault="006F2EE6" w:rsidP="0052196B">
      <w:pPr>
        <w:pStyle w:val="chapterstitles"/>
        <w:spacing w:after="0"/>
        <w:jc w:val="both"/>
        <w:rPr>
          <w:rFonts w:ascii="Calibri" w:hAnsi="Calibri"/>
          <w:noProof/>
          <w:sz w:val="22"/>
        </w:rPr>
      </w:pPr>
      <w:bookmarkStart w:id="22" w:name="_ENREF_23"/>
      <w:r w:rsidRPr="00E46EBC">
        <w:rPr>
          <w:rFonts w:ascii="Calibri" w:hAnsi="Calibri"/>
          <w:noProof/>
          <w:sz w:val="22"/>
        </w:rPr>
        <w:t>23.</w:t>
      </w:r>
      <w:r w:rsidRPr="00E46EBC">
        <w:rPr>
          <w:rFonts w:ascii="Calibri" w:hAnsi="Calibri"/>
          <w:noProof/>
          <w:sz w:val="22"/>
        </w:rPr>
        <w:tab/>
        <w:t>Siebenhofer A, Jeitler K, Horvath K, Berghold A, Siering U, Semlitsch T. Long-term effects of weight-reducing drugs in hypertensive patients. The Cochrane database of systematic reviews 2013;3:CD007654.</w:t>
      </w:r>
      <w:bookmarkEnd w:id="22"/>
    </w:p>
    <w:p w:rsidR="006F2EE6" w:rsidRPr="00E46EBC" w:rsidRDefault="006F2EE6" w:rsidP="0052196B">
      <w:pPr>
        <w:pStyle w:val="chapterstitles"/>
        <w:spacing w:after="0"/>
        <w:jc w:val="both"/>
        <w:rPr>
          <w:rFonts w:ascii="Calibri" w:hAnsi="Calibri"/>
          <w:noProof/>
          <w:sz w:val="22"/>
        </w:rPr>
      </w:pPr>
      <w:bookmarkStart w:id="23" w:name="_ENREF_24"/>
      <w:r w:rsidRPr="00E46EBC">
        <w:rPr>
          <w:rFonts w:ascii="Calibri" w:hAnsi="Calibri"/>
          <w:noProof/>
          <w:sz w:val="22"/>
        </w:rPr>
        <w:t>24.</w:t>
      </w:r>
      <w:r w:rsidRPr="00E46EBC">
        <w:rPr>
          <w:rFonts w:ascii="Calibri" w:hAnsi="Calibri"/>
          <w:noProof/>
          <w:sz w:val="22"/>
        </w:rPr>
        <w:tab/>
        <w:t>Ricci C, Gaeta M, Rausa E, Asti E, Bandera F, Bonavina L. Long-term effects of bariatric surgery on type II diabetes, hypertension and hyperlipidemia: a meta-analysis and meta-regression study with 5-year follow-up. Obesity surgery 2015;25:397-405.</w:t>
      </w:r>
      <w:bookmarkEnd w:id="23"/>
    </w:p>
    <w:p w:rsidR="006F2EE6" w:rsidRPr="00E46EBC" w:rsidRDefault="006F2EE6" w:rsidP="0052196B">
      <w:pPr>
        <w:pStyle w:val="chapterstitles"/>
        <w:spacing w:after="0"/>
        <w:jc w:val="both"/>
        <w:rPr>
          <w:rFonts w:ascii="Calibri" w:hAnsi="Calibri"/>
          <w:noProof/>
          <w:sz w:val="22"/>
        </w:rPr>
      </w:pPr>
      <w:bookmarkStart w:id="24" w:name="_ENREF_25"/>
      <w:r w:rsidRPr="00421E15">
        <w:rPr>
          <w:rFonts w:ascii="Calibri" w:hAnsi="Calibri"/>
          <w:noProof/>
          <w:sz w:val="22"/>
        </w:rPr>
        <w:t>25.</w:t>
      </w:r>
      <w:r w:rsidRPr="00421E15">
        <w:rPr>
          <w:rFonts w:ascii="Calibri" w:hAnsi="Calibri"/>
          <w:noProof/>
          <w:sz w:val="22"/>
        </w:rPr>
        <w:tab/>
        <w:t xml:space="preserve">Romero-Corral A, Montori VM, Somers VK, et al. </w:t>
      </w:r>
      <w:r w:rsidRPr="00E46EBC">
        <w:rPr>
          <w:rFonts w:ascii="Calibri" w:hAnsi="Calibri"/>
          <w:noProof/>
          <w:sz w:val="22"/>
        </w:rPr>
        <w:t>Association of bodyweight with total mortality and with cardiovascular events in coronary artery disease: a systematic review of cohort studies. Lancet 2006;368:666-78.</w:t>
      </w:r>
      <w:bookmarkEnd w:id="24"/>
    </w:p>
    <w:p w:rsidR="006F2EE6" w:rsidRPr="00E46EBC" w:rsidRDefault="006F2EE6" w:rsidP="0052196B">
      <w:pPr>
        <w:pStyle w:val="chapterstitles"/>
        <w:spacing w:after="0"/>
        <w:jc w:val="both"/>
        <w:rPr>
          <w:rFonts w:ascii="Calibri" w:hAnsi="Calibri"/>
          <w:noProof/>
          <w:sz w:val="22"/>
        </w:rPr>
      </w:pPr>
      <w:bookmarkStart w:id="25" w:name="_ENREF_26"/>
      <w:r w:rsidRPr="00E46EBC">
        <w:rPr>
          <w:rFonts w:ascii="Calibri" w:hAnsi="Calibri"/>
          <w:noProof/>
          <w:sz w:val="22"/>
        </w:rPr>
        <w:lastRenderedPageBreak/>
        <w:t>26.</w:t>
      </w:r>
      <w:r w:rsidRPr="00E46EBC">
        <w:rPr>
          <w:rFonts w:ascii="Calibri" w:hAnsi="Calibri"/>
          <w:noProof/>
          <w:sz w:val="22"/>
        </w:rPr>
        <w:tab/>
        <w:t>Oreopoulos A, Padwal R, Norris CM, Mullen JC, Pretorius V, Kalantar-Zadeh K. Effect of obesity on short- and long-term mortality postcoronary revascularization: a meta-analysis. Obesity (Silver Spring) 2008;16:442-50.</w:t>
      </w:r>
      <w:bookmarkEnd w:id="25"/>
    </w:p>
    <w:p w:rsidR="006F2EE6" w:rsidRPr="00E46EBC" w:rsidRDefault="006F2EE6" w:rsidP="0052196B">
      <w:pPr>
        <w:pStyle w:val="chapterstitles"/>
        <w:spacing w:after="0"/>
        <w:jc w:val="both"/>
        <w:rPr>
          <w:rFonts w:ascii="Calibri" w:hAnsi="Calibri"/>
          <w:noProof/>
          <w:sz w:val="22"/>
        </w:rPr>
      </w:pPr>
      <w:bookmarkStart w:id="26" w:name="_ENREF_27"/>
      <w:r w:rsidRPr="00421E15">
        <w:rPr>
          <w:rFonts w:ascii="Calibri" w:hAnsi="Calibri"/>
          <w:noProof/>
          <w:sz w:val="22"/>
        </w:rPr>
        <w:t>27.</w:t>
      </w:r>
      <w:r w:rsidRPr="00421E15">
        <w:rPr>
          <w:rFonts w:ascii="Calibri" w:hAnsi="Calibri"/>
          <w:noProof/>
          <w:sz w:val="22"/>
        </w:rPr>
        <w:tab/>
        <w:t xml:space="preserve">Niedziela J, Hudzik B, Niedziela N, et al. </w:t>
      </w:r>
      <w:r w:rsidRPr="00E46EBC">
        <w:rPr>
          <w:rFonts w:ascii="Calibri" w:hAnsi="Calibri"/>
          <w:noProof/>
          <w:sz w:val="22"/>
        </w:rPr>
        <w:t>The obesity paradox in acute coronary syndrome: a meta-analysis. European journal of epidemiology 2014;29:801-12.</w:t>
      </w:r>
      <w:bookmarkEnd w:id="26"/>
    </w:p>
    <w:p w:rsidR="006F2EE6" w:rsidRPr="00E46EBC" w:rsidRDefault="006F2EE6" w:rsidP="0052196B">
      <w:pPr>
        <w:pStyle w:val="chapterstitles"/>
        <w:spacing w:after="0"/>
        <w:jc w:val="both"/>
        <w:rPr>
          <w:rFonts w:ascii="Calibri" w:hAnsi="Calibri"/>
          <w:noProof/>
          <w:sz w:val="22"/>
        </w:rPr>
      </w:pPr>
      <w:bookmarkStart w:id="27" w:name="_ENREF_28"/>
      <w:r w:rsidRPr="00E46EBC">
        <w:rPr>
          <w:rFonts w:ascii="Calibri" w:hAnsi="Calibri"/>
          <w:noProof/>
          <w:sz w:val="22"/>
        </w:rPr>
        <w:t>28.</w:t>
      </w:r>
      <w:r w:rsidRPr="00E46EBC">
        <w:rPr>
          <w:rFonts w:ascii="Calibri" w:hAnsi="Calibri"/>
          <w:noProof/>
          <w:sz w:val="22"/>
        </w:rPr>
        <w:tab/>
        <w:t>Sharma A, Vallakati A, Einstein AJ, et al. Relationship of body mass index with total mortality, cardiovascular mortality, and myocardial infarction after coronary revascularization: evidence from a meta-analysis. Mayo Clinic proceedings 2014;89:1080-100.</w:t>
      </w:r>
      <w:bookmarkEnd w:id="27"/>
    </w:p>
    <w:p w:rsidR="006F2EE6" w:rsidRPr="00E46EBC" w:rsidRDefault="006F2EE6" w:rsidP="0052196B">
      <w:pPr>
        <w:pStyle w:val="chapterstitles"/>
        <w:spacing w:after="0"/>
        <w:jc w:val="both"/>
        <w:rPr>
          <w:rFonts w:ascii="Calibri" w:hAnsi="Calibri"/>
          <w:noProof/>
          <w:sz w:val="22"/>
        </w:rPr>
      </w:pPr>
      <w:bookmarkStart w:id="28" w:name="_ENREF_29"/>
      <w:r w:rsidRPr="00421E15">
        <w:rPr>
          <w:rFonts w:ascii="Calibri" w:hAnsi="Calibri"/>
          <w:noProof/>
          <w:sz w:val="22"/>
        </w:rPr>
        <w:t>29.</w:t>
      </w:r>
      <w:r w:rsidRPr="00421E15">
        <w:rPr>
          <w:rFonts w:ascii="Calibri" w:hAnsi="Calibri"/>
          <w:noProof/>
          <w:sz w:val="22"/>
        </w:rPr>
        <w:tab/>
        <w:t xml:space="preserve">Lavie CJ, Milani RV, Ventura HO. </w:t>
      </w:r>
      <w:r w:rsidRPr="00E46EBC">
        <w:rPr>
          <w:rFonts w:ascii="Calibri" w:hAnsi="Calibri"/>
          <w:noProof/>
          <w:sz w:val="22"/>
        </w:rPr>
        <w:t>Obesity and cardiovascular disease: risk factor, paradox, and impact of weight loss. Journal of the American College of Cardiology 2009;53:1925-32.</w:t>
      </w:r>
      <w:bookmarkEnd w:id="28"/>
    </w:p>
    <w:p w:rsidR="006F2EE6" w:rsidRPr="00E46EBC" w:rsidRDefault="006F2EE6" w:rsidP="0052196B">
      <w:pPr>
        <w:pStyle w:val="chapterstitles"/>
        <w:spacing w:after="0"/>
        <w:jc w:val="both"/>
        <w:rPr>
          <w:rFonts w:ascii="Calibri" w:hAnsi="Calibri"/>
          <w:noProof/>
          <w:sz w:val="22"/>
        </w:rPr>
      </w:pPr>
      <w:bookmarkStart w:id="29" w:name="_ENREF_30"/>
      <w:r w:rsidRPr="00E46EBC">
        <w:rPr>
          <w:rFonts w:ascii="Calibri" w:hAnsi="Calibri"/>
          <w:noProof/>
          <w:sz w:val="22"/>
        </w:rPr>
        <w:t>30.</w:t>
      </w:r>
      <w:r w:rsidRPr="00E46EBC">
        <w:rPr>
          <w:rFonts w:ascii="Calibri" w:hAnsi="Calibri"/>
          <w:noProof/>
          <w:sz w:val="22"/>
        </w:rPr>
        <w:tab/>
        <w:t>Oliveros H, Villamor E. Obesity and mortality in critically ill adults: a systematic review and meta-analysis. Obesity (Silver Spring) 2008;16:515-21.</w:t>
      </w:r>
      <w:bookmarkEnd w:id="29"/>
    </w:p>
    <w:p w:rsidR="006F2EE6" w:rsidRPr="00E46EBC" w:rsidRDefault="006F2EE6" w:rsidP="0052196B">
      <w:pPr>
        <w:pStyle w:val="chapterstitles"/>
        <w:spacing w:after="0"/>
        <w:jc w:val="both"/>
        <w:rPr>
          <w:rFonts w:ascii="Calibri" w:hAnsi="Calibri"/>
          <w:noProof/>
          <w:sz w:val="22"/>
        </w:rPr>
      </w:pPr>
      <w:bookmarkStart w:id="30" w:name="_ENREF_31"/>
      <w:r w:rsidRPr="00E46EBC">
        <w:rPr>
          <w:rFonts w:ascii="Calibri" w:hAnsi="Calibri"/>
          <w:noProof/>
          <w:sz w:val="22"/>
        </w:rPr>
        <w:t>31.</w:t>
      </w:r>
      <w:r w:rsidRPr="00E46EBC">
        <w:rPr>
          <w:rFonts w:ascii="Calibri" w:hAnsi="Calibri"/>
          <w:noProof/>
          <w:sz w:val="22"/>
        </w:rPr>
        <w:tab/>
        <w:t>Engelman DT, Adams DH, Byrne JG, et al. Impact of body mass index and albumin on morbidity and mortality after cardiac surgery. The Journal of thoracic and cardiovascular surgery 1999;118:866-73.</w:t>
      </w:r>
      <w:bookmarkEnd w:id="30"/>
    </w:p>
    <w:p w:rsidR="006F2EE6" w:rsidRPr="00E46EBC" w:rsidRDefault="006F2EE6" w:rsidP="0052196B">
      <w:pPr>
        <w:pStyle w:val="chapterstitles"/>
        <w:spacing w:after="0"/>
        <w:jc w:val="both"/>
        <w:rPr>
          <w:rFonts w:ascii="Calibri" w:hAnsi="Calibri"/>
          <w:noProof/>
          <w:sz w:val="22"/>
        </w:rPr>
      </w:pPr>
      <w:bookmarkStart w:id="31" w:name="_ENREF_32"/>
      <w:r w:rsidRPr="00E46EBC">
        <w:rPr>
          <w:rFonts w:ascii="Calibri" w:hAnsi="Calibri"/>
          <w:noProof/>
          <w:sz w:val="22"/>
        </w:rPr>
        <w:t>32.</w:t>
      </w:r>
      <w:r w:rsidRPr="00E46EBC">
        <w:rPr>
          <w:rFonts w:ascii="Calibri" w:hAnsi="Calibri"/>
          <w:noProof/>
          <w:sz w:val="22"/>
        </w:rPr>
        <w:tab/>
        <w:t>Khalid U, Ather S, Bavishi C, et al. Pre-morbid body mass index and mortality after incident heart failure: the ARIC Study. Journal of the American College of Cardiology 2014;64:2743-9.</w:t>
      </w:r>
      <w:bookmarkEnd w:id="31"/>
    </w:p>
    <w:p w:rsidR="006F2EE6" w:rsidRPr="00E46EBC" w:rsidRDefault="006F2EE6" w:rsidP="0052196B">
      <w:pPr>
        <w:pStyle w:val="chapterstitles"/>
        <w:spacing w:after="0"/>
        <w:jc w:val="both"/>
        <w:rPr>
          <w:rFonts w:ascii="Calibri" w:hAnsi="Calibri"/>
          <w:noProof/>
          <w:sz w:val="22"/>
        </w:rPr>
      </w:pPr>
      <w:bookmarkStart w:id="32" w:name="_ENREF_33"/>
      <w:r w:rsidRPr="00E46EBC">
        <w:rPr>
          <w:rFonts w:ascii="Calibri" w:hAnsi="Calibri"/>
          <w:noProof/>
          <w:sz w:val="22"/>
        </w:rPr>
        <w:t>33.</w:t>
      </w:r>
      <w:r w:rsidRPr="00E46EBC">
        <w:rPr>
          <w:rFonts w:ascii="Calibri" w:hAnsi="Calibri"/>
          <w:noProof/>
          <w:sz w:val="22"/>
        </w:rPr>
        <w:tab/>
        <w:t>Sharma A, Lavie CJ, Borer JS, et al. Meta-analysis of the relation of body mass index to all-cause and cardiovascular mortality and hospitalization in patients with chronic heart failure. The American journal of cardiology 2015;115:1428-34.</w:t>
      </w:r>
      <w:bookmarkEnd w:id="32"/>
    </w:p>
    <w:p w:rsidR="006F2EE6" w:rsidRPr="00421E15" w:rsidRDefault="006F2EE6" w:rsidP="0052196B">
      <w:pPr>
        <w:pStyle w:val="chapterstitles"/>
        <w:spacing w:after="0"/>
        <w:jc w:val="both"/>
        <w:rPr>
          <w:rFonts w:ascii="Calibri" w:hAnsi="Calibri"/>
          <w:noProof/>
          <w:sz w:val="22"/>
          <w:lang w:val="es-ES"/>
        </w:rPr>
      </w:pPr>
      <w:bookmarkStart w:id="33" w:name="_ENREF_34"/>
      <w:r w:rsidRPr="00E46EBC">
        <w:rPr>
          <w:rFonts w:ascii="Calibri" w:hAnsi="Calibri"/>
          <w:noProof/>
          <w:sz w:val="22"/>
        </w:rPr>
        <w:lastRenderedPageBreak/>
        <w:t>34.</w:t>
      </w:r>
      <w:r w:rsidRPr="00E46EBC">
        <w:rPr>
          <w:rFonts w:ascii="Calibri" w:hAnsi="Calibri"/>
          <w:noProof/>
          <w:sz w:val="22"/>
        </w:rPr>
        <w:tab/>
        <w:t xml:space="preserve">Rivera C, Pecuchet N, Wermert D, et al. [Obesity and lung cancer: incidence and repercussions on epidemiology, pathology and treatments]. </w:t>
      </w:r>
      <w:r w:rsidRPr="00421E15">
        <w:rPr>
          <w:rFonts w:ascii="Calibri" w:hAnsi="Calibri"/>
          <w:noProof/>
          <w:sz w:val="22"/>
          <w:lang w:val="es-ES"/>
        </w:rPr>
        <w:t>Revue de pneumologie clinique 2015;71:37-43.</w:t>
      </w:r>
      <w:bookmarkEnd w:id="33"/>
    </w:p>
    <w:p w:rsidR="006F2EE6" w:rsidRPr="00E46EBC" w:rsidRDefault="006F2EE6" w:rsidP="0052196B">
      <w:pPr>
        <w:pStyle w:val="chapterstitles"/>
        <w:spacing w:after="0"/>
        <w:jc w:val="both"/>
        <w:rPr>
          <w:rFonts w:ascii="Calibri" w:hAnsi="Calibri"/>
          <w:noProof/>
          <w:sz w:val="22"/>
        </w:rPr>
      </w:pPr>
      <w:bookmarkStart w:id="34" w:name="_ENREF_35"/>
      <w:r w:rsidRPr="00421E15">
        <w:rPr>
          <w:rFonts w:ascii="Calibri" w:hAnsi="Calibri"/>
          <w:noProof/>
          <w:sz w:val="22"/>
          <w:lang w:val="es-ES"/>
        </w:rPr>
        <w:t>35.</w:t>
      </w:r>
      <w:r w:rsidRPr="00421E15">
        <w:rPr>
          <w:rFonts w:ascii="Calibri" w:hAnsi="Calibri"/>
          <w:noProof/>
          <w:sz w:val="22"/>
          <w:lang w:val="es-ES"/>
        </w:rPr>
        <w:tab/>
        <w:t xml:space="preserve">Wiviott SD, Braunwald E, McCabe CH, et al. </w:t>
      </w:r>
      <w:r w:rsidRPr="00E46EBC">
        <w:rPr>
          <w:rFonts w:ascii="Calibri" w:hAnsi="Calibri"/>
          <w:noProof/>
          <w:sz w:val="22"/>
        </w:rPr>
        <w:t>Prasugrel versus clopidogrel in patients with acute coronary syndromes. The New England journal of medicine 2007;357:2001-15.</w:t>
      </w:r>
      <w:bookmarkEnd w:id="34"/>
    </w:p>
    <w:p w:rsidR="006F2EE6" w:rsidRPr="00E46EBC" w:rsidRDefault="006F2EE6" w:rsidP="0052196B">
      <w:pPr>
        <w:pStyle w:val="chapterstitles"/>
        <w:spacing w:after="0"/>
        <w:jc w:val="both"/>
        <w:rPr>
          <w:rFonts w:ascii="Calibri" w:hAnsi="Calibri"/>
          <w:noProof/>
          <w:sz w:val="22"/>
        </w:rPr>
      </w:pPr>
      <w:bookmarkStart w:id="35" w:name="_ENREF_36"/>
      <w:r w:rsidRPr="00E46EBC">
        <w:rPr>
          <w:rFonts w:ascii="Calibri" w:hAnsi="Calibri"/>
          <w:noProof/>
          <w:sz w:val="22"/>
        </w:rPr>
        <w:t>36.</w:t>
      </w:r>
      <w:r w:rsidRPr="00E46EBC">
        <w:rPr>
          <w:rFonts w:ascii="Calibri" w:hAnsi="Calibri"/>
          <w:noProof/>
          <w:sz w:val="22"/>
        </w:rPr>
        <w:tab/>
        <w:t>Mahaffey KW, Tonev ST, Spinler SA, et al. Obesity in patients with non-ST-segment elevation acute coronary syndromes: results from the SYNERGY trial. International journal of cardiology 2010;139:123-33.</w:t>
      </w:r>
      <w:bookmarkEnd w:id="35"/>
    </w:p>
    <w:p w:rsidR="006F2EE6" w:rsidRPr="00E46EBC" w:rsidRDefault="006F2EE6" w:rsidP="0052196B">
      <w:pPr>
        <w:pStyle w:val="chapterstitles"/>
        <w:spacing w:after="0"/>
        <w:jc w:val="both"/>
        <w:rPr>
          <w:rFonts w:ascii="Calibri" w:hAnsi="Calibri"/>
          <w:noProof/>
          <w:sz w:val="22"/>
        </w:rPr>
      </w:pPr>
      <w:bookmarkStart w:id="36" w:name="_ENREF_37"/>
      <w:r w:rsidRPr="00E46EBC">
        <w:rPr>
          <w:rFonts w:ascii="Calibri" w:hAnsi="Calibri"/>
          <w:noProof/>
          <w:sz w:val="22"/>
        </w:rPr>
        <w:t>37.</w:t>
      </w:r>
      <w:r w:rsidRPr="00E46EBC">
        <w:rPr>
          <w:rFonts w:ascii="Calibri" w:hAnsi="Calibri"/>
          <w:noProof/>
          <w:sz w:val="22"/>
        </w:rPr>
        <w:tab/>
        <w:t>Yusuf S, Mehta SR, Chrolavicius S, et al. Comparison of fondaparinux and enoxaparin in acute coronary syndromes. The New England journal of medicine 2006;354:1464-76.</w:t>
      </w:r>
      <w:bookmarkEnd w:id="36"/>
    </w:p>
    <w:p w:rsidR="006F2EE6" w:rsidRPr="00E46EBC" w:rsidRDefault="006F2EE6" w:rsidP="0052196B">
      <w:pPr>
        <w:pStyle w:val="chapterstitles"/>
        <w:spacing w:after="0"/>
        <w:jc w:val="both"/>
        <w:rPr>
          <w:rFonts w:ascii="Calibri" w:hAnsi="Calibri"/>
          <w:noProof/>
          <w:sz w:val="22"/>
        </w:rPr>
      </w:pPr>
      <w:bookmarkStart w:id="37" w:name="_ENREF_38"/>
      <w:r w:rsidRPr="00E46EBC">
        <w:rPr>
          <w:rFonts w:ascii="Calibri" w:hAnsi="Calibri"/>
          <w:noProof/>
          <w:sz w:val="22"/>
        </w:rPr>
        <w:t>38.</w:t>
      </w:r>
      <w:r w:rsidRPr="00E46EBC">
        <w:rPr>
          <w:rFonts w:ascii="Calibri" w:hAnsi="Calibri"/>
          <w:noProof/>
          <w:sz w:val="22"/>
        </w:rPr>
        <w:tab/>
        <w:t>Mehta L, Devlin W, McCullough PA, et al. Impact of body mass index on outcomes after percutaneous coronary intervention in patients with acute myocardial infarction. The American journal of cardiology 2007;99:906-10.</w:t>
      </w:r>
      <w:bookmarkEnd w:id="37"/>
    </w:p>
    <w:p w:rsidR="006F2EE6" w:rsidRPr="00E46EBC" w:rsidRDefault="006F2EE6" w:rsidP="0052196B">
      <w:pPr>
        <w:pStyle w:val="chapterstitles"/>
        <w:spacing w:after="0"/>
        <w:jc w:val="both"/>
        <w:rPr>
          <w:rFonts w:ascii="Calibri" w:hAnsi="Calibri"/>
          <w:noProof/>
          <w:sz w:val="22"/>
        </w:rPr>
      </w:pPr>
      <w:bookmarkStart w:id="38" w:name="_ENREF_39"/>
      <w:r w:rsidRPr="00E46EBC">
        <w:rPr>
          <w:rFonts w:ascii="Calibri" w:hAnsi="Calibri"/>
          <w:noProof/>
          <w:sz w:val="22"/>
        </w:rPr>
        <w:t>39.</w:t>
      </w:r>
      <w:r w:rsidRPr="00E46EBC">
        <w:rPr>
          <w:rFonts w:ascii="Calibri" w:hAnsi="Calibri"/>
          <w:noProof/>
          <w:sz w:val="22"/>
        </w:rPr>
        <w:tab/>
        <w:t>Nikolsky E, Stone GW, Grines CL, et al. Impact of body mass index on outcomes after primary angioplasty in acute myocardial infarction. American heart journal 2006;151:168-75.</w:t>
      </w:r>
      <w:bookmarkEnd w:id="38"/>
    </w:p>
    <w:p w:rsidR="006F2EE6" w:rsidRPr="00E46EBC" w:rsidRDefault="006F2EE6" w:rsidP="0052196B">
      <w:pPr>
        <w:pStyle w:val="chapterstitles"/>
        <w:spacing w:after="0"/>
        <w:jc w:val="both"/>
        <w:rPr>
          <w:rFonts w:ascii="Calibri" w:hAnsi="Calibri"/>
          <w:noProof/>
          <w:sz w:val="22"/>
        </w:rPr>
      </w:pPr>
      <w:bookmarkStart w:id="39" w:name="_ENREF_40"/>
      <w:r w:rsidRPr="00E46EBC">
        <w:rPr>
          <w:rFonts w:ascii="Calibri" w:hAnsi="Calibri"/>
          <w:noProof/>
          <w:sz w:val="22"/>
        </w:rPr>
        <w:t>40.</w:t>
      </w:r>
      <w:r w:rsidRPr="00E46EBC">
        <w:rPr>
          <w:rFonts w:ascii="Calibri" w:hAnsi="Calibri"/>
          <w:noProof/>
          <w:sz w:val="22"/>
        </w:rPr>
        <w:tab/>
        <w:t>O'Connor NJ, Morton JR, Birkmeyer JD, Olmstead EM, O'Connor GT. Effect of coronary artery diameter in patients undergoing coronary bypass surgery. Northern New England Cardiovascular Disease Study Group. Circulation 1996;93:652-5.</w:t>
      </w:r>
      <w:bookmarkEnd w:id="39"/>
    </w:p>
    <w:p w:rsidR="006F2EE6" w:rsidRPr="00E46EBC" w:rsidRDefault="006F2EE6" w:rsidP="0052196B">
      <w:pPr>
        <w:pStyle w:val="chapterstitles"/>
        <w:spacing w:after="0"/>
        <w:jc w:val="both"/>
        <w:rPr>
          <w:rFonts w:ascii="Calibri" w:hAnsi="Calibri"/>
          <w:noProof/>
          <w:sz w:val="22"/>
        </w:rPr>
      </w:pPr>
      <w:bookmarkStart w:id="40" w:name="_ENREF_41"/>
      <w:r w:rsidRPr="00E46EBC">
        <w:rPr>
          <w:rFonts w:ascii="Calibri" w:hAnsi="Calibri"/>
          <w:noProof/>
          <w:sz w:val="22"/>
        </w:rPr>
        <w:t>41.</w:t>
      </w:r>
      <w:r w:rsidRPr="00E46EBC">
        <w:rPr>
          <w:rFonts w:ascii="Calibri" w:hAnsi="Calibri"/>
          <w:noProof/>
          <w:sz w:val="22"/>
        </w:rPr>
        <w:tab/>
        <w:t>Schunkert H, Harrell L, Palacios IF. Implications of small reference vessel diameter in patients undergoing percutaneous coronary revascularization. Journal of the American College of Cardiology 1999;34:40-8.</w:t>
      </w:r>
      <w:bookmarkEnd w:id="40"/>
    </w:p>
    <w:p w:rsidR="006F2EE6" w:rsidRPr="00E46EBC" w:rsidRDefault="006F2EE6" w:rsidP="0052196B">
      <w:pPr>
        <w:pStyle w:val="chapterstitles"/>
        <w:spacing w:after="0"/>
        <w:jc w:val="both"/>
        <w:rPr>
          <w:rFonts w:ascii="Calibri" w:hAnsi="Calibri"/>
          <w:noProof/>
          <w:sz w:val="22"/>
        </w:rPr>
      </w:pPr>
      <w:bookmarkStart w:id="41" w:name="_ENREF_42"/>
      <w:r w:rsidRPr="00E46EBC">
        <w:rPr>
          <w:rFonts w:ascii="Calibri" w:hAnsi="Calibri"/>
          <w:noProof/>
          <w:sz w:val="22"/>
        </w:rPr>
        <w:lastRenderedPageBreak/>
        <w:t>42.</w:t>
      </w:r>
      <w:r w:rsidRPr="00E46EBC">
        <w:rPr>
          <w:rFonts w:ascii="Calibri" w:hAnsi="Calibri"/>
          <w:noProof/>
          <w:sz w:val="22"/>
        </w:rPr>
        <w:tab/>
        <w:t>Brodie BR, Stuckey TD, Hansen C, Kissling G, Muncy D. Influence of vessel size on early and late outcomes after primary angioplasty for acute myocardial infarction. The Journal of invasive cardiology 2000;12:13-9.</w:t>
      </w:r>
      <w:bookmarkEnd w:id="41"/>
    </w:p>
    <w:p w:rsidR="006F2EE6" w:rsidRPr="00E46EBC" w:rsidRDefault="006F2EE6" w:rsidP="0052196B">
      <w:pPr>
        <w:pStyle w:val="chapterstitles"/>
        <w:spacing w:after="0"/>
        <w:jc w:val="both"/>
        <w:rPr>
          <w:rFonts w:ascii="Calibri" w:hAnsi="Calibri"/>
          <w:noProof/>
          <w:sz w:val="22"/>
        </w:rPr>
      </w:pPr>
      <w:bookmarkStart w:id="42" w:name="_ENREF_43"/>
      <w:r w:rsidRPr="00E46EBC">
        <w:rPr>
          <w:rFonts w:ascii="Calibri" w:hAnsi="Calibri"/>
          <w:noProof/>
          <w:sz w:val="22"/>
        </w:rPr>
        <w:t>43.</w:t>
      </w:r>
      <w:r w:rsidRPr="00E46EBC">
        <w:rPr>
          <w:rFonts w:ascii="Calibri" w:hAnsi="Calibri"/>
          <w:noProof/>
          <w:sz w:val="22"/>
        </w:rPr>
        <w:tab/>
        <w:t>Banack HR, Kaufman JS. Does selection bias explain the obesity paradox among individuals with cardiovascular disease? Annals of epidemiology 2015;25:342-9.</w:t>
      </w:r>
      <w:bookmarkEnd w:id="42"/>
    </w:p>
    <w:p w:rsidR="006F2EE6" w:rsidRPr="00E46EBC" w:rsidRDefault="006F2EE6" w:rsidP="0052196B">
      <w:pPr>
        <w:pStyle w:val="chapterstitles"/>
        <w:spacing w:after="0"/>
        <w:jc w:val="both"/>
        <w:rPr>
          <w:rFonts w:ascii="Calibri" w:hAnsi="Calibri"/>
          <w:noProof/>
          <w:sz w:val="22"/>
        </w:rPr>
      </w:pPr>
      <w:bookmarkStart w:id="43" w:name="_ENREF_44"/>
      <w:r w:rsidRPr="00E46EBC">
        <w:rPr>
          <w:rFonts w:ascii="Calibri" w:hAnsi="Calibri"/>
          <w:noProof/>
          <w:sz w:val="22"/>
        </w:rPr>
        <w:t>44.</w:t>
      </w:r>
      <w:r w:rsidRPr="00E46EBC">
        <w:rPr>
          <w:rFonts w:ascii="Calibri" w:hAnsi="Calibri"/>
          <w:noProof/>
          <w:sz w:val="22"/>
        </w:rPr>
        <w:tab/>
        <w:t>Das SR, Alexander KP, Chen AY, et al. Impact of body weight and extreme obesity on the presentation, treatment, and in-hospital outcomes of 50,149 patients with ST-Segment elevation myocardial infarction results from the NCDR (National Cardiovascular Data Registry). Journal of the American College of Cardiology 2011;58:2642-50.</w:t>
      </w:r>
      <w:bookmarkEnd w:id="43"/>
    </w:p>
    <w:p w:rsidR="006F2EE6" w:rsidRPr="00E46EBC" w:rsidRDefault="006F2EE6" w:rsidP="0052196B">
      <w:pPr>
        <w:pStyle w:val="chapterstitles"/>
        <w:spacing w:after="0"/>
        <w:jc w:val="both"/>
        <w:rPr>
          <w:rFonts w:ascii="Calibri" w:hAnsi="Calibri"/>
          <w:noProof/>
          <w:sz w:val="22"/>
        </w:rPr>
      </w:pPr>
      <w:bookmarkStart w:id="44" w:name="_ENREF_45"/>
      <w:r w:rsidRPr="00E46EBC">
        <w:rPr>
          <w:rFonts w:ascii="Calibri" w:hAnsi="Calibri"/>
          <w:noProof/>
          <w:sz w:val="22"/>
        </w:rPr>
        <w:t>45.</w:t>
      </w:r>
      <w:r w:rsidRPr="00E46EBC">
        <w:rPr>
          <w:rFonts w:ascii="Calibri" w:hAnsi="Calibri"/>
          <w:noProof/>
          <w:sz w:val="22"/>
        </w:rPr>
        <w:tab/>
        <w:t>De Schutter A, Lavie CJ, Milani RV. The impact of obesity on risk factors and prevalence and prognosis of coronary heart disease-the obesity paradox. Progress in cardiovascular diseases 2014;56:401-8.</w:t>
      </w:r>
      <w:bookmarkEnd w:id="44"/>
    </w:p>
    <w:p w:rsidR="006F2EE6" w:rsidRPr="00E46EBC" w:rsidRDefault="006F2EE6" w:rsidP="0052196B">
      <w:pPr>
        <w:pStyle w:val="chapterstitles"/>
        <w:spacing w:after="0"/>
        <w:jc w:val="both"/>
        <w:rPr>
          <w:rFonts w:ascii="Calibri" w:hAnsi="Calibri"/>
          <w:noProof/>
          <w:sz w:val="22"/>
        </w:rPr>
      </w:pPr>
      <w:bookmarkStart w:id="45" w:name="_ENREF_46"/>
      <w:r w:rsidRPr="00E46EBC">
        <w:rPr>
          <w:rFonts w:ascii="Calibri" w:hAnsi="Calibri"/>
          <w:noProof/>
          <w:sz w:val="22"/>
        </w:rPr>
        <w:t>46.</w:t>
      </w:r>
      <w:r w:rsidRPr="00E46EBC">
        <w:rPr>
          <w:rFonts w:ascii="Calibri" w:hAnsi="Calibri"/>
          <w:noProof/>
          <w:sz w:val="22"/>
        </w:rPr>
        <w:tab/>
        <w:t>Flegal KM, Graubard BI, Williamson DF, Cooper RS. Reverse causation and illness-related weight loss in observational studies of body weight and mortality. American journal of epidemiology 2011;173:1-9.</w:t>
      </w:r>
      <w:bookmarkEnd w:id="45"/>
    </w:p>
    <w:p w:rsidR="006F2EE6" w:rsidRPr="00E46EBC" w:rsidRDefault="006F2EE6" w:rsidP="0052196B">
      <w:pPr>
        <w:pStyle w:val="chapterstitles"/>
        <w:spacing w:after="0"/>
        <w:jc w:val="both"/>
        <w:rPr>
          <w:rFonts w:ascii="Calibri" w:hAnsi="Calibri"/>
          <w:noProof/>
          <w:sz w:val="22"/>
        </w:rPr>
      </w:pPr>
      <w:bookmarkStart w:id="46" w:name="_ENREF_47"/>
      <w:r w:rsidRPr="00E46EBC">
        <w:rPr>
          <w:rFonts w:ascii="Calibri" w:hAnsi="Calibri"/>
          <w:noProof/>
          <w:sz w:val="22"/>
        </w:rPr>
        <w:t>47.</w:t>
      </w:r>
      <w:r w:rsidRPr="00E46EBC">
        <w:rPr>
          <w:rFonts w:ascii="Calibri" w:hAnsi="Calibri"/>
          <w:noProof/>
          <w:sz w:val="22"/>
        </w:rPr>
        <w:tab/>
        <w:t>Diercks DB, Roe MT, Mulgund J, et al. The obesity paradox in non-ST-segment elevation acute coronary syndromes: results from the Can Rapid risk stratification of Unstable angina patients Suppress ADverse outcomes with Early implementation of the American College of Cardiology/American Heart Association Guidelines Quality Improvement Initiative. American heart journal 2006;152:140-8.</w:t>
      </w:r>
      <w:bookmarkEnd w:id="46"/>
    </w:p>
    <w:p w:rsidR="006F2EE6" w:rsidRPr="00E46EBC" w:rsidRDefault="006F2EE6" w:rsidP="0052196B">
      <w:pPr>
        <w:pStyle w:val="chapterstitles"/>
        <w:spacing w:after="0"/>
        <w:jc w:val="both"/>
        <w:rPr>
          <w:rFonts w:ascii="Calibri" w:hAnsi="Calibri"/>
          <w:noProof/>
          <w:sz w:val="22"/>
        </w:rPr>
      </w:pPr>
      <w:bookmarkStart w:id="47" w:name="_ENREF_48"/>
      <w:r w:rsidRPr="00E46EBC">
        <w:rPr>
          <w:rFonts w:ascii="Calibri" w:hAnsi="Calibri"/>
          <w:noProof/>
          <w:sz w:val="22"/>
        </w:rPr>
        <w:t>48.</w:t>
      </w:r>
      <w:r w:rsidRPr="00E46EBC">
        <w:rPr>
          <w:rFonts w:ascii="Calibri" w:hAnsi="Calibri"/>
          <w:noProof/>
          <w:sz w:val="22"/>
        </w:rPr>
        <w:tab/>
        <w:t>Riley RD, Lambert PC, Abo-Zaid G. Meta-analysis of individual participant data: rationale, conduct, and reporting. BMJ 2010;340:c221.</w:t>
      </w:r>
      <w:bookmarkEnd w:id="47"/>
    </w:p>
    <w:p w:rsidR="006F2EE6" w:rsidRPr="00E46EBC" w:rsidRDefault="006F2EE6" w:rsidP="0052196B">
      <w:pPr>
        <w:pStyle w:val="chapterstitles"/>
        <w:spacing w:after="0"/>
        <w:jc w:val="both"/>
        <w:rPr>
          <w:rFonts w:ascii="Calibri" w:hAnsi="Calibri"/>
          <w:noProof/>
          <w:sz w:val="22"/>
        </w:rPr>
      </w:pPr>
      <w:bookmarkStart w:id="48" w:name="_ENREF_49"/>
      <w:r w:rsidRPr="00E46EBC">
        <w:rPr>
          <w:rFonts w:ascii="Calibri" w:hAnsi="Calibri"/>
          <w:noProof/>
          <w:sz w:val="22"/>
        </w:rPr>
        <w:lastRenderedPageBreak/>
        <w:t>49.</w:t>
      </w:r>
      <w:r w:rsidRPr="00E46EBC">
        <w:rPr>
          <w:rFonts w:ascii="Calibri" w:hAnsi="Calibri"/>
          <w:noProof/>
          <w:sz w:val="22"/>
        </w:rPr>
        <w:tab/>
        <w:t>Lauretani F, Russo CR, Bandinelli S, et al. Age-associated changes in skeletal muscles and their effect on mobility: an operational diagnosis of sarcopenia. J Appl Physiol (1985) 2003;95:1851-60.</w:t>
      </w:r>
      <w:bookmarkEnd w:id="48"/>
    </w:p>
    <w:p w:rsidR="006F2EE6" w:rsidRPr="00E46EBC" w:rsidRDefault="006F2EE6" w:rsidP="0052196B">
      <w:pPr>
        <w:pStyle w:val="chapterstitles"/>
        <w:spacing w:after="0"/>
        <w:jc w:val="both"/>
        <w:rPr>
          <w:rFonts w:ascii="Calibri" w:hAnsi="Calibri"/>
          <w:noProof/>
          <w:sz w:val="22"/>
        </w:rPr>
      </w:pPr>
      <w:bookmarkStart w:id="49" w:name="_ENREF_50"/>
      <w:r w:rsidRPr="00E46EBC">
        <w:rPr>
          <w:rFonts w:ascii="Calibri" w:hAnsi="Calibri"/>
          <w:noProof/>
          <w:sz w:val="22"/>
        </w:rPr>
        <w:t>50.</w:t>
      </w:r>
      <w:r w:rsidRPr="00E46EBC">
        <w:rPr>
          <w:rFonts w:ascii="Calibri" w:hAnsi="Calibri"/>
          <w:noProof/>
          <w:sz w:val="22"/>
        </w:rPr>
        <w:tab/>
        <w:t>Graziani F, Biasucci LM, Cialdella P, et al. Thromboxane production in morbidly obese subjects. The American journal of cardiology 2011;107:1656-61.</w:t>
      </w:r>
      <w:bookmarkEnd w:id="49"/>
    </w:p>
    <w:p w:rsidR="006F2EE6" w:rsidRPr="00E46EBC" w:rsidRDefault="006F2EE6" w:rsidP="0052196B">
      <w:pPr>
        <w:pStyle w:val="chapterstitles"/>
        <w:jc w:val="both"/>
        <w:rPr>
          <w:rFonts w:ascii="Calibri" w:hAnsi="Calibri"/>
          <w:noProof/>
          <w:sz w:val="22"/>
        </w:rPr>
      </w:pPr>
      <w:bookmarkStart w:id="50" w:name="_ENREF_51"/>
      <w:r w:rsidRPr="00E46EBC">
        <w:rPr>
          <w:rFonts w:ascii="Calibri" w:hAnsi="Calibri"/>
          <w:noProof/>
          <w:sz w:val="22"/>
        </w:rPr>
        <w:t>51.</w:t>
      </w:r>
      <w:r w:rsidRPr="00E46EBC">
        <w:rPr>
          <w:rFonts w:ascii="Calibri" w:hAnsi="Calibri"/>
          <w:noProof/>
          <w:sz w:val="22"/>
        </w:rPr>
        <w:tab/>
        <w:t>Schenkeveld L, Magro M, Oemrawsingh RM, et al. The influence of optimal medical treatment on the 'obesity paradox', body mass index and long-term mortality in patients treated with percutaneous coronary intervention: a prospective cohort study. BMJ open 2012;2:e000535.</w:t>
      </w:r>
      <w:bookmarkEnd w:id="50"/>
    </w:p>
    <w:p w:rsidR="006F2EE6" w:rsidRDefault="006F2EE6" w:rsidP="0052196B">
      <w:pPr>
        <w:pStyle w:val="chapterstitles"/>
        <w:jc w:val="both"/>
        <w:rPr>
          <w:rFonts w:ascii="Calibri" w:hAnsi="Calibri"/>
          <w:noProof/>
          <w:sz w:val="22"/>
          <w:szCs w:val="22"/>
        </w:rPr>
      </w:pPr>
    </w:p>
    <w:p w:rsidR="006F2EE6" w:rsidRDefault="006F2EE6" w:rsidP="0052196B">
      <w:pPr>
        <w:pStyle w:val="chapterstitles"/>
        <w:jc w:val="both"/>
      </w:pPr>
    </w:p>
    <w:p w:rsidR="006F2EE6" w:rsidRDefault="006F2EE6" w:rsidP="0052196B">
      <w:pPr>
        <w:jc w:val="both"/>
        <w:rPr>
          <w:sz w:val="24"/>
          <w:szCs w:val="24"/>
        </w:rPr>
      </w:pPr>
      <w:r>
        <w:br w:type="page"/>
      </w:r>
    </w:p>
    <w:p w:rsidR="006F2EE6" w:rsidRPr="00063981" w:rsidRDefault="006F2EE6" w:rsidP="0052196B">
      <w:pPr>
        <w:spacing w:line="480" w:lineRule="auto"/>
        <w:jc w:val="both"/>
        <w:rPr>
          <w:sz w:val="24"/>
          <w:szCs w:val="24"/>
        </w:rPr>
      </w:pPr>
      <w:r w:rsidRPr="00063981">
        <w:rPr>
          <w:sz w:val="24"/>
          <w:szCs w:val="24"/>
        </w:rPr>
        <w:lastRenderedPageBreak/>
        <w:t xml:space="preserve">Table 1: The international classification of adult underweight, </w:t>
      </w:r>
      <w:r w:rsidRPr="006527C7">
        <w:rPr>
          <w:noProof/>
          <w:sz w:val="24"/>
          <w:szCs w:val="24"/>
        </w:rPr>
        <w:t>overweight</w:t>
      </w:r>
      <w:r w:rsidRPr="00063981">
        <w:rPr>
          <w:sz w:val="24"/>
          <w:szCs w:val="24"/>
        </w:rPr>
        <w:t xml:space="preserve"> and obesity according to b</w:t>
      </w:r>
      <w:r w:rsidR="0052196B">
        <w:rPr>
          <w:sz w:val="24"/>
          <w:szCs w:val="24"/>
        </w:rPr>
        <w:t>ody mass</w:t>
      </w:r>
      <w:r w:rsidRPr="00063981">
        <w:rPr>
          <w:sz w:val="24"/>
          <w:szCs w:val="24"/>
        </w:rPr>
        <w:t xml:space="preserve"> index</w:t>
      </w:r>
    </w:p>
    <w:tbl>
      <w:tblPr>
        <w:tblStyle w:val="Tablaconcuadrcula"/>
        <w:tblW w:w="0" w:type="auto"/>
        <w:tblLook w:val="04A0" w:firstRow="1" w:lastRow="0" w:firstColumn="1" w:lastColumn="0" w:noHBand="0" w:noVBand="1"/>
      </w:tblPr>
      <w:tblGrid>
        <w:gridCol w:w="2339"/>
        <w:gridCol w:w="2429"/>
        <w:gridCol w:w="2592"/>
      </w:tblGrid>
      <w:tr w:rsidR="006F2EE6" w:rsidRPr="00063981" w:rsidTr="00B51CFB">
        <w:tc>
          <w:tcPr>
            <w:tcW w:w="0" w:type="auto"/>
            <w:shd w:val="clear" w:color="auto" w:fill="auto"/>
            <w:vAlign w:val="center"/>
            <w:hideMark/>
          </w:tcPr>
          <w:p w:rsidR="006F2EE6" w:rsidRPr="00B51CFB" w:rsidRDefault="006F2EE6" w:rsidP="00B51CFB">
            <w:pPr>
              <w:rPr>
                <w:sz w:val="24"/>
                <w:szCs w:val="24"/>
              </w:rPr>
            </w:pPr>
            <w:r w:rsidRPr="00B51CFB">
              <w:rPr>
                <w:sz w:val="24"/>
                <w:szCs w:val="24"/>
              </w:rPr>
              <w:t>Classification</w:t>
            </w:r>
          </w:p>
        </w:tc>
        <w:tc>
          <w:tcPr>
            <w:tcW w:w="0" w:type="auto"/>
            <w:gridSpan w:val="2"/>
            <w:shd w:val="clear" w:color="auto" w:fill="auto"/>
            <w:vAlign w:val="center"/>
            <w:hideMark/>
          </w:tcPr>
          <w:p w:rsidR="006F2EE6" w:rsidRPr="00B51CFB" w:rsidRDefault="006F2EE6" w:rsidP="00B51CFB">
            <w:pPr>
              <w:jc w:val="center"/>
              <w:rPr>
                <w:sz w:val="24"/>
                <w:szCs w:val="24"/>
              </w:rPr>
            </w:pPr>
            <w:r w:rsidRPr="00B51CFB">
              <w:rPr>
                <w:sz w:val="24"/>
                <w:szCs w:val="24"/>
              </w:rPr>
              <w:t>BMI (kg/m</w:t>
            </w:r>
            <w:r w:rsidRPr="00B51CFB">
              <w:rPr>
                <w:sz w:val="24"/>
                <w:szCs w:val="24"/>
                <w:vertAlign w:val="superscript"/>
              </w:rPr>
              <w:t>2</w:t>
            </w:r>
            <w:r w:rsidRPr="00B51CFB">
              <w:rPr>
                <w:sz w:val="24"/>
                <w:szCs w:val="24"/>
              </w:rPr>
              <w:t>)</w:t>
            </w:r>
          </w:p>
        </w:tc>
      </w:tr>
      <w:tr w:rsidR="006F2EE6" w:rsidRPr="00063981" w:rsidTr="00B51CFB">
        <w:tc>
          <w:tcPr>
            <w:tcW w:w="0" w:type="auto"/>
            <w:shd w:val="clear" w:color="auto" w:fill="auto"/>
            <w:vAlign w:val="center"/>
            <w:hideMark/>
          </w:tcPr>
          <w:p w:rsidR="006F2EE6" w:rsidRPr="00B51CFB" w:rsidRDefault="006F2EE6" w:rsidP="00B51CFB">
            <w:pPr>
              <w:rPr>
                <w:sz w:val="24"/>
                <w:szCs w:val="24"/>
              </w:rPr>
            </w:pP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Principal cut-off points</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Additional cut-off points</w:t>
            </w:r>
          </w:p>
        </w:tc>
      </w:tr>
      <w:tr w:rsidR="006F2EE6" w:rsidRPr="00063981" w:rsidTr="00B51CFB">
        <w:tc>
          <w:tcPr>
            <w:tcW w:w="0" w:type="auto"/>
            <w:shd w:val="clear" w:color="auto" w:fill="EEECE1" w:themeFill="background2"/>
            <w:vAlign w:val="center"/>
            <w:hideMark/>
          </w:tcPr>
          <w:p w:rsidR="006F2EE6" w:rsidRPr="00B51CFB" w:rsidRDefault="006F2EE6" w:rsidP="00B51CFB">
            <w:pPr>
              <w:rPr>
                <w:sz w:val="24"/>
                <w:szCs w:val="24"/>
              </w:rPr>
            </w:pPr>
            <w:r w:rsidRPr="00B51CFB">
              <w:rPr>
                <w:sz w:val="24"/>
                <w:szCs w:val="24"/>
              </w:rPr>
              <w:t>Underweight</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&lt;18.50</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&lt;18.50</w:t>
            </w:r>
          </w:p>
        </w:tc>
      </w:tr>
      <w:tr w:rsidR="006F2EE6" w:rsidRPr="00063981" w:rsidTr="00B51CFB">
        <w:tc>
          <w:tcPr>
            <w:tcW w:w="0" w:type="auto"/>
            <w:shd w:val="clear" w:color="auto" w:fill="auto"/>
            <w:vAlign w:val="center"/>
            <w:hideMark/>
          </w:tcPr>
          <w:p w:rsidR="006F2EE6" w:rsidRPr="00B51CFB" w:rsidRDefault="006F2EE6" w:rsidP="00B51CFB">
            <w:pPr>
              <w:rPr>
                <w:sz w:val="24"/>
                <w:szCs w:val="24"/>
              </w:rPr>
            </w:pPr>
            <w:r w:rsidRPr="00B51CFB">
              <w:rPr>
                <w:sz w:val="24"/>
                <w:szCs w:val="24"/>
              </w:rPr>
              <w:t>     Severe thinness</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&lt;16.00</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&lt;16.00</w:t>
            </w:r>
          </w:p>
        </w:tc>
      </w:tr>
      <w:tr w:rsidR="006F2EE6" w:rsidRPr="00063981" w:rsidTr="00B51CFB">
        <w:tc>
          <w:tcPr>
            <w:tcW w:w="0" w:type="auto"/>
            <w:shd w:val="clear" w:color="auto" w:fill="auto"/>
            <w:vAlign w:val="center"/>
            <w:hideMark/>
          </w:tcPr>
          <w:p w:rsidR="006F2EE6" w:rsidRPr="00B51CFB" w:rsidRDefault="006F2EE6" w:rsidP="00B51CFB">
            <w:pPr>
              <w:rPr>
                <w:sz w:val="24"/>
                <w:szCs w:val="24"/>
              </w:rPr>
            </w:pPr>
            <w:r w:rsidRPr="00B51CFB">
              <w:rPr>
                <w:sz w:val="24"/>
                <w:szCs w:val="24"/>
              </w:rPr>
              <w:t>     Moderate thinness</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16.00 - 16.99</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16.00 - 16.99</w:t>
            </w:r>
          </w:p>
        </w:tc>
      </w:tr>
      <w:tr w:rsidR="006F2EE6" w:rsidRPr="00063981" w:rsidTr="00B51CFB">
        <w:tc>
          <w:tcPr>
            <w:tcW w:w="0" w:type="auto"/>
            <w:shd w:val="clear" w:color="auto" w:fill="auto"/>
            <w:vAlign w:val="center"/>
            <w:hideMark/>
          </w:tcPr>
          <w:p w:rsidR="006F2EE6" w:rsidRPr="00B51CFB" w:rsidRDefault="006F2EE6" w:rsidP="00B51CFB">
            <w:pPr>
              <w:rPr>
                <w:sz w:val="24"/>
                <w:szCs w:val="24"/>
              </w:rPr>
            </w:pPr>
            <w:r w:rsidRPr="00B51CFB">
              <w:rPr>
                <w:sz w:val="24"/>
                <w:szCs w:val="24"/>
              </w:rPr>
              <w:t>     Mild thinness</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17.00 - 18.49</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17.00 - 18.49</w:t>
            </w:r>
          </w:p>
        </w:tc>
      </w:tr>
      <w:tr w:rsidR="006F2EE6" w:rsidRPr="00063981" w:rsidTr="00B51CFB">
        <w:tc>
          <w:tcPr>
            <w:tcW w:w="0" w:type="auto"/>
            <w:vMerge w:val="restart"/>
            <w:shd w:val="clear" w:color="auto" w:fill="EEECE1" w:themeFill="background2"/>
            <w:vAlign w:val="center"/>
            <w:hideMark/>
          </w:tcPr>
          <w:p w:rsidR="006F2EE6" w:rsidRPr="00B51CFB" w:rsidRDefault="006F2EE6" w:rsidP="00B51CFB">
            <w:pPr>
              <w:rPr>
                <w:sz w:val="24"/>
                <w:szCs w:val="24"/>
              </w:rPr>
            </w:pPr>
            <w:r w:rsidRPr="00B51CFB">
              <w:rPr>
                <w:sz w:val="24"/>
                <w:szCs w:val="24"/>
              </w:rPr>
              <w:t>Normal range</w:t>
            </w:r>
          </w:p>
        </w:tc>
        <w:tc>
          <w:tcPr>
            <w:tcW w:w="0" w:type="auto"/>
            <w:vMerge w:val="restart"/>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18.50 - 24.99</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18.50 - 22.99</w:t>
            </w:r>
          </w:p>
        </w:tc>
      </w:tr>
      <w:tr w:rsidR="006F2EE6" w:rsidRPr="00063981" w:rsidTr="00B51CFB">
        <w:tc>
          <w:tcPr>
            <w:tcW w:w="0" w:type="auto"/>
            <w:vMerge/>
            <w:shd w:val="clear" w:color="auto" w:fill="EEECE1" w:themeFill="background2"/>
            <w:vAlign w:val="center"/>
            <w:hideMark/>
          </w:tcPr>
          <w:p w:rsidR="006F2EE6" w:rsidRPr="00B51CFB" w:rsidRDefault="006F2EE6" w:rsidP="00B51CFB">
            <w:pPr>
              <w:rPr>
                <w:sz w:val="24"/>
                <w:szCs w:val="24"/>
              </w:rPr>
            </w:pPr>
          </w:p>
        </w:tc>
        <w:tc>
          <w:tcPr>
            <w:tcW w:w="0" w:type="auto"/>
            <w:vMerge/>
            <w:shd w:val="clear" w:color="auto" w:fill="EEECE1" w:themeFill="background2"/>
            <w:vAlign w:val="center"/>
            <w:hideMark/>
          </w:tcPr>
          <w:p w:rsidR="006F2EE6" w:rsidRPr="00B51CFB" w:rsidRDefault="006F2EE6" w:rsidP="00B51CFB">
            <w:pPr>
              <w:jc w:val="center"/>
              <w:rPr>
                <w:sz w:val="24"/>
                <w:szCs w:val="24"/>
              </w:rPr>
            </w:pP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23.00 - 24.99</w:t>
            </w:r>
          </w:p>
        </w:tc>
      </w:tr>
      <w:tr w:rsidR="006F2EE6" w:rsidRPr="00063981" w:rsidTr="00B51CFB">
        <w:tc>
          <w:tcPr>
            <w:tcW w:w="0" w:type="auto"/>
            <w:shd w:val="clear" w:color="auto" w:fill="EEECE1" w:themeFill="background2"/>
            <w:vAlign w:val="center"/>
            <w:hideMark/>
          </w:tcPr>
          <w:p w:rsidR="006F2EE6" w:rsidRPr="00B51CFB" w:rsidRDefault="006F2EE6" w:rsidP="00B51CFB">
            <w:pPr>
              <w:rPr>
                <w:sz w:val="24"/>
                <w:szCs w:val="24"/>
              </w:rPr>
            </w:pPr>
            <w:r w:rsidRPr="00B51CFB">
              <w:rPr>
                <w:sz w:val="24"/>
                <w:szCs w:val="24"/>
              </w:rPr>
              <w:t>Overweight</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≥25.00</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≥25.00</w:t>
            </w:r>
          </w:p>
        </w:tc>
      </w:tr>
      <w:tr w:rsidR="006F2EE6" w:rsidRPr="00063981" w:rsidTr="00B51CFB">
        <w:tc>
          <w:tcPr>
            <w:tcW w:w="0" w:type="auto"/>
            <w:vMerge w:val="restart"/>
            <w:shd w:val="clear" w:color="auto" w:fill="auto"/>
            <w:vAlign w:val="center"/>
            <w:hideMark/>
          </w:tcPr>
          <w:p w:rsidR="006F2EE6" w:rsidRPr="00B51CFB" w:rsidRDefault="006F2EE6" w:rsidP="00B51CFB">
            <w:pPr>
              <w:rPr>
                <w:sz w:val="24"/>
                <w:szCs w:val="24"/>
              </w:rPr>
            </w:pPr>
            <w:r w:rsidRPr="00B51CFB">
              <w:rPr>
                <w:sz w:val="24"/>
                <w:szCs w:val="24"/>
              </w:rPr>
              <w:t>     Pre-obese</w:t>
            </w:r>
          </w:p>
        </w:tc>
        <w:tc>
          <w:tcPr>
            <w:tcW w:w="0" w:type="auto"/>
            <w:vMerge w:val="restart"/>
            <w:shd w:val="clear" w:color="auto" w:fill="auto"/>
            <w:vAlign w:val="center"/>
            <w:hideMark/>
          </w:tcPr>
          <w:p w:rsidR="006F2EE6" w:rsidRPr="00B51CFB" w:rsidRDefault="006F2EE6" w:rsidP="00B51CFB">
            <w:pPr>
              <w:jc w:val="center"/>
              <w:rPr>
                <w:sz w:val="24"/>
                <w:szCs w:val="24"/>
              </w:rPr>
            </w:pPr>
            <w:r w:rsidRPr="00B51CFB">
              <w:rPr>
                <w:sz w:val="24"/>
                <w:szCs w:val="24"/>
              </w:rPr>
              <w:t>25.00 - 29.99</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25.00 - 27.49</w:t>
            </w:r>
          </w:p>
        </w:tc>
      </w:tr>
      <w:tr w:rsidR="006F2EE6" w:rsidRPr="00063981" w:rsidTr="00B51CFB">
        <w:tc>
          <w:tcPr>
            <w:tcW w:w="0" w:type="auto"/>
            <w:vMerge/>
            <w:shd w:val="clear" w:color="auto" w:fill="auto"/>
            <w:vAlign w:val="center"/>
            <w:hideMark/>
          </w:tcPr>
          <w:p w:rsidR="006F2EE6" w:rsidRPr="00B51CFB" w:rsidRDefault="006F2EE6" w:rsidP="00B51CFB">
            <w:pPr>
              <w:rPr>
                <w:sz w:val="24"/>
                <w:szCs w:val="24"/>
              </w:rPr>
            </w:pPr>
          </w:p>
        </w:tc>
        <w:tc>
          <w:tcPr>
            <w:tcW w:w="0" w:type="auto"/>
            <w:vMerge/>
            <w:shd w:val="clear" w:color="auto" w:fill="auto"/>
            <w:vAlign w:val="center"/>
            <w:hideMark/>
          </w:tcPr>
          <w:p w:rsidR="006F2EE6" w:rsidRPr="00B51CFB" w:rsidRDefault="006F2EE6" w:rsidP="00B51CFB">
            <w:pPr>
              <w:jc w:val="center"/>
              <w:rPr>
                <w:sz w:val="24"/>
                <w:szCs w:val="24"/>
              </w:rPr>
            </w:pP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27.50 - 29.99</w:t>
            </w:r>
          </w:p>
        </w:tc>
      </w:tr>
      <w:tr w:rsidR="006F2EE6" w:rsidRPr="00063981" w:rsidTr="00B51CFB">
        <w:tc>
          <w:tcPr>
            <w:tcW w:w="0" w:type="auto"/>
            <w:shd w:val="clear" w:color="auto" w:fill="EEECE1" w:themeFill="background2"/>
            <w:vAlign w:val="center"/>
            <w:hideMark/>
          </w:tcPr>
          <w:p w:rsidR="006F2EE6" w:rsidRPr="00B51CFB" w:rsidRDefault="006F2EE6" w:rsidP="00B51CFB">
            <w:pPr>
              <w:rPr>
                <w:sz w:val="24"/>
                <w:szCs w:val="24"/>
              </w:rPr>
            </w:pPr>
            <w:r w:rsidRPr="00B51CFB">
              <w:rPr>
                <w:sz w:val="24"/>
                <w:szCs w:val="24"/>
              </w:rPr>
              <w:t>Obese</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≥30.00</w:t>
            </w:r>
          </w:p>
        </w:tc>
        <w:tc>
          <w:tcPr>
            <w:tcW w:w="0" w:type="auto"/>
            <w:shd w:val="clear" w:color="auto" w:fill="EEECE1" w:themeFill="background2"/>
            <w:vAlign w:val="center"/>
            <w:hideMark/>
          </w:tcPr>
          <w:p w:rsidR="006F2EE6" w:rsidRPr="00B51CFB" w:rsidRDefault="006F2EE6" w:rsidP="00B51CFB">
            <w:pPr>
              <w:jc w:val="center"/>
              <w:rPr>
                <w:sz w:val="24"/>
                <w:szCs w:val="24"/>
              </w:rPr>
            </w:pPr>
            <w:r w:rsidRPr="00B51CFB">
              <w:rPr>
                <w:sz w:val="24"/>
                <w:szCs w:val="24"/>
              </w:rPr>
              <w:t>≥30.00</w:t>
            </w:r>
          </w:p>
        </w:tc>
      </w:tr>
      <w:tr w:rsidR="006F2EE6" w:rsidRPr="00063981" w:rsidTr="00B51CFB">
        <w:tc>
          <w:tcPr>
            <w:tcW w:w="0" w:type="auto"/>
            <w:vMerge w:val="restart"/>
            <w:shd w:val="clear" w:color="auto" w:fill="auto"/>
            <w:vAlign w:val="center"/>
            <w:hideMark/>
          </w:tcPr>
          <w:p w:rsidR="006F2EE6" w:rsidRPr="00B51CFB" w:rsidRDefault="006F2EE6" w:rsidP="00B51CFB">
            <w:pPr>
              <w:rPr>
                <w:sz w:val="24"/>
                <w:szCs w:val="24"/>
              </w:rPr>
            </w:pPr>
            <w:r w:rsidRPr="00B51CFB">
              <w:rPr>
                <w:sz w:val="24"/>
                <w:szCs w:val="24"/>
              </w:rPr>
              <w:t xml:space="preserve">          Obese </w:t>
            </w:r>
            <w:r w:rsidRPr="00B51CFB">
              <w:rPr>
                <w:noProof/>
                <w:sz w:val="24"/>
                <w:szCs w:val="24"/>
              </w:rPr>
              <w:t>class</w:t>
            </w:r>
            <w:r w:rsidRPr="00B51CFB">
              <w:rPr>
                <w:sz w:val="24"/>
                <w:szCs w:val="24"/>
              </w:rPr>
              <w:t xml:space="preserve"> I</w:t>
            </w:r>
          </w:p>
        </w:tc>
        <w:tc>
          <w:tcPr>
            <w:tcW w:w="0" w:type="auto"/>
            <w:vMerge w:val="restart"/>
            <w:shd w:val="clear" w:color="auto" w:fill="auto"/>
            <w:vAlign w:val="center"/>
            <w:hideMark/>
          </w:tcPr>
          <w:p w:rsidR="006F2EE6" w:rsidRPr="00B51CFB" w:rsidRDefault="006F2EE6" w:rsidP="00B51CFB">
            <w:pPr>
              <w:jc w:val="center"/>
              <w:rPr>
                <w:sz w:val="24"/>
                <w:szCs w:val="24"/>
              </w:rPr>
            </w:pPr>
            <w:r w:rsidRPr="00B51CFB">
              <w:rPr>
                <w:sz w:val="24"/>
                <w:szCs w:val="24"/>
              </w:rPr>
              <w:t>30.00 - 34.99</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30.00 - 32.49</w:t>
            </w:r>
          </w:p>
        </w:tc>
      </w:tr>
      <w:tr w:rsidR="006F2EE6" w:rsidRPr="00063981" w:rsidTr="00B51CFB">
        <w:tc>
          <w:tcPr>
            <w:tcW w:w="0" w:type="auto"/>
            <w:vMerge/>
            <w:shd w:val="clear" w:color="auto" w:fill="auto"/>
            <w:vAlign w:val="center"/>
            <w:hideMark/>
          </w:tcPr>
          <w:p w:rsidR="006F2EE6" w:rsidRPr="00B51CFB" w:rsidRDefault="006F2EE6" w:rsidP="00B51CFB">
            <w:pPr>
              <w:rPr>
                <w:sz w:val="24"/>
                <w:szCs w:val="24"/>
              </w:rPr>
            </w:pPr>
          </w:p>
        </w:tc>
        <w:tc>
          <w:tcPr>
            <w:tcW w:w="0" w:type="auto"/>
            <w:vMerge/>
            <w:shd w:val="clear" w:color="auto" w:fill="auto"/>
            <w:vAlign w:val="center"/>
            <w:hideMark/>
          </w:tcPr>
          <w:p w:rsidR="006F2EE6" w:rsidRPr="00B51CFB" w:rsidRDefault="006F2EE6" w:rsidP="00B51CFB">
            <w:pPr>
              <w:jc w:val="center"/>
              <w:rPr>
                <w:sz w:val="24"/>
                <w:szCs w:val="24"/>
              </w:rPr>
            </w:pP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32.50 - 34.99</w:t>
            </w:r>
          </w:p>
        </w:tc>
      </w:tr>
      <w:tr w:rsidR="006F2EE6" w:rsidRPr="00063981" w:rsidTr="00B51CFB">
        <w:tc>
          <w:tcPr>
            <w:tcW w:w="0" w:type="auto"/>
            <w:vMerge w:val="restart"/>
            <w:shd w:val="clear" w:color="auto" w:fill="auto"/>
            <w:vAlign w:val="center"/>
            <w:hideMark/>
          </w:tcPr>
          <w:p w:rsidR="006F2EE6" w:rsidRPr="00B51CFB" w:rsidRDefault="006F2EE6" w:rsidP="00B51CFB">
            <w:pPr>
              <w:rPr>
                <w:sz w:val="24"/>
                <w:szCs w:val="24"/>
              </w:rPr>
            </w:pPr>
            <w:r w:rsidRPr="00B51CFB">
              <w:rPr>
                <w:sz w:val="24"/>
                <w:szCs w:val="24"/>
              </w:rPr>
              <w:t xml:space="preserve">          Obese </w:t>
            </w:r>
            <w:r w:rsidRPr="00B51CFB">
              <w:rPr>
                <w:noProof/>
                <w:sz w:val="24"/>
                <w:szCs w:val="24"/>
              </w:rPr>
              <w:t>class</w:t>
            </w:r>
            <w:r w:rsidRPr="00B51CFB">
              <w:rPr>
                <w:sz w:val="24"/>
                <w:szCs w:val="24"/>
              </w:rPr>
              <w:t xml:space="preserve"> II</w:t>
            </w:r>
          </w:p>
        </w:tc>
        <w:tc>
          <w:tcPr>
            <w:tcW w:w="0" w:type="auto"/>
            <w:vMerge w:val="restart"/>
            <w:shd w:val="clear" w:color="auto" w:fill="auto"/>
            <w:vAlign w:val="center"/>
            <w:hideMark/>
          </w:tcPr>
          <w:p w:rsidR="006F2EE6" w:rsidRPr="00B51CFB" w:rsidRDefault="006F2EE6" w:rsidP="00B51CFB">
            <w:pPr>
              <w:jc w:val="center"/>
              <w:rPr>
                <w:sz w:val="24"/>
                <w:szCs w:val="24"/>
              </w:rPr>
            </w:pPr>
            <w:r w:rsidRPr="00B51CFB">
              <w:rPr>
                <w:sz w:val="24"/>
                <w:szCs w:val="24"/>
              </w:rPr>
              <w:t>35.00 - 39.99</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35.00 - 37.49</w:t>
            </w:r>
          </w:p>
        </w:tc>
      </w:tr>
      <w:tr w:rsidR="006F2EE6" w:rsidRPr="00063981" w:rsidTr="00B51CFB">
        <w:tc>
          <w:tcPr>
            <w:tcW w:w="0" w:type="auto"/>
            <w:vMerge/>
            <w:shd w:val="clear" w:color="auto" w:fill="auto"/>
            <w:vAlign w:val="center"/>
            <w:hideMark/>
          </w:tcPr>
          <w:p w:rsidR="006F2EE6" w:rsidRPr="00B51CFB" w:rsidRDefault="006F2EE6" w:rsidP="00B51CFB">
            <w:pPr>
              <w:rPr>
                <w:sz w:val="24"/>
                <w:szCs w:val="24"/>
              </w:rPr>
            </w:pPr>
          </w:p>
        </w:tc>
        <w:tc>
          <w:tcPr>
            <w:tcW w:w="0" w:type="auto"/>
            <w:vMerge/>
            <w:shd w:val="clear" w:color="auto" w:fill="auto"/>
            <w:vAlign w:val="center"/>
            <w:hideMark/>
          </w:tcPr>
          <w:p w:rsidR="006F2EE6" w:rsidRPr="00B51CFB" w:rsidRDefault="006F2EE6" w:rsidP="00B51CFB">
            <w:pPr>
              <w:jc w:val="center"/>
              <w:rPr>
                <w:sz w:val="24"/>
                <w:szCs w:val="24"/>
              </w:rPr>
            </w:pP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37.50 - 39.99</w:t>
            </w:r>
          </w:p>
        </w:tc>
      </w:tr>
      <w:tr w:rsidR="006F2EE6" w:rsidRPr="00063981" w:rsidTr="00B51CFB">
        <w:tc>
          <w:tcPr>
            <w:tcW w:w="0" w:type="auto"/>
            <w:shd w:val="clear" w:color="auto" w:fill="auto"/>
            <w:vAlign w:val="center"/>
            <w:hideMark/>
          </w:tcPr>
          <w:p w:rsidR="006F2EE6" w:rsidRPr="00B51CFB" w:rsidRDefault="006F2EE6" w:rsidP="00B51CFB">
            <w:pPr>
              <w:rPr>
                <w:sz w:val="24"/>
                <w:szCs w:val="24"/>
              </w:rPr>
            </w:pPr>
            <w:r w:rsidRPr="00B51CFB">
              <w:rPr>
                <w:sz w:val="24"/>
                <w:szCs w:val="24"/>
              </w:rPr>
              <w:t>          Obese class III</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≥40.00</w:t>
            </w:r>
          </w:p>
        </w:tc>
        <w:tc>
          <w:tcPr>
            <w:tcW w:w="0" w:type="auto"/>
            <w:shd w:val="clear" w:color="auto" w:fill="auto"/>
            <w:vAlign w:val="center"/>
            <w:hideMark/>
          </w:tcPr>
          <w:p w:rsidR="006F2EE6" w:rsidRPr="00B51CFB" w:rsidRDefault="006F2EE6" w:rsidP="00B51CFB">
            <w:pPr>
              <w:jc w:val="center"/>
              <w:rPr>
                <w:sz w:val="24"/>
                <w:szCs w:val="24"/>
              </w:rPr>
            </w:pPr>
            <w:r w:rsidRPr="00B51CFB">
              <w:rPr>
                <w:sz w:val="24"/>
                <w:szCs w:val="24"/>
              </w:rPr>
              <w:t>≥40.00</w:t>
            </w:r>
          </w:p>
        </w:tc>
      </w:tr>
    </w:tbl>
    <w:p w:rsidR="00B51CFB" w:rsidRDefault="00B51CFB" w:rsidP="0052196B">
      <w:pPr>
        <w:spacing w:line="480" w:lineRule="auto"/>
        <w:jc w:val="both"/>
        <w:rPr>
          <w:sz w:val="24"/>
          <w:szCs w:val="24"/>
        </w:rPr>
      </w:pPr>
    </w:p>
    <w:p w:rsidR="006F2EE6" w:rsidRPr="00063981" w:rsidRDefault="00B51CFB" w:rsidP="0052196B">
      <w:pPr>
        <w:spacing w:line="480" w:lineRule="auto"/>
        <w:jc w:val="both"/>
        <w:rPr>
          <w:sz w:val="24"/>
          <w:szCs w:val="24"/>
        </w:rPr>
        <w:sectPr w:rsidR="006F2EE6" w:rsidRPr="00063981" w:rsidSect="001C477F">
          <w:footerReference w:type="default" r:id="rId10"/>
          <w:pgSz w:w="12240" w:h="15840"/>
          <w:pgMar w:top="2155" w:right="1418" w:bottom="1418" w:left="2155" w:header="720" w:footer="720" w:gutter="0"/>
          <w:pgNumType w:start="1"/>
          <w:cols w:space="720"/>
          <w:docGrid w:linePitch="360"/>
        </w:sectPr>
      </w:pPr>
      <w:r>
        <w:rPr>
          <w:sz w:val="24"/>
          <w:szCs w:val="24"/>
        </w:rPr>
        <w:t>Notes</w:t>
      </w:r>
      <w:r w:rsidR="006F2EE6" w:rsidRPr="00063981">
        <w:rPr>
          <w:sz w:val="24"/>
          <w:szCs w:val="24"/>
        </w:rPr>
        <w:t>: Adapted from the World Health Organization 1995, 2009 and 2004 reports.</w:t>
      </w:r>
    </w:p>
    <w:p w:rsidR="006F2EE6" w:rsidRPr="00063981" w:rsidRDefault="006F2EE6" w:rsidP="0052196B">
      <w:pPr>
        <w:spacing w:line="480" w:lineRule="auto"/>
        <w:jc w:val="both"/>
        <w:rPr>
          <w:sz w:val="24"/>
          <w:szCs w:val="24"/>
        </w:rPr>
      </w:pPr>
      <w:r w:rsidRPr="00063981">
        <w:rPr>
          <w:sz w:val="24"/>
          <w:szCs w:val="24"/>
        </w:rPr>
        <w:lastRenderedPageBreak/>
        <w:t xml:space="preserve">Table2: Proposed </w:t>
      </w:r>
      <w:r>
        <w:rPr>
          <w:sz w:val="24"/>
          <w:szCs w:val="24"/>
        </w:rPr>
        <w:t>mediators and biases</w:t>
      </w:r>
      <w:r w:rsidRPr="00063981">
        <w:rPr>
          <w:sz w:val="24"/>
          <w:szCs w:val="24"/>
        </w:rPr>
        <w:t xml:space="preserve"> of the obesity paradox</w:t>
      </w:r>
    </w:p>
    <w:tbl>
      <w:tblPr>
        <w:tblStyle w:val="Tablaconcuadrcula"/>
        <w:tblW w:w="7697" w:type="dxa"/>
        <w:tblLook w:val="04A0" w:firstRow="1" w:lastRow="0" w:firstColumn="1" w:lastColumn="0" w:noHBand="0" w:noVBand="1"/>
      </w:tblPr>
      <w:tblGrid>
        <w:gridCol w:w="3709"/>
        <w:gridCol w:w="3988"/>
      </w:tblGrid>
      <w:tr w:rsidR="006F2EE6" w:rsidRPr="00063981" w:rsidTr="00500FCC">
        <w:trPr>
          <w:trHeight w:val="406"/>
        </w:trPr>
        <w:tc>
          <w:tcPr>
            <w:tcW w:w="0" w:type="auto"/>
            <w:shd w:val="clear" w:color="auto" w:fill="EEECE1" w:themeFill="background2"/>
            <w:vAlign w:val="center"/>
          </w:tcPr>
          <w:p w:rsidR="006F2EE6" w:rsidRPr="00500FCC" w:rsidRDefault="006F2EE6" w:rsidP="00500FCC">
            <w:pPr>
              <w:pStyle w:val="Sinespaciado"/>
              <w:jc w:val="center"/>
              <w:rPr>
                <w:b/>
              </w:rPr>
            </w:pPr>
            <w:r w:rsidRPr="00500FCC">
              <w:rPr>
                <w:b/>
              </w:rPr>
              <w:t>True mediators</w:t>
            </w:r>
          </w:p>
        </w:tc>
        <w:tc>
          <w:tcPr>
            <w:tcW w:w="0" w:type="auto"/>
            <w:shd w:val="clear" w:color="auto" w:fill="EEECE1" w:themeFill="background2"/>
            <w:vAlign w:val="center"/>
          </w:tcPr>
          <w:p w:rsidR="006F2EE6" w:rsidRPr="00500FCC" w:rsidRDefault="006F2EE6" w:rsidP="00500FCC">
            <w:pPr>
              <w:pStyle w:val="Sinespaciado"/>
              <w:jc w:val="center"/>
              <w:rPr>
                <w:b/>
              </w:rPr>
            </w:pPr>
            <w:r w:rsidRPr="00500FCC">
              <w:rPr>
                <w:b/>
              </w:rPr>
              <w:t>Biases</w:t>
            </w:r>
          </w:p>
        </w:tc>
      </w:tr>
      <w:tr w:rsidR="006F2EE6" w:rsidRPr="00063981" w:rsidTr="00500FCC">
        <w:trPr>
          <w:trHeight w:val="384"/>
        </w:trPr>
        <w:tc>
          <w:tcPr>
            <w:tcW w:w="0" w:type="auto"/>
            <w:vAlign w:val="center"/>
          </w:tcPr>
          <w:p w:rsidR="006F2EE6" w:rsidRPr="00063981" w:rsidRDefault="006F2EE6" w:rsidP="00500FCC">
            <w:pPr>
              <w:pStyle w:val="Sinespaciado"/>
              <w:jc w:val="center"/>
            </w:pPr>
            <w:r w:rsidRPr="00063981">
              <w:t>Increased metabolic reserve</w:t>
            </w:r>
          </w:p>
        </w:tc>
        <w:tc>
          <w:tcPr>
            <w:tcW w:w="0" w:type="auto"/>
            <w:vAlign w:val="center"/>
          </w:tcPr>
          <w:p w:rsidR="006F2EE6" w:rsidRPr="00500FCC" w:rsidRDefault="006F2EE6" w:rsidP="00500FCC">
            <w:pPr>
              <w:pStyle w:val="Sinespaciado"/>
              <w:rPr>
                <w:b/>
              </w:rPr>
            </w:pPr>
            <w:r w:rsidRPr="00500FCC">
              <w:rPr>
                <w:b/>
              </w:rPr>
              <w:t>Confounding bias:</w:t>
            </w:r>
          </w:p>
        </w:tc>
      </w:tr>
      <w:tr w:rsidR="006F2EE6" w:rsidRPr="00063981" w:rsidTr="00500FCC">
        <w:trPr>
          <w:trHeight w:val="406"/>
        </w:trPr>
        <w:tc>
          <w:tcPr>
            <w:tcW w:w="0" w:type="auto"/>
            <w:vAlign w:val="center"/>
          </w:tcPr>
          <w:p w:rsidR="006F2EE6" w:rsidRPr="00063981" w:rsidRDefault="006F2EE6" w:rsidP="00500FCC">
            <w:pPr>
              <w:pStyle w:val="Sinespaciado"/>
              <w:jc w:val="center"/>
            </w:pPr>
            <w:r w:rsidRPr="00063981">
              <w:t>Increased coronary vessel size</w:t>
            </w:r>
          </w:p>
        </w:tc>
        <w:tc>
          <w:tcPr>
            <w:tcW w:w="0" w:type="auto"/>
            <w:vAlign w:val="center"/>
          </w:tcPr>
          <w:p w:rsidR="006F2EE6" w:rsidRPr="00063981" w:rsidRDefault="006F2EE6" w:rsidP="00500FCC">
            <w:pPr>
              <w:pStyle w:val="Sinespaciado"/>
              <w:jc w:val="center"/>
            </w:pPr>
            <w:r w:rsidRPr="00063981">
              <w:t>Younger age</w:t>
            </w:r>
          </w:p>
        </w:tc>
      </w:tr>
      <w:tr w:rsidR="006F2EE6" w:rsidRPr="00063981" w:rsidTr="00500FCC">
        <w:trPr>
          <w:trHeight w:val="384"/>
        </w:trPr>
        <w:tc>
          <w:tcPr>
            <w:tcW w:w="0" w:type="auto"/>
            <w:vAlign w:val="center"/>
          </w:tcPr>
          <w:p w:rsidR="006F2EE6" w:rsidRPr="00063981" w:rsidRDefault="006F2EE6" w:rsidP="00500FCC">
            <w:pPr>
              <w:pStyle w:val="Sinespaciado"/>
              <w:jc w:val="center"/>
            </w:pPr>
            <w:r w:rsidRPr="00063981">
              <w:t>Reduced risk of bleeding</w:t>
            </w:r>
          </w:p>
        </w:tc>
        <w:tc>
          <w:tcPr>
            <w:tcW w:w="0" w:type="auto"/>
            <w:vAlign w:val="center"/>
          </w:tcPr>
          <w:p w:rsidR="006F2EE6" w:rsidRPr="00063981" w:rsidRDefault="006F2EE6" w:rsidP="00500FCC">
            <w:pPr>
              <w:pStyle w:val="Sinespaciado"/>
              <w:jc w:val="center"/>
            </w:pPr>
            <w:r w:rsidRPr="00063981">
              <w:t>Sarcopenia in the normal BMI range</w:t>
            </w:r>
            <w:r w:rsidRPr="00340A31">
              <w:rPr>
                <w:noProof/>
                <w:vertAlign w:val="superscript"/>
              </w:rPr>
              <w:t>49</w:t>
            </w:r>
          </w:p>
        </w:tc>
      </w:tr>
      <w:tr w:rsidR="006F2EE6" w:rsidRPr="00063981" w:rsidTr="00500FCC">
        <w:trPr>
          <w:trHeight w:val="406"/>
        </w:trPr>
        <w:tc>
          <w:tcPr>
            <w:tcW w:w="0" w:type="auto"/>
            <w:vAlign w:val="center"/>
          </w:tcPr>
          <w:p w:rsidR="006F2EE6" w:rsidRPr="00063981" w:rsidRDefault="006F2EE6" w:rsidP="00500FCC">
            <w:pPr>
              <w:pStyle w:val="Sinespaciado"/>
              <w:jc w:val="center"/>
            </w:pPr>
            <w:r w:rsidRPr="00063981">
              <w:t>Reduce thromboxane production</w:t>
            </w:r>
            <w:r w:rsidRPr="00340A31">
              <w:rPr>
                <w:noProof/>
                <w:vertAlign w:val="superscript"/>
              </w:rPr>
              <w:t>50</w:t>
            </w:r>
          </w:p>
        </w:tc>
        <w:tc>
          <w:tcPr>
            <w:tcW w:w="0" w:type="auto"/>
            <w:vAlign w:val="center"/>
          </w:tcPr>
          <w:p w:rsidR="006F2EE6" w:rsidRPr="00063981" w:rsidRDefault="006F2EE6" w:rsidP="00500FCC">
            <w:pPr>
              <w:pStyle w:val="Sinespaciado"/>
              <w:jc w:val="center"/>
            </w:pPr>
            <w:r w:rsidRPr="00063981">
              <w:t>Less smoking rates</w:t>
            </w:r>
            <w:r w:rsidRPr="004A2F8B">
              <w:rPr>
                <w:noProof/>
                <w:vertAlign w:val="superscript"/>
              </w:rPr>
              <w:t>45</w:t>
            </w:r>
          </w:p>
        </w:tc>
      </w:tr>
      <w:tr w:rsidR="006F2EE6" w:rsidRPr="00063981" w:rsidTr="00500FCC">
        <w:trPr>
          <w:trHeight w:val="406"/>
        </w:trPr>
        <w:tc>
          <w:tcPr>
            <w:tcW w:w="0" w:type="auto"/>
            <w:vAlign w:val="center"/>
          </w:tcPr>
          <w:p w:rsidR="006F2EE6" w:rsidRPr="00063981" w:rsidRDefault="006F2EE6" w:rsidP="00500FCC">
            <w:pPr>
              <w:pStyle w:val="Sinespaciado"/>
              <w:jc w:val="center"/>
            </w:pPr>
            <w:r w:rsidRPr="00063981">
              <w:t>Better heart failure prognosis</w:t>
            </w:r>
          </w:p>
        </w:tc>
        <w:tc>
          <w:tcPr>
            <w:tcW w:w="0" w:type="auto"/>
            <w:vAlign w:val="center"/>
          </w:tcPr>
          <w:p w:rsidR="006F2EE6" w:rsidRPr="00063981" w:rsidRDefault="006F2EE6" w:rsidP="00500FCC">
            <w:pPr>
              <w:pStyle w:val="Sinespaciado"/>
              <w:jc w:val="center"/>
            </w:pPr>
            <w:r w:rsidRPr="00063981">
              <w:t>Better medication adherence</w:t>
            </w:r>
            <w:r w:rsidRPr="00340A31">
              <w:rPr>
                <w:noProof/>
                <w:vertAlign w:val="superscript"/>
              </w:rPr>
              <w:t>51</w:t>
            </w:r>
          </w:p>
        </w:tc>
      </w:tr>
      <w:tr w:rsidR="006F2EE6" w:rsidRPr="00063981" w:rsidTr="00500FCC">
        <w:trPr>
          <w:trHeight w:val="384"/>
        </w:trPr>
        <w:tc>
          <w:tcPr>
            <w:tcW w:w="0" w:type="auto"/>
            <w:vAlign w:val="center"/>
          </w:tcPr>
          <w:p w:rsidR="006F2EE6" w:rsidRPr="00063981" w:rsidRDefault="006F2EE6" w:rsidP="00500FCC">
            <w:pPr>
              <w:pStyle w:val="Sinespaciado"/>
              <w:jc w:val="center"/>
            </w:pPr>
          </w:p>
        </w:tc>
        <w:tc>
          <w:tcPr>
            <w:tcW w:w="0" w:type="auto"/>
            <w:vAlign w:val="center"/>
          </w:tcPr>
          <w:p w:rsidR="006F2EE6" w:rsidRPr="00063981" w:rsidRDefault="006F2EE6" w:rsidP="00500FCC">
            <w:pPr>
              <w:pStyle w:val="Sinespaciado"/>
              <w:jc w:val="center"/>
            </w:pPr>
          </w:p>
        </w:tc>
      </w:tr>
      <w:tr w:rsidR="006F2EE6" w:rsidRPr="00063981" w:rsidTr="00500FCC">
        <w:trPr>
          <w:trHeight w:val="406"/>
        </w:trPr>
        <w:tc>
          <w:tcPr>
            <w:tcW w:w="0" w:type="auto"/>
            <w:vAlign w:val="center"/>
          </w:tcPr>
          <w:p w:rsidR="006F2EE6" w:rsidRPr="00063981" w:rsidRDefault="006F2EE6" w:rsidP="00500FCC">
            <w:pPr>
              <w:pStyle w:val="Sinespaciado"/>
              <w:jc w:val="center"/>
            </w:pPr>
          </w:p>
        </w:tc>
        <w:tc>
          <w:tcPr>
            <w:tcW w:w="0" w:type="auto"/>
            <w:vAlign w:val="center"/>
          </w:tcPr>
          <w:p w:rsidR="006F2EE6" w:rsidRPr="00500FCC" w:rsidRDefault="006F2EE6" w:rsidP="00500FCC">
            <w:pPr>
              <w:pStyle w:val="Sinespaciado"/>
              <w:rPr>
                <w:b/>
              </w:rPr>
            </w:pPr>
            <w:r w:rsidRPr="00500FCC">
              <w:rPr>
                <w:b/>
              </w:rPr>
              <w:t>Other biases:</w:t>
            </w:r>
          </w:p>
        </w:tc>
      </w:tr>
      <w:tr w:rsidR="006F2EE6" w:rsidRPr="00063981" w:rsidTr="00500FCC">
        <w:trPr>
          <w:trHeight w:val="384"/>
        </w:trPr>
        <w:tc>
          <w:tcPr>
            <w:tcW w:w="0" w:type="auto"/>
            <w:vAlign w:val="center"/>
          </w:tcPr>
          <w:p w:rsidR="006F2EE6" w:rsidRPr="00063981" w:rsidRDefault="006F2EE6" w:rsidP="00500FCC">
            <w:pPr>
              <w:pStyle w:val="Sinespaciado"/>
              <w:jc w:val="center"/>
            </w:pPr>
          </w:p>
        </w:tc>
        <w:tc>
          <w:tcPr>
            <w:tcW w:w="0" w:type="auto"/>
            <w:vAlign w:val="center"/>
          </w:tcPr>
          <w:p w:rsidR="006F2EE6" w:rsidRPr="00063981" w:rsidRDefault="006F2EE6" w:rsidP="00500FCC">
            <w:pPr>
              <w:pStyle w:val="Sinespaciado"/>
              <w:jc w:val="center"/>
            </w:pPr>
            <w:r w:rsidRPr="00063981">
              <w:t>Lead time bias</w:t>
            </w:r>
            <w:r w:rsidRPr="004A2F8B">
              <w:rPr>
                <w:noProof/>
                <w:vertAlign w:val="superscript"/>
              </w:rPr>
              <w:t>45</w:t>
            </w:r>
          </w:p>
        </w:tc>
      </w:tr>
      <w:tr w:rsidR="006F2EE6" w:rsidRPr="00063981" w:rsidTr="00500FCC">
        <w:trPr>
          <w:trHeight w:val="406"/>
        </w:trPr>
        <w:tc>
          <w:tcPr>
            <w:tcW w:w="0" w:type="auto"/>
            <w:vAlign w:val="center"/>
          </w:tcPr>
          <w:p w:rsidR="006F2EE6" w:rsidRPr="00063981" w:rsidRDefault="006F2EE6" w:rsidP="00500FCC">
            <w:pPr>
              <w:pStyle w:val="Sinespaciado"/>
              <w:jc w:val="center"/>
            </w:pPr>
          </w:p>
        </w:tc>
        <w:tc>
          <w:tcPr>
            <w:tcW w:w="0" w:type="auto"/>
            <w:vAlign w:val="center"/>
          </w:tcPr>
          <w:p w:rsidR="006F2EE6" w:rsidRPr="00063981" w:rsidRDefault="006F2EE6" w:rsidP="00500FCC">
            <w:pPr>
              <w:pStyle w:val="Sinespaciado"/>
              <w:jc w:val="center"/>
            </w:pPr>
            <w:r w:rsidRPr="00063981">
              <w:t>Reverse causality</w:t>
            </w:r>
            <w:r w:rsidRPr="004A2F8B">
              <w:rPr>
                <w:noProof/>
                <w:vertAlign w:val="superscript"/>
              </w:rPr>
              <w:t>46</w:t>
            </w:r>
          </w:p>
        </w:tc>
      </w:tr>
    </w:tbl>
    <w:p w:rsidR="006F2EE6" w:rsidRDefault="006F2EE6" w:rsidP="0052196B">
      <w:pPr>
        <w:pStyle w:val="chapterstitles"/>
        <w:jc w:val="both"/>
      </w:pPr>
    </w:p>
    <w:p w:rsidR="00842FA7" w:rsidRDefault="00842FA7" w:rsidP="0052196B">
      <w:pPr>
        <w:jc w:val="both"/>
        <w:rPr>
          <w:sz w:val="24"/>
          <w:szCs w:val="24"/>
        </w:rPr>
      </w:pPr>
      <w:r>
        <w:br w:type="page"/>
      </w:r>
    </w:p>
    <w:p w:rsidR="00842FA7" w:rsidRPr="00266809" w:rsidRDefault="00842FA7" w:rsidP="0052196B">
      <w:pPr>
        <w:pStyle w:val="chapterstitles"/>
        <w:jc w:val="both"/>
      </w:pPr>
      <w:r w:rsidRPr="001348A5">
        <w:lastRenderedPageBreak/>
        <w:t>CHAPTER 2: SYSTEMATIC REVIEW, META-ANALYSIS AND LIMITATIONS OF THE AVAILABLE EVIDENCE</w:t>
      </w:r>
    </w:p>
    <w:p w:rsidR="00842FA7" w:rsidRPr="00266809" w:rsidRDefault="00842FA7" w:rsidP="0052196B">
      <w:pPr>
        <w:jc w:val="both"/>
        <w:rPr>
          <w:sz w:val="24"/>
          <w:szCs w:val="24"/>
        </w:rPr>
      </w:pPr>
    </w:p>
    <w:p w:rsidR="00842FA7" w:rsidRPr="00266809" w:rsidRDefault="00842FA7" w:rsidP="0052196B">
      <w:pPr>
        <w:jc w:val="both"/>
        <w:rPr>
          <w:b/>
          <w:sz w:val="24"/>
          <w:szCs w:val="24"/>
        </w:rPr>
      </w:pPr>
      <w:r w:rsidRPr="00266809">
        <w:rPr>
          <w:b/>
          <w:sz w:val="24"/>
          <w:szCs w:val="24"/>
        </w:rPr>
        <w:t xml:space="preserve">Chapter </w:t>
      </w:r>
      <w:r w:rsidRPr="00266809">
        <w:rPr>
          <w:b/>
          <w:noProof/>
          <w:sz w:val="24"/>
          <w:szCs w:val="24"/>
        </w:rPr>
        <w:t>Introduction</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The following chapter </w:t>
      </w:r>
      <w:r w:rsidRPr="00266809">
        <w:rPr>
          <w:noProof/>
          <w:sz w:val="24"/>
          <w:szCs w:val="24"/>
        </w:rPr>
        <w:t>describes</w:t>
      </w:r>
      <w:r w:rsidRPr="00266809">
        <w:rPr>
          <w:sz w:val="24"/>
          <w:szCs w:val="24"/>
        </w:rPr>
        <w:t xml:space="preserve"> the methods, results and discussion of the updated “study-level” systematic review and meta-analysis. After that, limitations of meta-analyses and cohort studies of </w:t>
      </w:r>
      <w:r w:rsidRPr="00266809">
        <w:rPr>
          <w:noProof/>
          <w:sz w:val="24"/>
          <w:szCs w:val="24"/>
        </w:rPr>
        <w:t>this particular subject</w:t>
      </w:r>
      <w:r w:rsidRPr="00266809">
        <w:rPr>
          <w:sz w:val="24"/>
          <w:szCs w:val="24"/>
        </w:rPr>
        <w:t xml:space="preserve"> </w:t>
      </w:r>
      <w:r w:rsidRPr="00266809">
        <w:rPr>
          <w:noProof/>
          <w:sz w:val="24"/>
          <w:szCs w:val="24"/>
        </w:rPr>
        <w:t>are</w:t>
      </w:r>
      <w:r w:rsidRPr="00266809">
        <w:rPr>
          <w:sz w:val="24"/>
          <w:szCs w:val="24"/>
        </w:rPr>
        <w:t xml:space="preserve"> </w:t>
      </w:r>
      <w:r>
        <w:rPr>
          <w:sz w:val="24"/>
          <w:szCs w:val="24"/>
        </w:rPr>
        <w:t>discussed in detail</w:t>
      </w:r>
      <w:r w:rsidRPr="00266809">
        <w:rPr>
          <w:sz w:val="24"/>
          <w:szCs w:val="24"/>
        </w:rPr>
        <w:t xml:space="preserve">. Finally, the advantages of performing an individual patient data meta-analysis from high-quality studies are detailed on a table. </w:t>
      </w:r>
    </w:p>
    <w:p w:rsidR="00842FA7" w:rsidRPr="00266809" w:rsidRDefault="00842FA7" w:rsidP="0052196B">
      <w:pPr>
        <w:pStyle w:val="Sinespaciado"/>
        <w:spacing w:line="480" w:lineRule="auto"/>
        <w:jc w:val="both"/>
        <w:rPr>
          <w:b/>
          <w:sz w:val="24"/>
          <w:szCs w:val="24"/>
        </w:rPr>
      </w:pPr>
    </w:p>
    <w:p w:rsidR="00842FA7" w:rsidRPr="00266809" w:rsidRDefault="00842FA7" w:rsidP="0052196B">
      <w:pPr>
        <w:pStyle w:val="Sinespaciado"/>
        <w:spacing w:line="480" w:lineRule="auto"/>
        <w:jc w:val="both"/>
        <w:rPr>
          <w:b/>
          <w:sz w:val="24"/>
          <w:szCs w:val="24"/>
        </w:rPr>
      </w:pPr>
      <w:r w:rsidRPr="00266809">
        <w:rPr>
          <w:b/>
          <w:sz w:val="24"/>
          <w:szCs w:val="24"/>
        </w:rPr>
        <w:t>Systematic review and meta-analysis</w:t>
      </w:r>
    </w:p>
    <w:p w:rsidR="00842FA7" w:rsidRPr="00266809" w:rsidRDefault="00842FA7" w:rsidP="0052196B">
      <w:pPr>
        <w:pStyle w:val="Sinespaciado"/>
        <w:spacing w:line="480" w:lineRule="auto"/>
        <w:jc w:val="both"/>
        <w:rPr>
          <w:sz w:val="24"/>
          <w:szCs w:val="24"/>
          <w:u w:val="single"/>
        </w:rPr>
      </w:pPr>
      <w:r w:rsidRPr="00266809">
        <w:rPr>
          <w:sz w:val="24"/>
          <w:szCs w:val="24"/>
          <w:u w:val="single"/>
        </w:rPr>
        <w:t>Methods:</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 Studies were considered eligible if they described the association between BMI and all-cause mortality after ACS. A systematic search </w:t>
      </w:r>
      <w:r w:rsidRPr="00266809">
        <w:rPr>
          <w:noProof/>
          <w:sz w:val="24"/>
          <w:szCs w:val="24"/>
        </w:rPr>
        <w:t>was performed</w:t>
      </w:r>
      <w:r w:rsidRPr="00266809">
        <w:rPr>
          <w:sz w:val="24"/>
          <w:szCs w:val="24"/>
        </w:rPr>
        <w:t xml:space="preserve"> on MEDLINE (Ovid, from 1996 with daily update) and EMBASE (Ovid, from 1996). </w:t>
      </w:r>
      <w:r w:rsidRPr="00266809">
        <w:rPr>
          <w:noProof/>
          <w:sz w:val="24"/>
          <w:szCs w:val="24"/>
        </w:rPr>
        <w:t xml:space="preserve">A sensitive search strategy combining the terms “obesity” AND “acute coronary syndrome” was </w:t>
      </w:r>
      <w:r>
        <w:rPr>
          <w:noProof/>
          <w:sz w:val="24"/>
          <w:szCs w:val="24"/>
        </w:rPr>
        <w:t>conducted</w:t>
      </w:r>
      <w:r w:rsidRPr="00266809">
        <w:rPr>
          <w:noProof/>
          <w:sz w:val="24"/>
          <w:szCs w:val="24"/>
        </w:rPr>
        <w:t xml:space="preserve"> on April 14</w:t>
      </w:r>
      <w:r w:rsidRPr="00266809">
        <w:rPr>
          <w:noProof/>
          <w:sz w:val="24"/>
          <w:szCs w:val="24"/>
          <w:vertAlign w:val="superscript"/>
        </w:rPr>
        <w:t>th</w:t>
      </w:r>
      <w:r w:rsidRPr="00266809">
        <w:rPr>
          <w:noProof/>
          <w:sz w:val="24"/>
          <w:szCs w:val="24"/>
        </w:rPr>
        <w:t xml:space="preserve"> 2015, limited to articles published from the year 2014 (search strategy is attached in the Supplementary Appendix).</w:t>
      </w:r>
      <w:r w:rsidRPr="00266809">
        <w:rPr>
          <w:sz w:val="24"/>
          <w:szCs w:val="24"/>
        </w:rPr>
        <w:t xml:space="preserve"> Other sources </w:t>
      </w:r>
      <w:r w:rsidRPr="00266809">
        <w:rPr>
          <w:noProof/>
          <w:sz w:val="24"/>
          <w:szCs w:val="24"/>
        </w:rPr>
        <w:t>were considered</w:t>
      </w:r>
      <w:r w:rsidRPr="00266809">
        <w:rPr>
          <w:sz w:val="24"/>
          <w:szCs w:val="24"/>
        </w:rPr>
        <w:t xml:space="preserve"> for including studies, such as a comprehensive search through Google scholar</w:t>
      </w:r>
      <w:r w:rsidRPr="00266809">
        <w:rPr>
          <w:rFonts w:ascii="Times New Roman" w:hAnsi="Times New Roman" w:cs="Times New Roman"/>
          <w:sz w:val="24"/>
          <w:szCs w:val="24"/>
          <w:vertAlign w:val="superscript"/>
        </w:rPr>
        <w:t>®</w:t>
      </w:r>
      <w:r w:rsidRPr="00266809">
        <w:rPr>
          <w:rFonts w:ascii="Times New Roman" w:hAnsi="Times New Roman" w:cs="Times New Roman"/>
          <w:sz w:val="24"/>
          <w:szCs w:val="24"/>
        </w:rPr>
        <w:t xml:space="preserve"> </w:t>
      </w:r>
      <w:r w:rsidRPr="00266809">
        <w:rPr>
          <w:sz w:val="24"/>
          <w:szCs w:val="24"/>
        </w:rPr>
        <w:t xml:space="preserve">and manual reference screening of included studies and reviews. An additional search including a systematic review filter retrieved 43 references, which </w:t>
      </w:r>
      <w:r w:rsidRPr="00266809">
        <w:rPr>
          <w:noProof/>
          <w:sz w:val="24"/>
          <w:szCs w:val="24"/>
        </w:rPr>
        <w:t>were manually screened</w:t>
      </w:r>
      <w:r w:rsidRPr="00266809">
        <w:rPr>
          <w:sz w:val="24"/>
          <w:szCs w:val="24"/>
        </w:rPr>
        <w:t xml:space="preserve"> for relevant citations. P.L. performed the title and abstract screening and full-text review individually.</w:t>
      </w:r>
    </w:p>
    <w:p w:rsidR="00842FA7" w:rsidRPr="00266809" w:rsidRDefault="00842FA7" w:rsidP="0052196B">
      <w:pPr>
        <w:pStyle w:val="Sinespaciado"/>
        <w:spacing w:line="480" w:lineRule="auto"/>
        <w:ind w:firstLine="720"/>
        <w:jc w:val="both"/>
        <w:rPr>
          <w:sz w:val="24"/>
          <w:szCs w:val="24"/>
        </w:rPr>
      </w:pPr>
      <w:r w:rsidRPr="00266809">
        <w:rPr>
          <w:noProof/>
          <w:sz w:val="24"/>
          <w:szCs w:val="24"/>
        </w:rPr>
        <w:lastRenderedPageBreak/>
        <w:t>A qualitative</w:t>
      </w:r>
      <w:r w:rsidRPr="00266809">
        <w:rPr>
          <w:sz w:val="24"/>
          <w:szCs w:val="24"/>
        </w:rPr>
        <w:t xml:space="preserve"> assessment </w:t>
      </w:r>
      <w:r w:rsidRPr="00266809">
        <w:rPr>
          <w:noProof/>
          <w:sz w:val="24"/>
          <w:szCs w:val="24"/>
        </w:rPr>
        <w:t>was performed</w:t>
      </w:r>
      <w:r w:rsidRPr="00266809">
        <w:rPr>
          <w:sz w:val="24"/>
          <w:szCs w:val="24"/>
        </w:rPr>
        <w:t xml:space="preserve"> in all included articles, and only articles </w:t>
      </w:r>
      <w:r w:rsidRPr="00266809">
        <w:rPr>
          <w:noProof/>
          <w:sz w:val="24"/>
          <w:szCs w:val="24"/>
        </w:rPr>
        <w:t>that</w:t>
      </w:r>
      <w:r w:rsidRPr="00266809">
        <w:rPr>
          <w:sz w:val="24"/>
          <w:szCs w:val="24"/>
        </w:rPr>
        <w:t xml:space="preserve"> reported adjusted estimates of BMI categories for all-cause mortality were pooled for meta-analysis. Study quality was assessed using the Newcastle-Ottawa </w:t>
      </w:r>
      <w:r w:rsidRPr="00266809">
        <w:rPr>
          <w:noProof/>
          <w:sz w:val="24"/>
          <w:szCs w:val="24"/>
        </w:rPr>
        <w:t>Scale</w:t>
      </w:r>
      <w:r w:rsidRPr="00266809">
        <w:rPr>
          <w:sz w:val="24"/>
          <w:szCs w:val="24"/>
        </w:rPr>
        <w:t xml:space="preserve"> for non-randomized studies in meta-analyses. Results were pooled using the generic inverse variance method. Publication bias was assessed through funnel plot inspection. </w:t>
      </w:r>
      <w:r w:rsidRPr="00266809">
        <w:rPr>
          <w:i/>
          <w:noProof/>
          <w:sz w:val="24"/>
          <w:szCs w:val="24"/>
        </w:rPr>
        <w:t>A priori</w:t>
      </w:r>
      <w:r w:rsidRPr="00266809">
        <w:rPr>
          <w:noProof/>
          <w:sz w:val="24"/>
          <w:szCs w:val="24"/>
        </w:rPr>
        <w:t xml:space="preserve"> subgroup analysis was performed, including ACS subtype, geographic region, follow-up time, study quality according to the Newcastle Ottawa Scale (defined as at least 3 stars in selection, 2 stars in comparability and at least two stars in outcome) and cohort source (cohort study vs randomized controlled trial based cohort).</w:t>
      </w:r>
      <w:r w:rsidRPr="00266809">
        <w:rPr>
          <w:sz w:val="24"/>
          <w:szCs w:val="24"/>
        </w:rPr>
        <w:t xml:space="preserve"> Endnote</w:t>
      </w:r>
      <w:r w:rsidRPr="00266809">
        <w:rPr>
          <w:noProof/>
          <w:sz w:val="24"/>
          <w:szCs w:val="24"/>
        </w:rPr>
        <w:t>®</w:t>
      </w:r>
      <w:r w:rsidRPr="00266809">
        <w:rPr>
          <w:sz w:val="24"/>
          <w:szCs w:val="24"/>
        </w:rPr>
        <w:t xml:space="preserve"> and Review Manager® software were used for reference management and executing the meta-analysis, respectively.</w:t>
      </w:r>
      <w:r w:rsidRPr="00266809">
        <w:rPr>
          <w:sz w:val="24"/>
          <w:szCs w:val="24"/>
        </w:rPr>
        <w:tab/>
      </w:r>
    </w:p>
    <w:p w:rsidR="00842FA7" w:rsidRPr="00266809" w:rsidRDefault="00842FA7" w:rsidP="0052196B">
      <w:pPr>
        <w:pStyle w:val="Sinespaciado"/>
        <w:spacing w:line="480" w:lineRule="auto"/>
        <w:jc w:val="both"/>
        <w:rPr>
          <w:sz w:val="24"/>
          <w:szCs w:val="24"/>
        </w:rPr>
      </w:pPr>
    </w:p>
    <w:p w:rsidR="00842FA7" w:rsidRPr="00266809" w:rsidRDefault="00842FA7" w:rsidP="0052196B">
      <w:pPr>
        <w:pStyle w:val="Sinespaciado"/>
        <w:spacing w:line="480" w:lineRule="auto"/>
        <w:jc w:val="both"/>
        <w:rPr>
          <w:sz w:val="24"/>
          <w:szCs w:val="24"/>
          <w:u w:val="single"/>
        </w:rPr>
      </w:pPr>
      <w:r w:rsidRPr="00266809">
        <w:rPr>
          <w:sz w:val="24"/>
          <w:szCs w:val="24"/>
          <w:u w:val="single"/>
        </w:rPr>
        <w:t>Results</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The initial electronic search retrieved 2,206 </w:t>
      </w:r>
      <w:r w:rsidRPr="00266809">
        <w:rPr>
          <w:noProof/>
          <w:sz w:val="24"/>
          <w:szCs w:val="24"/>
        </w:rPr>
        <w:t>references,</w:t>
      </w:r>
      <w:r w:rsidRPr="00266809">
        <w:rPr>
          <w:sz w:val="24"/>
          <w:szCs w:val="24"/>
        </w:rPr>
        <w:t xml:space="preserve"> and 1,626 remained </w:t>
      </w:r>
      <w:r w:rsidR="00F04EB4" w:rsidRPr="00266809">
        <w:rPr>
          <w:sz w:val="24"/>
          <w:szCs w:val="24"/>
        </w:rPr>
        <w:t>after removal</w:t>
      </w:r>
      <w:r w:rsidRPr="00266809">
        <w:rPr>
          <w:sz w:val="24"/>
          <w:szCs w:val="24"/>
        </w:rPr>
        <w:t xml:space="preserve"> </w:t>
      </w:r>
      <w:r>
        <w:rPr>
          <w:sz w:val="24"/>
          <w:szCs w:val="24"/>
        </w:rPr>
        <w:t xml:space="preserve">of multiple reports from the same study </w:t>
      </w:r>
      <w:r w:rsidRPr="00266809">
        <w:rPr>
          <w:sz w:val="24"/>
          <w:szCs w:val="24"/>
        </w:rPr>
        <w:t xml:space="preserve">(flowchart </w:t>
      </w:r>
      <w:r w:rsidRPr="00266809">
        <w:rPr>
          <w:noProof/>
          <w:sz w:val="24"/>
          <w:szCs w:val="24"/>
        </w:rPr>
        <w:t>is presented</w:t>
      </w:r>
      <w:r w:rsidRPr="00266809">
        <w:rPr>
          <w:sz w:val="24"/>
          <w:szCs w:val="24"/>
        </w:rPr>
        <w:t xml:space="preserve"> </w:t>
      </w:r>
      <w:r w:rsidRPr="00266809">
        <w:rPr>
          <w:noProof/>
          <w:sz w:val="24"/>
          <w:szCs w:val="24"/>
        </w:rPr>
        <w:t>in</w:t>
      </w:r>
      <w:r w:rsidRPr="00266809">
        <w:rPr>
          <w:sz w:val="24"/>
          <w:szCs w:val="24"/>
        </w:rPr>
        <w:t xml:space="preserve"> Figure 1). After title, abstract and </w:t>
      </w:r>
      <w:r w:rsidRPr="00266809">
        <w:rPr>
          <w:noProof/>
          <w:sz w:val="24"/>
          <w:szCs w:val="24"/>
        </w:rPr>
        <w:t>full-text</w:t>
      </w:r>
      <w:r w:rsidRPr="00266809">
        <w:rPr>
          <w:sz w:val="24"/>
          <w:szCs w:val="24"/>
        </w:rPr>
        <w:t xml:space="preserve"> review 35 articles were added to qualitative and 19 to quantitative synthesis (Table </w:t>
      </w:r>
      <w:r w:rsidR="00DC7437">
        <w:rPr>
          <w:sz w:val="24"/>
          <w:szCs w:val="24"/>
        </w:rPr>
        <w:t>1</w:t>
      </w:r>
      <w:r w:rsidRPr="00266809">
        <w:rPr>
          <w:sz w:val="24"/>
          <w:szCs w:val="24"/>
        </w:rPr>
        <w:t xml:space="preserve">). No other systematic review studying the association between BMI and ACS </w:t>
      </w:r>
      <w:r w:rsidRPr="00266809">
        <w:rPr>
          <w:noProof/>
          <w:sz w:val="24"/>
          <w:szCs w:val="24"/>
        </w:rPr>
        <w:t>was found</w:t>
      </w:r>
      <w:r w:rsidRPr="00266809">
        <w:rPr>
          <w:sz w:val="24"/>
          <w:szCs w:val="24"/>
        </w:rPr>
        <w:t>.</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Included studies </w:t>
      </w:r>
      <w:r w:rsidRPr="00266809">
        <w:rPr>
          <w:noProof/>
          <w:sz w:val="24"/>
          <w:szCs w:val="24"/>
        </w:rPr>
        <w:t>were published</w:t>
      </w:r>
      <w:r w:rsidRPr="00266809">
        <w:rPr>
          <w:sz w:val="24"/>
          <w:szCs w:val="24"/>
        </w:rPr>
        <w:t xml:space="preserve"> from 1987 to 2014. Fifteen were an </w:t>
      </w:r>
      <w:r w:rsidRPr="00266809">
        <w:rPr>
          <w:noProof/>
          <w:sz w:val="24"/>
          <w:szCs w:val="24"/>
        </w:rPr>
        <w:t>analysis</w:t>
      </w:r>
      <w:r w:rsidRPr="00266809">
        <w:rPr>
          <w:sz w:val="24"/>
          <w:szCs w:val="24"/>
        </w:rPr>
        <w:t xml:space="preserve"> of registries (11 collected data prospectively and 4 retrospectively), 7 retrospective cohorts, 9 analysis of randomized controlled trials data, 3 dedicated prospective cohort studies and one a prospective nationwide survey. Seventeen included acute myocardial infarctions </w:t>
      </w:r>
      <w:r w:rsidRPr="00266809">
        <w:rPr>
          <w:sz w:val="24"/>
          <w:szCs w:val="24"/>
        </w:rPr>
        <w:lastRenderedPageBreak/>
        <w:t xml:space="preserve">(STEMI/NSTEMI), 9 only STEMI, 3 UA/NSTEMI, and 6 UA/NSTEMI/STEMI. </w:t>
      </w:r>
      <w:r w:rsidRPr="00266809">
        <w:rPr>
          <w:noProof/>
          <w:sz w:val="24"/>
          <w:szCs w:val="24"/>
        </w:rPr>
        <w:t>Participant´s follow-up</w:t>
      </w:r>
      <w:r w:rsidRPr="00266809">
        <w:rPr>
          <w:sz w:val="24"/>
          <w:szCs w:val="24"/>
        </w:rPr>
        <w:t xml:space="preserve"> ranged from in-hospital to 96 months. </w:t>
      </w:r>
    </w:p>
    <w:p w:rsidR="00842FA7" w:rsidRPr="00266809" w:rsidRDefault="00842FA7" w:rsidP="0052196B">
      <w:pPr>
        <w:pStyle w:val="Sinespaciado"/>
        <w:tabs>
          <w:tab w:val="left" w:pos="1809"/>
        </w:tabs>
        <w:spacing w:line="480" w:lineRule="auto"/>
        <w:ind w:firstLine="720"/>
        <w:jc w:val="both"/>
        <w:rPr>
          <w:sz w:val="24"/>
          <w:szCs w:val="24"/>
        </w:rPr>
      </w:pPr>
      <w:r w:rsidRPr="00266809">
        <w:rPr>
          <w:i/>
          <w:noProof/>
          <w:sz w:val="24"/>
          <w:szCs w:val="24"/>
        </w:rPr>
        <w:t>Quality</w:t>
      </w:r>
      <w:r w:rsidRPr="00266809">
        <w:rPr>
          <w:i/>
          <w:sz w:val="24"/>
          <w:szCs w:val="24"/>
        </w:rPr>
        <w:t xml:space="preserve"> of included studies according to the </w:t>
      </w:r>
      <w:r w:rsidRPr="00266809">
        <w:rPr>
          <w:i/>
          <w:noProof/>
          <w:sz w:val="24"/>
          <w:szCs w:val="24"/>
        </w:rPr>
        <w:t>Newcastle Ottawa</w:t>
      </w:r>
      <w:r w:rsidRPr="00266809">
        <w:rPr>
          <w:i/>
          <w:sz w:val="24"/>
          <w:szCs w:val="24"/>
        </w:rPr>
        <w:t xml:space="preserve"> Scale</w:t>
      </w:r>
      <w:r w:rsidRPr="00266809">
        <w:rPr>
          <w:sz w:val="24"/>
          <w:szCs w:val="24"/>
        </w:rPr>
        <w:t xml:space="preserve">: </w:t>
      </w:r>
      <w:r>
        <w:rPr>
          <w:sz w:val="24"/>
          <w:szCs w:val="24"/>
        </w:rPr>
        <w:t>Sample s</w:t>
      </w:r>
      <w:r w:rsidRPr="00266809">
        <w:rPr>
          <w:sz w:val="24"/>
          <w:szCs w:val="24"/>
        </w:rPr>
        <w:t xml:space="preserve">election was an issue in nearly half of the included studies (17 studies had 2 out of 4 or </w:t>
      </w:r>
      <w:r w:rsidRPr="00266809">
        <w:rPr>
          <w:noProof/>
          <w:sz w:val="24"/>
          <w:szCs w:val="24"/>
        </w:rPr>
        <w:t>fewer</w:t>
      </w:r>
      <w:r w:rsidRPr="00266809">
        <w:rPr>
          <w:sz w:val="24"/>
          <w:szCs w:val="24"/>
        </w:rPr>
        <w:t xml:space="preserve"> stars). Only three studies had 4 out of 4 stars in the </w:t>
      </w:r>
      <w:r w:rsidRPr="00266809">
        <w:rPr>
          <w:noProof/>
          <w:sz w:val="24"/>
          <w:szCs w:val="24"/>
        </w:rPr>
        <w:t>selection category</w:t>
      </w:r>
      <w:r w:rsidRPr="00266809">
        <w:rPr>
          <w:sz w:val="24"/>
          <w:szCs w:val="24"/>
        </w:rPr>
        <w:t xml:space="preserve">, and 15 studies </w:t>
      </w:r>
      <w:r>
        <w:rPr>
          <w:sz w:val="24"/>
          <w:szCs w:val="24"/>
        </w:rPr>
        <w:t xml:space="preserve">had </w:t>
      </w:r>
      <w:r w:rsidRPr="00266809">
        <w:rPr>
          <w:sz w:val="24"/>
          <w:szCs w:val="24"/>
        </w:rPr>
        <w:t xml:space="preserve">3 out of 4 stars. Comparability between groups was adequate in most of the studies, which included key variables in the models or performed multiple models (26 studies had two out of two stars). Seven studies </w:t>
      </w:r>
      <w:r w:rsidRPr="00266809">
        <w:rPr>
          <w:noProof/>
          <w:sz w:val="24"/>
          <w:szCs w:val="24"/>
        </w:rPr>
        <w:t>did not</w:t>
      </w:r>
      <w:r w:rsidRPr="00266809">
        <w:rPr>
          <w:sz w:val="24"/>
          <w:szCs w:val="24"/>
        </w:rPr>
        <w:t xml:space="preserve"> reported </w:t>
      </w:r>
      <w:r w:rsidRPr="00266809">
        <w:rPr>
          <w:noProof/>
          <w:sz w:val="24"/>
          <w:szCs w:val="24"/>
        </w:rPr>
        <w:t>relevant</w:t>
      </w:r>
      <w:r w:rsidRPr="00266809">
        <w:rPr>
          <w:sz w:val="24"/>
          <w:szCs w:val="24"/>
        </w:rPr>
        <w:t xml:space="preserve"> variables for adjustment, such as chronic kidney disease or heart failure, and two studies reported unadjusted estimates only. </w:t>
      </w:r>
      <w:r w:rsidRPr="00266809">
        <w:rPr>
          <w:noProof/>
          <w:sz w:val="24"/>
          <w:szCs w:val="24"/>
        </w:rPr>
        <w:t>The outcome</w:t>
      </w:r>
      <w:r w:rsidRPr="00266809">
        <w:rPr>
          <w:sz w:val="24"/>
          <w:szCs w:val="24"/>
        </w:rPr>
        <w:t xml:space="preserve"> category was rated 3 out of 3 stars in only two studies. Most of the studies </w:t>
      </w:r>
      <w:r w:rsidRPr="00266809">
        <w:rPr>
          <w:noProof/>
          <w:sz w:val="24"/>
          <w:szCs w:val="24"/>
        </w:rPr>
        <w:t>were rated</w:t>
      </w:r>
      <w:r w:rsidRPr="00266809">
        <w:rPr>
          <w:sz w:val="24"/>
          <w:szCs w:val="24"/>
        </w:rPr>
        <w:t xml:space="preserve"> down secondary for reporting only in-hospital follow-up or considerable loss to follow-up rates (more than 10%). </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BMI measurement and analysis</w:t>
      </w:r>
      <w:r w:rsidRPr="00266809">
        <w:rPr>
          <w:sz w:val="24"/>
          <w:szCs w:val="24"/>
        </w:rPr>
        <w:t xml:space="preserve">: Twenty-two studies collected BMI during the admission period, and the remaining </w:t>
      </w:r>
      <w:r>
        <w:rPr>
          <w:sz w:val="24"/>
          <w:szCs w:val="24"/>
        </w:rPr>
        <w:t xml:space="preserve">recorded BMI </w:t>
      </w:r>
      <w:r w:rsidRPr="00266809">
        <w:rPr>
          <w:sz w:val="24"/>
          <w:szCs w:val="24"/>
        </w:rPr>
        <w:t xml:space="preserve">through medical records review or after patient discharge. None of the studies provided details of how weight and height </w:t>
      </w:r>
      <w:r w:rsidRPr="00266809">
        <w:rPr>
          <w:noProof/>
          <w:sz w:val="24"/>
          <w:szCs w:val="24"/>
        </w:rPr>
        <w:t>were measured</w:t>
      </w:r>
      <w:r w:rsidRPr="00266809">
        <w:rPr>
          <w:sz w:val="24"/>
          <w:szCs w:val="24"/>
        </w:rPr>
        <w:t xml:space="preserve">. BMI was analyzed as a continuous variable in 7 studies and as quartiles or quintiles in two other studies. Among those studies reporting adjusted estimates, 20 did the analysis through </w:t>
      </w:r>
      <w:r w:rsidRPr="00266809">
        <w:rPr>
          <w:noProof/>
          <w:sz w:val="24"/>
          <w:szCs w:val="24"/>
        </w:rPr>
        <w:t>Cox proportional</w:t>
      </w:r>
      <w:r w:rsidRPr="00266809">
        <w:rPr>
          <w:sz w:val="24"/>
          <w:szCs w:val="24"/>
        </w:rPr>
        <w:t xml:space="preserve"> hazards and 13 through multiple logistic regression. </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Qualitative synthesis</w:t>
      </w:r>
      <w:r w:rsidR="00DC7437">
        <w:rPr>
          <w:sz w:val="24"/>
          <w:szCs w:val="24"/>
        </w:rPr>
        <w:t>: Table 2</w:t>
      </w:r>
      <w:r w:rsidRPr="00266809">
        <w:rPr>
          <w:sz w:val="24"/>
          <w:szCs w:val="24"/>
        </w:rPr>
        <w:t xml:space="preserve"> summarizes the main findings of each included study. Among studies that analyzed BMI as a continuous variable, two detected association between BMI and mortality. </w:t>
      </w:r>
      <w:r w:rsidRPr="00266809">
        <w:rPr>
          <w:noProof/>
          <w:sz w:val="24"/>
          <w:szCs w:val="24"/>
        </w:rPr>
        <w:t>Camprubi et al. detected an OR 0.73 (95% CI 0.59 - 0.91), and Mahaffey et al. a HR 0.86 (95% CI 0.75 - 0.97) for each increase in 5 kg/m</w:t>
      </w:r>
      <w:r w:rsidRPr="00266809">
        <w:rPr>
          <w:noProof/>
          <w:sz w:val="24"/>
          <w:szCs w:val="24"/>
          <w:vertAlign w:val="superscript"/>
        </w:rPr>
        <w:t>2</w:t>
      </w:r>
      <w:r w:rsidRPr="00266809">
        <w:rPr>
          <w:noProof/>
          <w:sz w:val="24"/>
          <w:szCs w:val="24"/>
        </w:rPr>
        <w:t xml:space="preserve"> in patients with less than 30 </w:t>
      </w:r>
      <w:r w:rsidRPr="00266809">
        <w:rPr>
          <w:noProof/>
          <w:sz w:val="24"/>
          <w:szCs w:val="24"/>
        </w:rPr>
        <w:lastRenderedPageBreak/>
        <w:t>kg/m</w:t>
      </w:r>
      <w:r w:rsidRPr="00266809">
        <w:rPr>
          <w:noProof/>
          <w:sz w:val="24"/>
          <w:szCs w:val="24"/>
          <w:vertAlign w:val="superscript"/>
        </w:rPr>
        <w:t>2</w:t>
      </w:r>
      <w:r w:rsidRPr="00266809">
        <w:rPr>
          <w:noProof/>
          <w:sz w:val="24"/>
          <w:szCs w:val="24"/>
        </w:rPr>
        <w:t>.</w:t>
      </w:r>
      <w:r w:rsidRPr="00266809">
        <w:rPr>
          <w:noProof/>
          <w:sz w:val="24"/>
          <w:szCs w:val="24"/>
          <w:vertAlign w:val="superscript"/>
        </w:rPr>
        <w:t>1,2</w:t>
      </w:r>
      <w:r w:rsidRPr="00266809">
        <w:rPr>
          <w:noProof/>
          <w:sz w:val="24"/>
          <w:szCs w:val="24"/>
        </w:rPr>
        <w:t xml:space="preserve"> The remaining 5 studies that reported BMI as a continuous variable did not find statistical significance regarding BMI and mortality.</w:t>
      </w:r>
      <w:r w:rsidRPr="00266809">
        <w:rPr>
          <w:sz w:val="24"/>
          <w:szCs w:val="24"/>
        </w:rPr>
        <w:t xml:space="preserve"> From 24 studies that included an overweight category, this </w:t>
      </w:r>
      <w:r w:rsidRPr="00266809">
        <w:rPr>
          <w:noProof/>
          <w:sz w:val="24"/>
          <w:szCs w:val="24"/>
        </w:rPr>
        <w:t>was considered protective</w:t>
      </w:r>
      <w:r w:rsidRPr="00266809">
        <w:rPr>
          <w:sz w:val="24"/>
          <w:szCs w:val="24"/>
        </w:rPr>
        <w:t xml:space="preserve"> in 10 and </w:t>
      </w:r>
      <w:r w:rsidRPr="00266809">
        <w:rPr>
          <w:noProof/>
          <w:sz w:val="24"/>
          <w:szCs w:val="24"/>
        </w:rPr>
        <w:t>not statistical</w:t>
      </w:r>
      <w:r w:rsidRPr="00266809">
        <w:rPr>
          <w:sz w:val="24"/>
          <w:szCs w:val="24"/>
        </w:rPr>
        <w:t xml:space="preserve"> significant in the other 14. From the 28 studies analyzing obesity, 9 found it to be protective and 19 </w:t>
      </w:r>
      <w:r w:rsidRPr="00266809">
        <w:rPr>
          <w:noProof/>
          <w:sz w:val="24"/>
          <w:szCs w:val="24"/>
        </w:rPr>
        <w:t>not statistically</w:t>
      </w:r>
      <w:r w:rsidRPr="00266809">
        <w:rPr>
          <w:sz w:val="24"/>
          <w:szCs w:val="24"/>
        </w:rPr>
        <w:t xml:space="preserve"> significant. No included study detected that overweight or obesity </w:t>
      </w:r>
      <w:r w:rsidRPr="00266809">
        <w:rPr>
          <w:noProof/>
          <w:sz w:val="24"/>
          <w:szCs w:val="24"/>
        </w:rPr>
        <w:t>was related</w:t>
      </w:r>
      <w:r w:rsidRPr="00266809">
        <w:rPr>
          <w:sz w:val="24"/>
          <w:szCs w:val="24"/>
        </w:rPr>
        <w:t xml:space="preserve"> to an increased risk of mortality compared to normal weight. </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Quantitative synthesis:</w:t>
      </w:r>
      <w:r w:rsidRPr="00266809">
        <w:rPr>
          <w:sz w:val="24"/>
          <w:szCs w:val="24"/>
        </w:rPr>
        <w:t xml:space="preserve"> 19 studies (144,651 participants) reported BMI in categories, performed </w:t>
      </w:r>
      <w:r>
        <w:rPr>
          <w:sz w:val="24"/>
          <w:szCs w:val="24"/>
        </w:rPr>
        <w:t>multivariable</w:t>
      </w:r>
      <w:r w:rsidRPr="00266809">
        <w:rPr>
          <w:sz w:val="24"/>
          <w:szCs w:val="24"/>
        </w:rPr>
        <w:t xml:space="preserve"> analysis and presented estimates with their confidence intervals. Seven reported adjusted odds ratios and 12 adjusted hazard ratios. No interaction </w:t>
      </w:r>
      <w:r w:rsidRPr="00266809">
        <w:rPr>
          <w:noProof/>
          <w:sz w:val="24"/>
          <w:szCs w:val="24"/>
        </w:rPr>
        <w:t>was observed</w:t>
      </w:r>
      <w:r w:rsidRPr="00266809">
        <w:rPr>
          <w:sz w:val="24"/>
          <w:szCs w:val="24"/>
        </w:rPr>
        <w:t xml:space="preserve"> between studies reporting HR or </w:t>
      </w:r>
      <w:proofErr w:type="spellStart"/>
      <w:r w:rsidRPr="00266809">
        <w:rPr>
          <w:sz w:val="24"/>
          <w:szCs w:val="24"/>
        </w:rPr>
        <w:t>OR</w:t>
      </w:r>
      <w:proofErr w:type="spellEnd"/>
      <w:r w:rsidRPr="00266809">
        <w:rPr>
          <w:sz w:val="24"/>
          <w:szCs w:val="24"/>
        </w:rPr>
        <w:t xml:space="preserve"> (p = 0.32 and p = 0.67 for overweight or obesity </w:t>
      </w:r>
      <w:r w:rsidRPr="00266809">
        <w:rPr>
          <w:noProof/>
          <w:sz w:val="24"/>
          <w:szCs w:val="24"/>
        </w:rPr>
        <w:t>vs.</w:t>
      </w:r>
      <w:r w:rsidRPr="00266809">
        <w:rPr>
          <w:sz w:val="24"/>
          <w:szCs w:val="24"/>
        </w:rPr>
        <w:t xml:space="preserve"> normal weight, respectively). The overall HR/OR of all-cause death was 0.82 (95% CI 0.75 - 0.91; p &lt; 0.001; I</w:t>
      </w:r>
      <w:r w:rsidRPr="00266809">
        <w:rPr>
          <w:sz w:val="24"/>
          <w:szCs w:val="24"/>
          <w:vertAlign w:val="superscript"/>
        </w:rPr>
        <w:t>2</w:t>
      </w:r>
      <w:r w:rsidRPr="00266809">
        <w:rPr>
          <w:sz w:val="24"/>
          <w:szCs w:val="24"/>
        </w:rPr>
        <w:t xml:space="preserve"> 64%) for overweight and 0.81 (95% CI 0.73 - 0.91; p &lt; 0.001; I</w:t>
      </w:r>
      <w:r w:rsidRPr="00266809">
        <w:rPr>
          <w:sz w:val="24"/>
          <w:szCs w:val="24"/>
          <w:vertAlign w:val="superscript"/>
        </w:rPr>
        <w:t>2</w:t>
      </w:r>
      <w:r w:rsidRPr="00266809">
        <w:rPr>
          <w:sz w:val="24"/>
          <w:szCs w:val="24"/>
        </w:rPr>
        <w:t xml:space="preserve"> 56%) for obese patients (Figure 2A and 2B). </w:t>
      </w:r>
      <w:r w:rsidRPr="00266809">
        <w:rPr>
          <w:noProof/>
          <w:sz w:val="24"/>
          <w:szCs w:val="24"/>
        </w:rPr>
        <w:t xml:space="preserve">Heterogeneity couldn´t be explained by ACS subtype (Figure 3A and 3B), geographic region (Figure 4A and 4B), follow-up time (Figure 5A and 5B), study quality (Figure 6A and 6B) or source of the cohort (Figure 7A and 7B). Funnel plot inspection </w:t>
      </w:r>
      <w:r>
        <w:rPr>
          <w:noProof/>
          <w:sz w:val="24"/>
          <w:szCs w:val="24"/>
        </w:rPr>
        <w:t xml:space="preserve">did not suggest </w:t>
      </w:r>
      <w:r w:rsidRPr="00266809">
        <w:rPr>
          <w:noProof/>
          <w:sz w:val="24"/>
          <w:szCs w:val="24"/>
        </w:rPr>
        <w:t xml:space="preserve">publication bias (Figure 8). </w:t>
      </w:r>
    </w:p>
    <w:p w:rsidR="00842FA7" w:rsidRPr="00266809" w:rsidRDefault="00842FA7" w:rsidP="0052196B">
      <w:pPr>
        <w:pStyle w:val="Sinespaciado"/>
        <w:tabs>
          <w:tab w:val="left" w:pos="1809"/>
        </w:tabs>
        <w:spacing w:line="480" w:lineRule="auto"/>
        <w:jc w:val="both"/>
        <w:rPr>
          <w:sz w:val="24"/>
          <w:szCs w:val="24"/>
        </w:rPr>
      </w:pPr>
    </w:p>
    <w:p w:rsidR="00842FA7" w:rsidRPr="00266809" w:rsidRDefault="00842FA7" w:rsidP="0052196B">
      <w:pPr>
        <w:pStyle w:val="Sinespaciado"/>
        <w:tabs>
          <w:tab w:val="left" w:pos="1809"/>
        </w:tabs>
        <w:spacing w:line="480" w:lineRule="auto"/>
        <w:jc w:val="both"/>
        <w:rPr>
          <w:sz w:val="24"/>
          <w:szCs w:val="24"/>
        </w:rPr>
      </w:pPr>
      <w:r w:rsidRPr="00266809">
        <w:rPr>
          <w:sz w:val="24"/>
          <w:szCs w:val="24"/>
          <w:u w:val="single"/>
        </w:rPr>
        <w:t>Limitations:</w:t>
      </w:r>
    </w:p>
    <w:p w:rsidR="00842FA7" w:rsidRPr="00266809" w:rsidRDefault="00842FA7" w:rsidP="0052196B">
      <w:pPr>
        <w:pStyle w:val="Sinespaciado"/>
        <w:tabs>
          <w:tab w:val="left" w:pos="1809"/>
        </w:tabs>
        <w:spacing w:line="480" w:lineRule="auto"/>
        <w:ind w:firstLine="720"/>
        <w:jc w:val="both"/>
        <w:rPr>
          <w:sz w:val="24"/>
          <w:szCs w:val="24"/>
        </w:rPr>
      </w:pPr>
      <w:r w:rsidRPr="00266809">
        <w:rPr>
          <w:sz w:val="24"/>
          <w:szCs w:val="24"/>
        </w:rPr>
        <w:t xml:space="preserve">Some limitations deserve to </w:t>
      </w:r>
      <w:r w:rsidRPr="00266809">
        <w:rPr>
          <w:noProof/>
          <w:sz w:val="24"/>
          <w:szCs w:val="24"/>
        </w:rPr>
        <w:t>be mentioned</w:t>
      </w:r>
      <w:r w:rsidRPr="00266809">
        <w:rPr>
          <w:sz w:val="24"/>
          <w:szCs w:val="24"/>
        </w:rPr>
        <w:t xml:space="preserve">. First, our search may have missed relevant citations. The search strategy was planned to cover articles published from 2014, the </w:t>
      </w:r>
      <w:r w:rsidRPr="00266809">
        <w:rPr>
          <w:noProof/>
          <w:sz w:val="24"/>
          <w:szCs w:val="24"/>
        </w:rPr>
        <w:t>year</w:t>
      </w:r>
      <w:r w:rsidRPr="00266809">
        <w:rPr>
          <w:sz w:val="24"/>
          <w:szCs w:val="24"/>
        </w:rPr>
        <w:t xml:space="preserve"> that the available systematic review executed the electronic search. This past systematic review may not have included relevant </w:t>
      </w:r>
      <w:r w:rsidRPr="00266809">
        <w:rPr>
          <w:noProof/>
          <w:sz w:val="24"/>
          <w:szCs w:val="24"/>
        </w:rPr>
        <w:t>citations</w:t>
      </w:r>
      <w:r w:rsidRPr="00266809">
        <w:rPr>
          <w:sz w:val="24"/>
          <w:szCs w:val="24"/>
        </w:rPr>
        <w:t xml:space="preserve"> since we identified ten relevant studies published before </w:t>
      </w:r>
      <w:r w:rsidRPr="00266809">
        <w:rPr>
          <w:sz w:val="24"/>
          <w:szCs w:val="24"/>
        </w:rPr>
        <w:lastRenderedPageBreak/>
        <w:t xml:space="preserve">2014 from other sources. Also, title and abstract review as well as full-text review was not done in duplicate. Second, pooling adjusted estimates may raise the concern of pooled results </w:t>
      </w:r>
      <w:r w:rsidRPr="00266809">
        <w:rPr>
          <w:noProof/>
          <w:sz w:val="24"/>
          <w:szCs w:val="24"/>
        </w:rPr>
        <w:t>validity</w:t>
      </w:r>
      <w:r w:rsidRPr="00266809">
        <w:rPr>
          <w:sz w:val="24"/>
          <w:szCs w:val="24"/>
        </w:rPr>
        <w:t xml:space="preserve"> since</w:t>
      </w:r>
      <w:r>
        <w:rPr>
          <w:sz w:val="24"/>
          <w:szCs w:val="24"/>
        </w:rPr>
        <w:t xml:space="preserve"> that</w:t>
      </w:r>
      <w:r w:rsidRPr="00266809">
        <w:rPr>
          <w:sz w:val="24"/>
          <w:szCs w:val="24"/>
        </w:rPr>
        <w:t xml:space="preserve"> studies performed </w:t>
      </w:r>
      <w:r>
        <w:rPr>
          <w:sz w:val="24"/>
          <w:szCs w:val="24"/>
        </w:rPr>
        <w:t>multivariable</w:t>
      </w:r>
      <w:r w:rsidRPr="00266809">
        <w:rPr>
          <w:sz w:val="24"/>
          <w:szCs w:val="24"/>
        </w:rPr>
        <w:t xml:space="preserve"> analysis </w:t>
      </w:r>
      <w:r>
        <w:rPr>
          <w:sz w:val="24"/>
          <w:szCs w:val="24"/>
        </w:rPr>
        <w:t>demonstrated heterogeneity</w:t>
      </w:r>
      <w:r w:rsidRPr="00266809">
        <w:rPr>
          <w:sz w:val="24"/>
          <w:szCs w:val="24"/>
        </w:rPr>
        <w:t xml:space="preserve">. Third, pooling HR and OR into one estimate may not be </w:t>
      </w:r>
      <w:r>
        <w:rPr>
          <w:sz w:val="24"/>
          <w:szCs w:val="24"/>
        </w:rPr>
        <w:t>statistically</w:t>
      </w:r>
      <w:r w:rsidRPr="00266809">
        <w:rPr>
          <w:sz w:val="24"/>
          <w:szCs w:val="24"/>
        </w:rPr>
        <w:t xml:space="preserve"> correct. However, adjusted all-cause mortality estimates using HR or </w:t>
      </w:r>
      <w:proofErr w:type="spellStart"/>
      <w:r w:rsidRPr="00266809">
        <w:rPr>
          <w:sz w:val="24"/>
          <w:szCs w:val="24"/>
        </w:rPr>
        <w:t>OR</w:t>
      </w:r>
      <w:proofErr w:type="spellEnd"/>
      <w:r w:rsidRPr="00266809">
        <w:rPr>
          <w:sz w:val="24"/>
          <w:szCs w:val="24"/>
        </w:rPr>
        <w:t xml:space="preserve"> were similar among overweight and obese patients compared to normal weight. Finally, given the lack of enough representativeness of certain geographic regions and inadequate categorization of ACS types (e.g.: all pooled studies included STEMI), we cannot rule out interactions across these subgroups.</w:t>
      </w:r>
    </w:p>
    <w:p w:rsidR="00842FA7" w:rsidRPr="00266809" w:rsidRDefault="00842FA7" w:rsidP="0052196B">
      <w:pPr>
        <w:pStyle w:val="Sinespaciado"/>
        <w:tabs>
          <w:tab w:val="left" w:pos="1809"/>
        </w:tabs>
        <w:spacing w:line="480" w:lineRule="auto"/>
        <w:jc w:val="both"/>
        <w:rPr>
          <w:sz w:val="24"/>
          <w:szCs w:val="24"/>
        </w:rPr>
      </w:pPr>
    </w:p>
    <w:p w:rsidR="00842FA7" w:rsidRPr="00266809" w:rsidRDefault="00842FA7" w:rsidP="0052196B">
      <w:pPr>
        <w:pStyle w:val="Sinespaciado"/>
        <w:tabs>
          <w:tab w:val="left" w:pos="1809"/>
        </w:tabs>
        <w:spacing w:line="480" w:lineRule="auto"/>
        <w:jc w:val="both"/>
        <w:rPr>
          <w:sz w:val="24"/>
          <w:szCs w:val="24"/>
          <w:u w:val="single"/>
        </w:rPr>
      </w:pPr>
      <w:r w:rsidRPr="00266809">
        <w:rPr>
          <w:sz w:val="24"/>
          <w:szCs w:val="24"/>
          <w:u w:val="single"/>
        </w:rPr>
        <w:t>Conclusions:</w:t>
      </w:r>
    </w:p>
    <w:p w:rsidR="00842FA7" w:rsidRPr="00266809" w:rsidRDefault="00842FA7" w:rsidP="0052196B">
      <w:pPr>
        <w:pStyle w:val="Sinespaciado"/>
        <w:tabs>
          <w:tab w:val="left" w:pos="1809"/>
        </w:tabs>
        <w:spacing w:line="480" w:lineRule="auto"/>
        <w:ind w:firstLine="720"/>
        <w:jc w:val="both"/>
        <w:rPr>
          <w:sz w:val="24"/>
          <w:szCs w:val="24"/>
        </w:rPr>
      </w:pPr>
      <w:r w:rsidRPr="00266809">
        <w:rPr>
          <w:sz w:val="24"/>
          <w:szCs w:val="24"/>
        </w:rPr>
        <w:t xml:space="preserve">Among patients with ACS, overweight and obese patients (assessed using BMI) </w:t>
      </w:r>
      <w:r w:rsidRPr="00266809">
        <w:rPr>
          <w:noProof/>
          <w:sz w:val="24"/>
          <w:szCs w:val="24"/>
        </w:rPr>
        <w:t>were associated</w:t>
      </w:r>
      <w:r w:rsidRPr="00266809">
        <w:rPr>
          <w:sz w:val="24"/>
          <w:szCs w:val="24"/>
        </w:rPr>
        <w:t xml:space="preserve"> with reduced risk of all-cause mortality compared to normal weight. We </w:t>
      </w:r>
      <w:r w:rsidRPr="00266809">
        <w:rPr>
          <w:noProof/>
          <w:sz w:val="24"/>
          <w:szCs w:val="24"/>
        </w:rPr>
        <w:t>could not</w:t>
      </w:r>
      <w:r w:rsidRPr="00266809">
        <w:rPr>
          <w:sz w:val="24"/>
          <w:szCs w:val="24"/>
        </w:rPr>
        <w:t xml:space="preserve"> document interactions between the exposure and the effect on all-cause mortality based on ACS presentation, geographic region, follow-up time, and study quality or cohort source.</w:t>
      </w:r>
    </w:p>
    <w:p w:rsidR="00842FA7" w:rsidRPr="00266809" w:rsidRDefault="00842FA7" w:rsidP="0052196B">
      <w:pPr>
        <w:pStyle w:val="Sinespaciado"/>
        <w:tabs>
          <w:tab w:val="left" w:pos="1809"/>
        </w:tabs>
        <w:spacing w:line="480" w:lineRule="auto"/>
        <w:ind w:firstLine="720"/>
        <w:jc w:val="both"/>
        <w:rPr>
          <w:sz w:val="24"/>
          <w:szCs w:val="24"/>
        </w:rPr>
      </w:pPr>
      <w:r w:rsidRPr="00266809">
        <w:rPr>
          <w:sz w:val="24"/>
          <w:szCs w:val="24"/>
        </w:rPr>
        <w:t>Compared to the previously published unadjusted estimates meta-analysis (</w:t>
      </w:r>
      <w:r w:rsidRPr="00266809">
        <w:rPr>
          <w:noProof/>
          <w:sz w:val="24"/>
          <w:szCs w:val="24"/>
        </w:rPr>
        <w:t>overweight RR 0.70; 95 %CI 0.64–0.76; obese RR 0.70; 95 %CI 0.64–0.76</w:t>
      </w:r>
      <w:r w:rsidRPr="00266809">
        <w:rPr>
          <w:sz w:val="24"/>
          <w:szCs w:val="24"/>
        </w:rPr>
        <w:t xml:space="preserve">), our pooled results from adjusted estimates appears to be closer to the null, but still </w:t>
      </w:r>
      <w:r>
        <w:rPr>
          <w:sz w:val="24"/>
          <w:szCs w:val="24"/>
        </w:rPr>
        <w:t xml:space="preserve">highly </w:t>
      </w:r>
      <w:r w:rsidRPr="00266809">
        <w:rPr>
          <w:sz w:val="24"/>
          <w:szCs w:val="24"/>
        </w:rPr>
        <w:t>significant (overweight RR 0.82; 95% CI 0.75 - 0.91; I</w:t>
      </w:r>
      <w:r w:rsidRPr="00266809">
        <w:rPr>
          <w:sz w:val="24"/>
          <w:szCs w:val="24"/>
          <w:vertAlign w:val="superscript"/>
        </w:rPr>
        <w:t>2</w:t>
      </w:r>
      <w:r w:rsidRPr="00266809">
        <w:rPr>
          <w:sz w:val="24"/>
          <w:szCs w:val="24"/>
        </w:rPr>
        <w:t xml:space="preserve"> 64%; obese RR 0.81; 95% CI 0.73 - 0.91).</w:t>
      </w:r>
      <w:r w:rsidRPr="00266809">
        <w:rPr>
          <w:noProof/>
          <w:sz w:val="24"/>
          <w:szCs w:val="24"/>
          <w:vertAlign w:val="superscript"/>
        </w:rPr>
        <w:t>3</w:t>
      </w:r>
      <w:r w:rsidRPr="00266809">
        <w:rPr>
          <w:sz w:val="24"/>
          <w:szCs w:val="24"/>
        </w:rPr>
        <w:t xml:space="preserve"> </w:t>
      </w:r>
      <w:r w:rsidRPr="00266809">
        <w:rPr>
          <w:noProof/>
          <w:sz w:val="24"/>
          <w:szCs w:val="24"/>
        </w:rPr>
        <w:t>This was an expected result, given that, as previously mentioned in the first Chapter, obese patients tend to have ACS at a younger age, smoke less and have less chronic kidney disease, among other potential confounders.</w:t>
      </w:r>
      <w:r w:rsidRPr="00266809">
        <w:rPr>
          <w:noProof/>
          <w:sz w:val="24"/>
          <w:szCs w:val="24"/>
          <w:vertAlign w:val="superscript"/>
        </w:rPr>
        <w:t>3</w:t>
      </w:r>
      <w:r w:rsidRPr="00266809">
        <w:rPr>
          <w:sz w:val="24"/>
          <w:szCs w:val="24"/>
        </w:rPr>
        <w:t xml:space="preserve"> However, statistical and methodological heterogeneity, as well as other limitations, prevent us reporting definitive conclusions from this updated meta-analysis.</w:t>
      </w:r>
    </w:p>
    <w:p w:rsidR="00842FA7" w:rsidRDefault="00842FA7" w:rsidP="0052196B">
      <w:pPr>
        <w:pStyle w:val="Sinespaciado"/>
        <w:tabs>
          <w:tab w:val="left" w:pos="1809"/>
        </w:tabs>
        <w:spacing w:line="480" w:lineRule="auto"/>
        <w:ind w:firstLine="720"/>
        <w:jc w:val="both"/>
        <w:rPr>
          <w:sz w:val="24"/>
          <w:szCs w:val="24"/>
        </w:rPr>
      </w:pPr>
    </w:p>
    <w:p w:rsidR="00842FA7" w:rsidRPr="00266809" w:rsidRDefault="00842FA7" w:rsidP="0052196B">
      <w:pPr>
        <w:pStyle w:val="Sinespaciado"/>
        <w:tabs>
          <w:tab w:val="left" w:pos="1809"/>
        </w:tabs>
        <w:spacing w:line="480" w:lineRule="auto"/>
        <w:ind w:firstLine="720"/>
        <w:jc w:val="both"/>
        <w:rPr>
          <w:sz w:val="24"/>
          <w:szCs w:val="24"/>
        </w:rPr>
      </w:pPr>
    </w:p>
    <w:p w:rsidR="00842FA7" w:rsidRPr="00266809" w:rsidRDefault="00842FA7" w:rsidP="0052196B">
      <w:pPr>
        <w:pStyle w:val="Sinespaciado"/>
        <w:spacing w:line="480" w:lineRule="auto"/>
        <w:jc w:val="both"/>
        <w:rPr>
          <w:b/>
          <w:sz w:val="24"/>
          <w:szCs w:val="24"/>
        </w:rPr>
      </w:pPr>
      <w:r w:rsidRPr="00266809">
        <w:rPr>
          <w:b/>
          <w:sz w:val="24"/>
          <w:szCs w:val="24"/>
        </w:rPr>
        <w:t>Limitations of current evidence</w:t>
      </w:r>
    </w:p>
    <w:p w:rsidR="00842FA7" w:rsidRPr="00266809" w:rsidRDefault="00842FA7" w:rsidP="0052196B">
      <w:pPr>
        <w:pStyle w:val="Sinespaciado"/>
        <w:tabs>
          <w:tab w:val="left" w:pos="1809"/>
        </w:tabs>
        <w:spacing w:line="480" w:lineRule="auto"/>
        <w:ind w:firstLine="720"/>
        <w:jc w:val="both"/>
        <w:rPr>
          <w:sz w:val="24"/>
          <w:szCs w:val="24"/>
        </w:rPr>
      </w:pPr>
      <w:r w:rsidRPr="00266809">
        <w:rPr>
          <w:sz w:val="24"/>
          <w:szCs w:val="24"/>
          <w:u w:val="single"/>
        </w:rPr>
        <w:t>Limitations of available observational studies:</w:t>
      </w:r>
      <w:r w:rsidR="00DC7437">
        <w:rPr>
          <w:sz w:val="24"/>
          <w:szCs w:val="24"/>
        </w:rPr>
        <w:t xml:space="preserve"> Table 3</w:t>
      </w:r>
      <w:r w:rsidRPr="00266809">
        <w:rPr>
          <w:sz w:val="24"/>
          <w:szCs w:val="24"/>
        </w:rPr>
        <w:t xml:space="preserve"> summarizes study-level limitations not mentioned in previous tables. The most relevant and common limitations </w:t>
      </w:r>
      <w:r w:rsidRPr="00266809">
        <w:rPr>
          <w:noProof/>
          <w:sz w:val="24"/>
          <w:szCs w:val="24"/>
        </w:rPr>
        <w:t>are listed</w:t>
      </w:r>
      <w:r w:rsidRPr="00266809">
        <w:rPr>
          <w:sz w:val="24"/>
          <w:szCs w:val="24"/>
        </w:rPr>
        <w:t xml:space="preserve"> below:</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Missing BMI data</w:t>
      </w:r>
      <w:r w:rsidRPr="00266809">
        <w:rPr>
          <w:sz w:val="24"/>
          <w:szCs w:val="24"/>
        </w:rPr>
        <w:t xml:space="preserve">: Baseline BMI availability </w:t>
      </w:r>
      <w:r w:rsidRPr="00266809">
        <w:rPr>
          <w:noProof/>
          <w:sz w:val="24"/>
          <w:szCs w:val="24"/>
        </w:rPr>
        <w:t>was poorly reported</w:t>
      </w:r>
      <w:r w:rsidRPr="00266809">
        <w:rPr>
          <w:sz w:val="24"/>
          <w:szCs w:val="24"/>
        </w:rPr>
        <w:t xml:space="preserve"> and missing rates were significant in some studies</w:t>
      </w:r>
      <w:r>
        <w:rPr>
          <w:sz w:val="24"/>
          <w:szCs w:val="24"/>
        </w:rPr>
        <w:t xml:space="preserve"> (from 1% to 50% missing BMI data)</w:t>
      </w:r>
      <w:r w:rsidRPr="00266809">
        <w:rPr>
          <w:sz w:val="24"/>
          <w:szCs w:val="24"/>
        </w:rPr>
        <w:t xml:space="preserve">. Fifteen studies </w:t>
      </w:r>
      <w:r w:rsidRPr="00266809">
        <w:rPr>
          <w:noProof/>
          <w:sz w:val="24"/>
          <w:szCs w:val="24"/>
        </w:rPr>
        <w:t>did not</w:t>
      </w:r>
      <w:r w:rsidRPr="00266809">
        <w:rPr>
          <w:sz w:val="24"/>
          <w:szCs w:val="24"/>
        </w:rPr>
        <w:t xml:space="preserve"> report the amount of missing BMI on their full-text. From articles reporting BMI missing data (20), 6 reported less than 5% and 11 less than 10%. Overall, 24/35 studies </w:t>
      </w:r>
      <w:r w:rsidRPr="00266809">
        <w:rPr>
          <w:noProof/>
          <w:sz w:val="24"/>
          <w:szCs w:val="24"/>
        </w:rPr>
        <w:t>did not</w:t>
      </w:r>
      <w:r w:rsidRPr="00266809">
        <w:rPr>
          <w:sz w:val="24"/>
          <w:szCs w:val="24"/>
        </w:rPr>
        <w:t xml:space="preserve"> report or had more than 10% missing BMI data. Missing BMI data is unlikely to be at random. More critically ill and less compliant patients are likely to have more missing data on weight and height. </w:t>
      </w:r>
      <w:r w:rsidRPr="00266809">
        <w:rPr>
          <w:noProof/>
          <w:sz w:val="24"/>
          <w:szCs w:val="24"/>
        </w:rPr>
        <w:t>Angeras</w:t>
      </w:r>
      <w:r w:rsidRPr="00266809">
        <w:rPr>
          <w:sz w:val="24"/>
          <w:szCs w:val="24"/>
        </w:rPr>
        <w:t xml:space="preserve"> et al. and </w:t>
      </w:r>
      <w:proofErr w:type="spellStart"/>
      <w:r w:rsidRPr="00266809">
        <w:rPr>
          <w:sz w:val="24"/>
          <w:szCs w:val="24"/>
        </w:rPr>
        <w:t>Bulchoz</w:t>
      </w:r>
      <w:proofErr w:type="spellEnd"/>
      <w:r w:rsidRPr="00266809">
        <w:rPr>
          <w:sz w:val="24"/>
          <w:szCs w:val="24"/>
        </w:rPr>
        <w:t xml:space="preserve"> et al., with 25% and 6% missing data on BMI, respectively, were the only articles that analyzed the risk of those patients with missing BMI values.</w:t>
      </w:r>
      <w:r w:rsidRPr="00266809">
        <w:rPr>
          <w:noProof/>
          <w:sz w:val="24"/>
          <w:szCs w:val="24"/>
          <w:vertAlign w:val="superscript"/>
        </w:rPr>
        <w:t>4,5</w:t>
      </w:r>
      <w:r w:rsidRPr="00266809">
        <w:rPr>
          <w:noProof/>
          <w:sz w:val="24"/>
          <w:szCs w:val="24"/>
        </w:rPr>
        <w:t xml:space="preserve"> Both concluded that those participants with missing BMI had higher mortality risk compared to those with BMI data available (HR 1.65, 95% CI 1.53–1.77; and one year mortality of 14.9% vs. 6.3%; P &lt; 0.001; respectively).</w:t>
      </w:r>
      <w:r w:rsidRPr="00266809">
        <w:rPr>
          <w:sz w:val="24"/>
          <w:szCs w:val="24"/>
        </w:rPr>
        <w:t xml:space="preserve"> As a result, significant missing data on BMI</w:t>
      </w:r>
      <w:r>
        <w:rPr>
          <w:sz w:val="24"/>
          <w:szCs w:val="24"/>
        </w:rPr>
        <w:t xml:space="preserve"> may compromise results interpretation</w:t>
      </w:r>
      <w:r w:rsidRPr="00266809">
        <w:rPr>
          <w:sz w:val="24"/>
          <w:szCs w:val="24"/>
        </w:rPr>
        <w:t xml:space="preserve">. </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 xml:space="preserve">Missing </w:t>
      </w:r>
      <w:r w:rsidRPr="00266809">
        <w:rPr>
          <w:i/>
          <w:noProof/>
          <w:sz w:val="24"/>
          <w:szCs w:val="24"/>
        </w:rPr>
        <w:t>covariates</w:t>
      </w:r>
      <w:r w:rsidRPr="00266809">
        <w:rPr>
          <w:i/>
          <w:sz w:val="24"/>
          <w:szCs w:val="24"/>
        </w:rPr>
        <w:t xml:space="preserve"> data</w:t>
      </w:r>
      <w:r w:rsidRPr="00266809">
        <w:rPr>
          <w:sz w:val="24"/>
          <w:szCs w:val="24"/>
        </w:rPr>
        <w:t xml:space="preserve">: The amount missing </w:t>
      </w:r>
      <w:r>
        <w:rPr>
          <w:sz w:val="24"/>
          <w:szCs w:val="24"/>
        </w:rPr>
        <w:t>co-variate</w:t>
      </w:r>
      <w:r w:rsidRPr="00266809">
        <w:rPr>
          <w:sz w:val="24"/>
          <w:szCs w:val="24"/>
        </w:rPr>
        <w:t xml:space="preserve"> data </w:t>
      </w:r>
      <w:r>
        <w:rPr>
          <w:noProof/>
          <w:sz w:val="24"/>
          <w:szCs w:val="24"/>
        </w:rPr>
        <w:t>were</w:t>
      </w:r>
      <w:r w:rsidRPr="00266809">
        <w:rPr>
          <w:noProof/>
          <w:sz w:val="24"/>
          <w:szCs w:val="24"/>
        </w:rPr>
        <w:t xml:space="preserve"> not addressed</w:t>
      </w:r>
      <w:r w:rsidRPr="00266809">
        <w:rPr>
          <w:sz w:val="24"/>
          <w:szCs w:val="24"/>
        </w:rPr>
        <w:t xml:space="preserve"> in most of the studies (28/35). Of those articles reporting it (7), 6 had more than 10% missing data. </w:t>
      </w:r>
      <w:r w:rsidRPr="00266809">
        <w:rPr>
          <w:noProof/>
          <w:sz w:val="24"/>
          <w:szCs w:val="24"/>
        </w:rPr>
        <w:t>Angeras</w:t>
      </w:r>
      <w:r w:rsidRPr="00266809">
        <w:rPr>
          <w:sz w:val="24"/>
          <w:szCs w:val="24"/>
        </w:rPr>
        <w:t xml:space="preserve"> et al., including 64,436 patients with ACS followed for a mean of 21 months (the </w:t>
      </w:r>
      <w:r w:rsidRPr="00266809">
        <w:rPr>
          <w:sz w:val="24"/>
          <w:szCs w:val="24"/>
        </w:rPr>
        <w:lastRenderedPageBreak/>
        <w:t xml:space="preserve">largest study with follow-up after discharge), had 30% missing data on </w:t>
      </w:r>
      <w:r w:rsidRPr="00266809">
        <w:rPr>
          <w:noProof/>
          <w:sz w:val="24"/>
          <w:szCs w:val="24"/>
        </w:rPr>
        <w:t>relevant</w:t>
      </w:r>
      <w:r w:rsidRPr="00266809">
        <w:rPr>
          <w:sz w:val="24"/>
          <w:szCs w:val="24"/>
        </w:rPr>
        <w:t xml:space="preserve"> variables considered for the primary </w:t>
      </w:r>
      <w:r>
        <w:rPr>
          <w:sz w:val="24"/>
          <w:szCs w:val="24"/>
        </w:rPr>
        <w:t>multivariable</w:t>
      </w:r>
      <w:r w:rsidRPr="00266809">
        <w:rPr>
          <w:sz w:val="24"/>
          <w:szCs w:val="24"/>
        </w:rPr>
        <w:t xml:space="preserve"> analysis.</w:t>
      </w:r>
      <w:r w:rsidRPr="00266809">
        <w:rPr>
          <w:noProof/>
          <w:sz w:val="24"/>
          <w:szCs w:val="24"/>
          <w:vertAlign w:val="superscript"/>
        </w:rPr>
        <w:t>4</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In-hospital mortality</w:t>
      </w:r>
      <w:r w:rsidRPr="00266809">
        <w:rPr>
          <w:sz w:val="24"/>
          <w:szCs w:val="24"/>
        </w:rPr>
        <w:t xml:space="preserve">: Nine out of 35 studies reported only in-hospital mortality. This time frame may be considered too short for showing protective effects of increased BMI after ACS. </w:t>
      </w:r>
      <w:r w:rsidRPr="00266809">
        <w:rPr>
          <w:noProof/>
          <w:sz w:val="24"/>
          <w:szCs w:val="24"/>
        </w:rPr>
        <w:t>Except</w:t>
      </w:r>
      <w:r w:rsidRPr="00266809">
        <w:rPr>
          <w:sz w:val="24"/>
          <w:szCs w:val="24"/>
        </w:rPr>
        <w:t xml:space="preserve"> two studies</w:t>
      </w:r>
      <w:r>
        <w:rPr>
          <w:sz w:val="24"/>
          <w:szCs w:val="24"/>
        </w:rPr>
        <w:t xml:space="preserve"> that included 80,</w:t>
      </w:r>
      <w:r w:rsidRPr="00266809">
        <w:rPr>
          <w:sz w:val="24"/>
          <w:szCs w:val="24"/>
        </w:rPr>
        <w:t>000 and 50</w:t>
      </w:r>
      <w:r>
        <w:rPr>
          <w:sz w:val="24"/>
          <w:szCs w:val="24"/>
        </w:rPr>
        <w:t>,</w:t>
      </w:r>
      <w:r w:rsidRPr="00266809">
        <w:rPr>
          <w:sz w:val="24"/>
          <w:szCs w:val="24"/>
        </w:rPr>
        <w:t xml:space="preserve">000 participants respectively, in-hospital analysis had small number of events, limiting the </w:t>
      </w:r>
      <w:r>
        <w:rPr>
          <w:sz w:val="24"/>
          <w:szCs w:val="24"/>
        </w:rPr>
        <w:t>reliability</w:t>
      </w:r>
      <w:r w:rsidRPr="00266809">
        <w:rPr>
          <w:sz w:val="24"/>
          <w:szCs w:val="24"/>
        </w:rPr>
        <w:t xml:space="preserve"> of </w:t>
      </w:r>
      <w:r>
        <w:rPr>
          <w:noProof/>
          <w:sz w:val="24"/>
          <w:szCs w:val="24"/>
        </w:rPr>
        <w:t>multivariable</w:t>
      </w:r>
      <w:r w:rsidRPr="00266809">
        <w:rPr>
          <w:sz w:val="24"/>
          <w:szCs w:val="24"/>
        </w:rPr>
        <w:t xml:space="preserve"> analyses. For example, </w:t>
      </w:r>
      <w:proofErr w:type="spellStart"/>
      <w:r w:rsidRPr="00266809">
        <w:rPr>
          <w:sz w:val="24"/>
          <w:szCs w:val="24"/>
        </w:rPr>
        <w:t>Kosuge</w:t>
      </w:r>
      <w:proofErr w:type="spellEnd"/>
      <w:r w:rsidRPr="00266809">
        <w:rPr>
          <w:sz w:val="24"/>
          <w:szCs w:val="24"/>
        </w:rPr>
        <w:t xml:space="preserve"> et al. </w:t>
      </w:r>
      <w:r>
        <w:rPr>
          <w:noProof/>
          <w:sz w:val="24"/>
          <w:szCs w:val="24"/>
        </w:rPr>
        <w:t>included 3,</w:t>
      </w:r>
      <w:r w:rsidRPr="00266809">
        <w:rPr>
          <w:noProof/>
          <w:sz w:val="24"/>
          <w:szCs w:val="24"/>
        </w:rPr>
        <w:t>000 patients</w:t>
      </w:r>
      <w:r w:rsidRPr="00266809">
        <w:rPr>
          <w:sz w:val="24"/>
          <w:szCs w:val="24"/>
        </w:rPr>
        <w:t xml:space="preserve"> and reported 2 deaths in the obese category.</w:t>
      </w:r>
      <w:r w:rsidRPr="00266809">
        <w:rPr>
          <w:noProof/>
          <w:sz w:val="24"/>
          <w:szCs w:val="24"/>
          <w:vertAlign w:val="superscript"/>
        </w:rPr>
        <w:t>6</w:t>
      </w:r>
      <w:r w:rsidRPr="00266809">
        <w:rPr>
          <w:sz w:val="24"/>
          <w:szCs w:val="24"/>
        </w:rPr>
        <w:t xml:space="preserve"> Studies analyzing only in-hospital mortality accounted </w:t>
      </w:r>
      <w:r>
        <w:rPr>
          <w:sz w:val="24"/>
          <w:szCs w:val="24"/>
        </w:rPr>
        <w:t>for</w:t>
      </w:r>
      <w:r w:rsidRPr="00266809">
        <w:rPr>
          <w:sz w:val="24"/>
          <w:szCs w:val="24"/>
        </w:rPr>
        <w:t xml:space="preserve"> 48% (155,318/323,265) of patients across all studies and 12% (16,996/ 144,651) of the pooled estimates in our meta-analysis.</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Lost to follow-up</w:t>
      </w:r>
      <w:r w:rsidRPr="00266809">
        <w:rPr>
          <w:sz w:val="24"/>
          <w:szCs w:val="24"/>
        </w:rPr>
        <w:t xml:space="preserve">: Twenty-three (out of 28) studies </w:t>
      </w:r>
      <w:r w:rsidRPr="00266809">
        <w:rPr>
          <w:noProof/>
          <w:sz w:val="24"/>
          <w:szCs w:val="24"/>
        </w:rPr>
        <w:t>did not</w:t>
      </w:r>
      <w:r w:rsidRPr="00266809">
        <w:rPr>
          <w:sz w:val="24"/>
          <w:szCs w:val="24"/>
        </w:rPr>
        <w:t xml:space="preserve"> report missing data on vital status during follow-up. Two out of 5 studies had more than 10% lost to follow-up rates. Weinberg et al., which included 10,534 patients with STEMI and </w:t>
      </w:r>
      <w:r w:rsidRPr="00266809">
        <w:rPr>
          <w:noProof/>
          <w:sz w:val="24"/>
          <w:szCs w:val="24"/>
        </w:rPr>
        <w:t>were followed</w:t>
      </w:r>
      <w:r w:rsidRPr="00266809">
        <w:rPr>
          <w:sz w:val="24"/>
          <w:szCs w:val="24"/>
        </w:rPr>
        <w:t xml:space="preserve"> for 14 months, reported 35% lost to follow-up. Lost to follow-up is unlikely to be at random and may bias the results, especially with mortality. Lack of reporting may not </w:t>
      </w:r>
      <w:r w:rsidRPr="00266809">
        <w:rPr>
          <w:noProof/>
          <w:sz w:val="24"/>
          <w:szCs w:val="24"/>
        </w:rPr>
        <w:t>be necessarily related</w:t>
      </w:r>
      <w:r w:rsidRPr="00266809">
        <w:rPr>
          <w:sz w:val="24"/>
          <w:szCs w:val="24"/>
        </w:rPr>
        <w:t xml:space="preserve"> to high rates of lost to follow-up. </w:t>
      </w:r>
      <w:r w:rsidRPr="00266809">
        <w:rPr>
          <w:noProof/>
          <w:sz w:val="24"/>
          <w:szCs w:val="24"/>
        </w:rPr>
        <w:t>Many</w:t>
      </w:r>
      <w:r w:rsidRPr="00266809">
        <w:rPr>
          <w:sz w:val="24"/>
          <w:szCs w:val="24"/>
        </w:rPr>
        <w:t xml:space="preserve"> </w:t>
      </w:r>
      <w:r w:rsidRPr="00266809">
        <w:rPr>
          <w:noProof/>
          <w:sz w:val="24"/>
          <w:szCs w:val="24"/>
        </w:rPr>
        <w:t>industry-funded</w:t>
      </w:r>
      <w:r w:rsidRPr="00266809">
        <w:rPr>
          <w:sz w:val="24"/>
          <w:szCs w:val="24"/>
        </w:rPr>
        <w:t xml:space="preserve"> RCTs analysis in our review </w:t>
      </w:r>
      <w:r w:rsidRPr="00266809">
        <w:rPr>
          <w:noProof/>
          <w:sz w:val="24"/>
          <w:szCs w:val="24"/>
        </w:rPr>
        <w:t>did not</w:t>
      </w:r>
      <w:r w:rsidRPr="00266809">
        <w:rPr>
          <w:sz w:val="24"/>
          <w:szCs w:val="24"/>
        </w:rPr>
        <w:t xml:space="preserve"> report it, even though these studies </w:t>
      </w:r>
      <w:r w:rsidRPr="00266809">
        <w:rPr>
          <w:noProof/>
          <w:sz w:val="24"/>
          <w:szCs w:val="24"/>
        </w:rPr>
        <w:t xml:space="preserve">usually </w:t>
      </w:r>
      <w:r>
        <w:rPr>
          <w:noProof/>
          <w:sz w:val="24"/>
          <w:szCs w:val="24"/>
        </w:rPr>
        <w:t>have h</w:t>
      </w:r>
      <w:r w:rsidRPr="00266809">
        <w:rPr>
          <w:sz w:val="24"/>
          <w:szCs w:val="24"/>
        </w:rPr>
        <w:t>igh follow-up rates. However, lack or inadequate reporting is known to be related to bias, particularly in those non-RCT based cohorts.</w:t>
      </w:r>
      <w:r w:rsidRPr="00266809">
        <w:rPr>
          <w:noProof/>
          <w:sz w:val="24"/>
          <w:szCs w:val="24"/>
          <w:vertAlign w:val="superscript"/>
        </w:rPr>
        <w:t>7</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t>BMI analyzed as a continuous linear variable</w:t>
      </w:r>
      <w:r w:rsidRPr="00266809">
        <w:rPr>
          <w:sz w:val="24"/>
          <w:szCs w:val="24"/>
        </w:rPr>
        <w:t xml:space="preserve">: Seven studies analyzed BMI only as </w:t>
      </w:r>
      <w:r w:rsidRPr="00266809">
        <w:rPr>
          <w:noProof/>
          <w:sz w:val="24"/>
          <w:szCs w:val="24"/>
        </w:rPr>
        <w:t>a continuous variable in</w:t>
      </w:r>
      <w:r w:rsidRPr="00266809">
        <w:rPr>
          <w:sz w:val="24"/>
          <w:szCs w:val="24"/>
        </w:rPr>
        <w:t xml:space="preserve"> </w:t>
      </w:r>
      <w:r w:rsidRPr="00266809">
        <w:rPr>
          <w:noProof/>
          <w:sz w:val="24"/>
          <w:szCs w:val="24"/>
        </w:rPr>
        <w:t xml:space="preserve">their </w:t>
      </w:r>
      <w:r>
        <w:rPr>
          <w:noProof/>
          <w:sz w:val="24"/>
          <w:szCs w:val="24"/>
        </w:rPr>
        <w:t>multivariable</w:t>
      </w:r>
      <w:r w:rsidRPr="00266809">
        <w:rPr>
          <w:sz w:val="24"/>
          <w:szCs w:val="24"/>
        </w:rPr>
        <w:t xml:space="preserve"> analysis. Several studies observed a J- or U-shaped pattern between BMI and all-cause mortality, including primary preventions studies.</w:t>
      </w:r>
      <w:r w:rsidRPr="00266809">
        <w:rPr>
          <w:noProof/>
          <w:sz w:val="24"/>
          <w:szCs w:val="24"/>
          <w:vertAlign w:val="superscript"/>
        </w:rPr>
        <w:t>8-10</w:t>
      </w:r>
      <w:r w:rsidRPr="00266809">
        <w:rPr>
          <w:sz w:val="24"/>
          <w:szCs w:val="24"/>
        </w:rPr>
        <w:t xml:space="preserve"> </w:t>
      </w:r>
      <w:proofErr w:type="gramStart"/>
      <w:r w:rsidRPr="00266809">
        <w:rPr>
          <w:sz w:val="24"/>
          <w:szCs w:val="24"/>
        </w:rPr>
        <w:t>Thus</w:t>
      </w:r>
      <w:proofErr w:type="gramEnd"/>
      <w:r w:rsidRPr="00266809">
        <w:rPr>
          <w:sz w:val="24"/>
          <w:szCs w:val="24"/>
        </w:rPr>
        <w:t xml:space="preserve">, linear assessment of this association may not be appropriate. </w:t>
      </w:r>
    </w:p>
    <w:p w:rsidR="00842FA7" w:rsidRPr="00266809" w:rsidRDefault="00842FA7" w:rsidP="0052196B">
      <w:pPr>
        <w:pStyle w:val="Sinespaciado"/>
        <w:tabs>
          <w:tab w:val="left" w:pos="1809"/>
        </w:tabs>
        <w:spacing w:line="480" w:lineRule="auto"/>
        <w:ind w:firstLine="720"/>
        <w:jc w:val="both"/>
        <w:rPr>
          <w:sz w:val="24"/>
          <w:szCs w:val="24"/>
        </w:rPr>
      </w:pPr>
      <w:r w:rsidRPr="00266809">
        <w:rPr>
          <w:i/>
          <w:sz w:val="24"/>
          <w:szCs w:val="24"/>
        </w:rPr>
        <w:lastRenderedPageBreak/>
        <w:t>Other limitations</w:t>
      </w:r>
      <w:r w:rsidRPr="00266809">
        <w:rPr>
          <w:sz w:val="24"/>
          <w:szCs w:val="24"/>
        </w:rPr>
        <w:t xml:space="preserve">: Many other limitations </w:t>
      </w:r>
      <w:r w:rsidRPr="00266809">
        <w:rPr>
          <w:noProof/>
          <w:sz w:val="24"/>
          <w:szCs w:val="24"/>
        </w:rPr>
        <w:t>were detected</w:t>
      </w:r>
      <w:r w:rsidRPr="00266809">
        <w:rPr>
          <w:sz w:val="24"/>
          <w:szCs w:val="24"/>
        </w:rPr>
        <w:t xml:space="preserve"> </w:t>
      </w:r>
      <w:r w:rsidRPr="00266809">
        <w:rPr>
          <w:noProof/>
          <w:sz w:val="24"/>
          <w:szCs w:val="24"/>
        </w:rPr>
        <w:t>in</w:t>
      </w:r>
      <w:r w:rsidRPr="00266809">
        <w:rPr>
          <w:sz w:val="24"/>
          <w:szCs w:val="24"/>
        </w:rPr>
        <w:t xml:space="preserve"> the studies. First, many studies excluded a significant portion of the original cohorts, mainly </w:t>
      </w:r>
      <w:r>
        <w:rPr>
          <w:sz w:val="24"/>
          <w:szCs w:val="24"/>
        </w:rPr>
        <w:t>for</w:t>
      </w:r>
      <w:r w:rsidRPr="00266809">
        <w:rPr>
          <w:sz w:val="24"/>
          <w:szCs w:val="24"/>
        </w:rPr>
        <w:t xml:space="preserve"> missing data on BMI and other </w:t>
      </w:r>
      <w:r w:rsidRPr="00266809">
        <w:rPr>
          <w:noProof/>
          <w:sz w:val="24"/>
          <w:szCs w:val="24"/>
        </w:rPr>
        <w:t>covariates</w:t>
      </w:r>
      <w:r w:rsidRPr="00266809">
        <w:rPr>
          <w:sz w:val="24"/>
          <w:szCs w:val="24"/>
        </w:rPr>
        <w:t xml:space="preserve">. </w:t>
      </w:r>
      <w:r w:rsidRPr="00266809">
        <w:rPr>
          <w:noProof/>
          <w:sz w:val="24"/>
          <w:szCs w:val="24"/>
        </w:rPr>
        <w:t>Wienbergen</w:t>
      </w:r>
      <w:r w:rsidRPr="00266809">
        <w:rPr>
          <w:sz w:val="24"/>
          <w:szCs w:val="24"/>
        </w:rPr>
        <w:t xml:space="preserve"> et al. included just 22% of the original size of the registry.</w:t>
      </w:r>
      <w:r w:rsidRPr="00266809">
        <w:rPr>
          <w:noProof/>
          <w:sz w:val="24"/>
          <w:szCs w:val="24"/>
          <w:vertAlign w:val="superscript"/>
        </w:rPr>
        <w:t>11</w:t>
      </w:r>
      <w:r w:rsidRPr="00266809">
        <w:rPr>
          <w:sz w:val="24"/>
          <w:szCs w:val="24"/>
        </w:rPr>
        <w:t xml:space="preserve"> Second, many studies had </w:t>
      </w:r>
      <w:r w:rsidRPr="00266809">
        <w:rPr>
          <w:noProof/>
          <w:sz w:val="24"/>
          <w:szCs w:val="24"/>
        </w:rPr>
        <w:t>very low</w:t>
      </w:r>
      <w:r w:rsidRPr="00266809">
        <w:rPr>
          <w:sz w:val="24"/>
          <w:szCs w:val="24"/>
        </w:rPr>
        <w:t xml:space="preserve"> event rates in the obese categories. This was mainly due to small sample size, short follow-up period or low prevalence of</w:t>
      </w:r>
      <w:r>
        <w:rPr>
          <w:sz w:val="24"/>
          <w:szCs w:val="24"/>
        </w:rPr>
        <w:t xml:space="preserve"> high</w:t>
      </w:r>
      <w:r w:rsidRPr="00266809">
        <w:rPr>
          <w:sz w:val="24"/>
          <w:szCs w:val="24"/>
        </w:rPr>
        <w:t xml:space="preserve"> BMI among included patients. Third, some RCT-based cohorts had wide exclusion criteria, especially regarding bleeding risk, renal </w:t>
      </w:r>
      <w:r w:rsidRPr="00266809">
        <w:rPr>
          <w:noProof/>
          <w:sz w:val="24"/>
          <w:szCs w:val="24"/>
        </w:rPr>
        <w:t>failure,</w:t>
      </w:r>
      <w:r w:rsidRPr="00266809">
        <w:rPr>
          <w:sz w:val="24"/>
          <w:szCs w:val="24"/>
        </w:rPr>
        <w:t xml:space="preserve"> and other comorbidities. Finally, some big registries included mainly Caucasians, particularly those done in the United States. This may limit the validity of these results among other ethnicities in which a same BMI may represent different amounts of body fat.</w:t>
      </w:r>
    </w:p>
    <w:p w:rsidR="00842FA7" w:rsidRPr="00266809" w:rsidRDefault="00842FA7" w:rsidP="0052196B">
      <w:pPr>
        <w:pStyle w:val="Sinespaciado"/>
        <w:tabs>
          <w:tab w:val="left" w:pos="1809"/>
        </w:tabs>
        <w:spacing w:line="480" w:lineRule="auto"/>
        <w:jc w:val="both"/>
        <w:rPr>
          <w:sz w:val="24"/>
          <w:szCs w:val="24"/>
        </w:rPr>
      </w:pPr>
    </w:p>
    <w:p w:rsidR="00842FA7" w:rsidRPr="00266809" w:rsidRDefault="00842FA7" w:rsidP="0052196B">
      <w:pPr>
        <w:pStyle w:val="Sinespaciado"/>
        <w:spacing w:line="480" w:lineRule="auto"/>
        <w:jc w:val="both"/>
        <w:rPr>
          <w:sz w:val="24"/>
          <w:szCs w:val="24"/>
          <w:u w:val="single"/>
        </w:rPr>
      </w:pPr>
      <w:r w:rsidRPr="00266809">
        <w:rPr>
          <w:sz w:val="24"/>
          <w:szCs w:val="24"/>
          <w:u w:val="single"/>
        </w:rPr>
        <w:t>Limitations of systematic reviews and meta-analyses on this topic:</w:t>
      </w:r>
    </w:p>
    <w:p w:rsidR="00842FA7" w:rsidRPr="00266809" w:rsidRDefault="00842FA7" w:rsidP="0052196B">
      <w:pPr>
        <w:pStyle w:val="Sinespaciado"/>
        <w:spacing w:line="480" w:lineRule="auto"/>
        <w:ind w:firstLine="720"/>
        <w:jc w:val="both"/>
        <w:rPr>
          <w:sz w:val="24"/>
          <w:szCs w:val="24"/>
        </w:rPr>
      </w:pPr>
      <w:r w:rsidRPr="00266809">
        <w:rPr>
          <w:sz w:val="24"/>
          <w:szCs w:val="24"/>
        </w:rPr>
        <w:t>Beyond limitations of any systematic review and meta-analysis, such as publication bias and analysis of duplicate patient sets, there are some “specific” limitations in this research area:</w:t>
      </w:r>
    </w:p>
    <w:p w:rsidR="00842FA7" w:rsidRPr="00266809" w:rsidRDefault="00842FA7" w:rsidP="0052196B">
      <w:pPr>
        <w:pStyle w:val="Sinespaciado"/>
        <w:numPr>
          <w:ilvl w:val="0"/>
          <w:numId w:val="6"/>
        </w:numPr>
        <w:spacing w:line="480" w:lineRule="auto"/>
        <w:jc w:val="both"/>
        <w:rPr>
          <w:sz w:val="24"/>
          <w:szCs w:val="24"/>
        </w:rPr>
      </w:pPr>
      <w:r w:rsidRPr="00266809">
        <w:rPr>
          <w:sz w:val="24"/>
          <w:szCs w:val="24"/>
        </w:rPr>
        <w:t>Heterogeneity of BMI reporting: Studies usually report BMI with different cut points or groupings. This complicates the interpretation, and probably bias</w:t>
      </w:r>
      <w:r>
        <w:rPr>
          <w:sz w:val="24"/>
          <w:szCs w:val="24"/>
        </w:rPr>
        <w:t>es</w:t>
      </w:r>
      <w:r w:rsidRPr="00266809">
        <w:rPr>
          <w:sz w:val="24"/>
          <w:szCs w:val="24"/>
        </w:rPr>
        <w:t xml:space="preserve"> pooled estimates</w:t>
      </w:r>
      <w:r>
        <w:rPr>
          <w:sz w:val="24"/>
          <w:szCs w:val="24"/>
        </w:rPr>
        <w:t xml:space="preserve"> if the </w:t>
      </w:r>
      <w:proofErr w:type="spellStart"/>
      <w:r>
        <w:rPr>
          <w:sz w:val="24"/>
          <w:szCs w:val="24"/>
        </w:rPr>
        <w:t>cutpoints</w:t>
      </w:r>
      <w:proofErr w:type="spellEnd"/>
      <w:r>
        <w:rPr>
          <w:sz w:val="24"/>
          <w:szCs w:val="24"/>
        </w:rPr>
        <w:t xml:space="preserve"> were used to emphasize a specific conclusion</w:t>
      </w:r>
      <w:r w:rsidRPr="00763361">
        <w:rPr>
          <w:sz w:val="24"/>
          <w:szCs w:val="24"/>
        </w:rPr>
        <w:t xml:space="preserve">. </w:t>
      </w:r>
      <w:r w:rsidRPr="00763361">
        <w:rPr>
          <w:sz w:val="24"/>
        </w:rPr>
        <w:t>Those articles reporting normal BMI as less than 25 kg/m</w:t>
      </w:r>
      <w:r w:rsidRPr="00763361">
        <w:rPr>
          <w:sz w:val="24"/>
          <w:vertAlign w:val="superscript"/>
        </w:rPr>
        <w:t>2</w:t>
      </w:r>
      <w:r w:rsidRPr="00763361">
        <w:rPr>
          <w:sz w:val="24"/>
        </w:rPr>
        <w:t xml:space="preserve"> (including underweight as normal weight) </w:t>
      </w:r>
      <w:r w:rsidRPr="00763361">
        <w:rPr>
          <w:noProof/>
          <w:sz w:val="24"/>
          <w:szCs w:val="24"/>
        </w:rPr>
        <w:t>systematically increase</w:t>
      </w:r>
      <w:r w:rsidRPr="00763361">
        <w:rPr>
          <w:sz w:val="24"/>
          <w:szCs w:val="24"/>
        </w:rPr>
        <w:t xml:space="preserve"> the risk of normal weights, given that underweight patients are known to be at higher risk of all-cause mortality.</w:t>
      </w:r>
      <w:r w:rsidRPr="00266809">
        <w:rPr>
          <w:sz w:val="24"/>
          <w:szCs w:val="24"/>
        </w:rPr>
        <w:t xml:space="preserve"> Something similar occurs when overweight or obese patients </w:t>
      </w:r>
      <w:r w:rsidRPr="00266809">
        <w:rPr>
          <w:noProof/>
          <w:sz w:val="24"/>
          <w:szCs w:val="24"/>
        </w:rPr>
        <w:t>are presented</w:t>
      </w:r>
      <w:r w:rsidRPr="00266809">
        <w:rPr>
          <w:sz w:val="24"/>
          <w:szCs w:val="24"/>
        </w:rPr>
        <w:t xml:space="preserve"> in the same group as morbidly obese patients, also known to be at higher mortality risk.</w:t>
      </w:r>
    </w:p>
    <w:p w:rsidR="00842FA7" w:rsidRPr="00266809" w:rsidRDefault="00842FA7" w:rsidP="0052196B">
      <w:pPr>
        <w:pStyle w:val="Sinespaciado"/>
        <w:numPr>
          <w:ilvl w:val="0"/>
          <w:numId w:val="6"/>
        </w:numPr>
        <w:spacing w:line="480" w:lineRule="auto"/>
        <w:jc w:val="both"/>
        <w:rPr>
          <w:sz w:val="24"/>
          <w:szCs w:val="24"/>
        </w:rPr>
      </w:pPr>
      <w:r w:rsidRPr="00266809">
        <w:rPr>
          <w:sz w:val="24"/>
          <w:szCs w:val="24"/>
        </w:rPr>
        <w:lastRenderedPageBreak/>
        <w:t xml:space="preserve">Heterogeneity of adjustment methods: Most of the available literature performed </w:t>
      </w:r>
      <w:r>
        <w:rPr>
          <w:sz w:val="24"/>
          <w:szCs w:val="24"/>
        </w:rPr>
        <w:t>multivariable</w:t>
      </w:r>
      <w:r w:rsidRPr="00266809">
        <w:rPr>
          <w:sz w:val="24"/>
          <w:szCs w:val="24"/>
        </w:rPr>
        <w:t xml:space="preserve"> analysis, but two aspects limit poo</w:t>
      </w:r>
      <w:r>
        <w:rPr>
          <w:sz w:val="24"/>
          <w:szCs w:val="24"/>
        </w:rPr>
        <w:t>led</w:t>
      </w:r>
      <w:r w:rsidRPr="00266809">
        <w:rPr>
          <w:sz w:val="24"/>
          <w:szCs w:val="24"/>
        </w:rPr>
        <w:t xml:space="preserve"> estimates. First, the </w:t>
      </w:r>
      <w:r w:rsidRPr="00266809">
        <w:rPr>
          <w:noProof/>
          <w:sz w:val="24"/>
          <w:szCs w:val="24"/>
        </w:rPr>
        <w:t>primary</w:t>
      </w:r>
      <w:r w:rsidRPr="00266809">
        <w:rPr>
          <w:sz w:val="24"/>
          <w:szCs w:val="24"/>
        </w:rPr>
        <w:t xml:space="preserve"> method for doing the </w:t>
      </w:r>
      <w:r>
        <w:rPr>
          <w:noProof/>
          <w:sz w:val="24"/>
          <w:szCs w:val="24"/>
        </w:rPr>
        <w:t>multivariable</w:t>
      </w:r>
      <w:r w:rsidRPr="00266809">
        <w:rPr>
          <w:sz w:val="24"/>
          <w:szCs w:val="24"/>
        </w:rPr>
        <w:t xml:space="preserve"> analysis. </w:t>
      </w:r>
      <w:r w:rsidRPr="00266809">
        <w:rPr>
          <w:noProof/>
          <w:sz w:val="24"/>
          <w:szCs w:val="24"/>
        </w:rPr>
        <w:t>Some studies decided to present their data through multiple logistic regression (which output is OR on a single point in time) or Cox proportional hazards (which output is HR and considers data of those censored before follow-up was completed).</w:t>
      </w:r>
      <w:r w:rsidRPr="00266809">
        <w:rPr>
          <w:sz w:val="24"/>
          <w:szCs w:val="24"/>
        </w:rPr>
        <w:t xml:space="preserve"> A previous analysis </w:t>
      </w:r>
      <w:r w:rsidRPr="00266809">
        <w:rPr>
          <w:noProof/>
          <w:sz w:val="24"/>
          <w:szCs w:val="24"/>
        </w:rPr>
        <w:t>of</w:t>
      </w:r>
      <w:r w:rsidRPr="00266809">
        <w:rPr>
          <w:sz w:val="24"/>
          <w:szCs w:val="24"/>
        </w:rPr>
        <w:t xml:space="preserve"> 13 studies comparing results using OR </w:t>
      </w:r>
      <w:proofErr w:type="spellStart"/>
      <w:r w:rsidRPr="00266809">
        <w:rPr>
          <w:sz w:val="24"/>
          <w:szCs w:val="24"/>
        </w:rPr>
        <w:t>or</w:t>
      </w:r>
      <w:proofErr w:type="spellEnd"/>
      <w:r w:rsidRPr="00266809">
        <w:rPr>
          <w:sz w:val="24"/>
          <w:szCs w:val="24"/>
        </w:rPr>
        <w:t xml:space="preserve"> HR with individual patient data showed that the conclusion of the estimates changed in 4 studies.</w:t>
      </w:r>
      <w:r w:rsidRPr="00266809">
        <w:rPr>
          <w:noProof/>
          <w:sz w:val="24"/>
          <w:szCs w:val="24"/>
          <w:vertAlign w:val="superscript"/>
        </w:rPr>
        <w:t>12</w:t>
      </w:r>
      <w:r w:rsidRPr="00266809">
        <w:rPr>
          <w:sz w:val="24"/>
          <w:szCs w:val="24"/>
        </w:rPr>
        <w:t xml:space="preserve"> However, this analysis was done on cancer studies with high event rates. </w:t>
      </w:r>
      <w:r w:rsidRPr="00266809">
        <w:rPr>
          <w:noProof/>
          <w:sz w:val="24"/>
          <w:szCs w:val="24"/>
        </w:rPr>
        <w:t>If the majority of patients will have the event at the end of follow-up, HR provides the advantage of detecting differences in event rates compared to a single point in time analysis (OR), thus, providing different results.</w:t>
      </w:r>
      <w:r w:rsidRPr="00266809">
        <w:rPr>
          <w:sz w:val="24"/>
          <w:szCs w:val="24"/>
        </w:rPr>
        <w:t xml:space="preserve"> Second, the variables included in the </w:t>
      </w:r>
      <w:r>
        <w:rPr>
          <w:sz w:val="24"/>
          <w:szCs w:val="24"/>
        </w:rPr>
        <w:t>multivariable</w:t>
      </w:r>
      <w:r w:rsidRPr="00266809">
        <w:rPr>
          <w:sz w:val="24"/>
          <w:szCs w:val="24"/>
        </w:rPr>
        <w:t xml:space="preserve"> models changed considerably across studies. Even if the same variables </w:t>
      </w:r>
      <w:r w:rsidRPr="00266809">
        <w:rPr>
          <w:noProof/>
          <w:sz w:val="24"/>
          <w:szCs w:val="24"/>
        </w:rPr>
        <w:t>were included</w:t>
      </w:r>
      <w:r w:rsidRPr="00266809">
        <w:rPr>
          <w:sz w:val="24"/>
          <w:szCs w:val="24"/>
        </w:rPr>
        <w:t>, the way that variables were included in the model (continuous or categorical) and cut points were heterogeneous. As a result, pooled analysis has limitations that may bias results.</w:t>
      </w:r>
    </w:p>
    <w:p w:rsidR="00842FA7" w:rsidRPr="00266809" w:rsidRDefault="00842FA7" w:rsidP="0052196B">
      <w:pPr>
        <w:pStyle w:val="Sinespaciado"/>
        <w:numPr>
          <w:ilvl w:val="0"/>
          <w:numId w:val="6"/>
        </w:numPr>
        <w:spacing w:line="480" w:lineRule="auto"/>
        <w:jc w:val="both"/>
        <w:rPr>
          <w:sz w:val="24"/>
          <w:szCs w:val="24"/>
        </w:rPr>
      </w:pPr>
      <w:r w:rsidRPr="00266809">
        <w:rPr>
          <w:sz w:val="24"/>
          <w:szCs w:val="24"/>
        </w:rPr>
        <w:t xml:space="preserve">BMI analyzed as a continuous variable: BMI is a continuous variable that </w:t>
      </w:r>
      <w:r w:rsidRPr="00266809">
        <w:rPr>
          <w:noProof/>
          <w:sz w:val="24"/>
          <w:szCs w:val="24"/>
        </w:rPr>
        <w:t>is categorized</w:t>
      </w:r>
      <w:r w:rsidRPr="00266809">
        <w:rPr>
          <w:sz w:val="24"/>
          <w:szCs w:val="24"/>
        </w:rPr>
        <w:t xml:space="preserve"> for interpretation and </w:t>
      </w:r>
      <w:r w:rsidRPr="00266809">
        <w:rPr>
          <w:noProof/>
          <w:sz w:val="24"/>
          <w:szCs w:val="24"/>
        </w:rPr>
        <w:t>decision-making</w:t>
      </w:r>
      <w:r w:rsidRPr="00266809">
        <w:rPr>
          <w:sz w:val="24"/>
          <w:szCs w:val="24"/>
        </w:rPr>
        <w:t xml:space="preserve">. Although some cohorts with individual patient data performed continuous analysis for all-cause mortality (usually through </w:t>
      </w:r>
      <w:r>
        <w:rPr>
          <w:sz w:val="24"/>
          <w:szCs w:val="24"/>
        </w:rPr>
        <w:t>restricted cubic splines</w:t>
      </w:r>
      <w:r w:rsidRPr="00266809">
        <w:rPr>
          <w:sz w:val="24"/>
          <w:szCs w:val="24"/>
        </w:rPr>
        <w:t xml:space="preserve"> figures), this is not possible to do with aggregate data in systematic reviews. BMI analysis as a </w:t>
      </w:r>
      <w:r w:rsidRPr="00266809">
        <w:rPr>
          <w:noProof/>
          <w:sz w:val="24"/>
          <w:szCs w:val="24"/>
        </w:rPr>
        <w:t>continuous</w:t>
      </w:r>
      <w:r w:rsidRPr="00266809">
        <w:rPr>
          <w:sz w:val="24"/>
          <w:szCs w:val="24"/>
        </w:rPr>
        <w:t xml:space="preserve"> variable is </w:t>
      </w:r>
      <w:r w:rsidRPr="00266809">
        <w:rPr>
          <w:noProof/>
          <w:sz w:val="24"/>
          <w:szCs w:val="24"/>
        </w:rPr>
        <w:t>important</w:t>
      </w:r>
      <w:r w:rsidRPr="00266809">
        <w:rPr>
          <w:sz w:val="24"/>
          <w:szCs w:val="24"/>
        </w:rPr>
        <w:t xml:space="preserve"> since it may illustrate better the non-linear relationship with all-cause mortality, providing a better idea where the lowest risk range </w:t>
      </w:r>
      <w:r w:rsidRPr="00266809">
        <w:rPr>
          <w:noProof/>
          <w:sz w:val="24"/>
          <w:szCs w:val="24"/>
        </w:rPr>
        <w:t>is located</w:t>
      </w:r>
      <w:r w:rsidRPr="00266809">
        <w:rPr>
          <w:sz w:val="24"/>
          <w:szCs w:val="24"/>
        </w:rPr>
        <w:t>.</w:t>
      </w:r>
    </w:p>
    <w:p w:rsidR="00842FA7" w:rsidRPr="00266809" w:rsidRDefault="00842FA7" w:rsidP="0052196B">
      <w:pPr>
        <w:pStyle w:val="Sinespaciado"/>
        <w:numPr>
          <w:ilvl w:val="0"/>
          <w:numId w:val="6"/>
        </w:numPr>
        <w:spacing w:line="480" w:lineRule="auto"/>
        <w:jc w:val="both"/>
        <w:rPr>
          <w:sz w:val="24"/>
          <w:szCs w:val="24"/>
        </w:rPr>
      </w:pPr>
      <w:r w:rsidRPr="00266809">
        <w:rPr>
          <w:sz w:val="24"/>
          <w:szCs w:val="24"/>
        </w:rPr>
        <w:lastRenderedPageBreak/>
        <w:t xml:space="preserve">Subgroup and sensitivity analysis: Given that usually study aggregate data is available, subgroups and sensitivity analysis </w:t>
      </w:r>
      <w:r w:rsidRPr="00266809">
        <w:rPr>
          <w:noProof/>
          <w:sz w:val="24"/>
          <w:szCs w:val="24"/>
        </w:rPr>
        <w:t>are limited</w:t>
      </w:r>
      <w:r w:rsidRPr="00266809">
        <w:rPr>
          <w:sz w:val="24"/>
          <w:szCs w:val="24"/>
        </w:rPr>
        <w:t xml:space="preserve"> to study-level characteristics. For example, all the studies in our meta-analysis included STEMI, making </w:t>
      </w:r>
      <w:r>
        <w:rPr>
          <w:sz w:val="24"/>
          <w:szCs w:val="24"/>
        </w:rPr>
        <w:t xml:space="preserve">it </w:t>
      </w:r>
      <w:r w:rsidRPr="00266809">
        <w:rPr>
          <w:sz w:val="24"/>
          <w:szCs w:val="24"/>
        </w:rPr>
        <w:t xml:space="preserve">impossible </w:t>
      </w:r>
      <w:r w:rsidRPr="00266809">
        <w:rPr>
          <w:noProof/>
          <w:sz w:val="24"/>
          <w:szCs w:val="24"/>
        </w:rPr>
        <w:t xml:space="preserve">to perform </w:t>
      </w:r>
      <w:r w:rsidRPr="00266809">
        <w:rPr>
          <w:sz w:val="24"/>
          <w:szCs w:val="24"/>
        </w:rPr>
        <w:t xml:space="preserve">subgroup analysis regarding ACS presentation. </w:t>
      </w:r>
      <w:r w:rsidRPr="00266809">
        <w:rPr>
          <w:noProof/>
          <w:sz w:val="24"/>
          <w:szCs w:val="24"/>
        </w:rPr>
        <w:t>One of the major criticisms of articles describing the obesity paradox after ACS is the potential risk of reverse causation. Sensitivity analyses excluding certain subgroups of participants may help to clarify the impact of this particular</w:t>
      </w:r>
      <w:r w:rsidRPr="00266809">
        <w:rPr>
          <w:sz w:val="24"/>
          <w:szCs w:val="24"/>
        </w:rPr>
        <w:t xml:space="preserve"> bias.</w:t>
      </w:r>
      <w:r w:rsidRPr="00266809">
        <w:rPr>
          <w:noProof/>
          <w:sz w:val="24"/>
          <w:szCs w:val="24"/>
          <w:vertAlign w:val="superscript"/>
        </w:rPr>
        <w:t>13</w:t>
      </w:r>
      <w:r w:rsidRPr="00266809">
        <w:rPr>
          <w:noProof/>
          <w:sz w:val="24"/>
          <w:szCs w:val="24"/>
        </w:rPr>
        <w:t xml:space="preserve"> In systematic reviews without individual patient data, sensitivity analysis are limited to study-level characteristics.</w:t>
      </w:r>
    </w:p>
    <w:p w:rsidR="00842FA7" w:rsidRPr="00266809" w:rsidRDefault="00842FA7" w:rsidP="0052196B">
      <w:pPr>
        <w:pStyle w:val="Sinespaciado"/>
        <w:spacing w:line="480" w:lineRule="auto"/>
        <w:jc w:val="both"/>
        <w:rPr>
          <w:b/>
          <w:sz w:val="24"/>
          <w:szCs w:val="24"/>
        </w:rPr>
      </w:pPr>
    </w:p>
    <w:p w:rsidR="00842FA7" w:rsidRPr="00266809" w:rsidRDefault="00842FA7" w:rsidP="0052196B">
      <w:pPr>
        <w:pStyle w:val="Sinespaciado"/>
        <w:spacing w:line="480" w:lineRule="auto"/>
        <w:jc w:val="both"/>
        <w:rPr>
          <w:b/>
          <w:sz w:val="24"/>
          <w:szCs w:val="24"/>
        </w:rPr>
      </w:pPr>
      <w:r w:rsidRPr="00266809">
        <w:rPr>
          <w:b/>
          <w:sz w:val="24"/>
          <w:szCs w:val="24"/>
        </w:rPr>
        <w:t>Chapter summary</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This chapter provides a detailed background for justifying further research on the topic. The available literature still has several limitations that cannot be solved by new study-level meta-analysis. Also, several limitations of the available cohort studies threaten the interpretation and validity of results. Combining data quality from </w:t>
      </w:r>
      <w:r w:rsidRPr="00266809">
        <w:rPr>
          <w:noProof/>
          <w:sz w:val="24"/>
          <w:szCs w:val="24"/>
        </w:rPr>
        <w:t>well-executed</w:t>
      </w:r>
      <w:r w:rsidRPr="00266809">
        <w:rPr>
          <w:sz w:val="24"/>
          <w:szCs w:val="24"/>
        </w:rPr>
        <w:t xml:space="preserve"> clinical trials with individual patient data may offer new insights </w:t>
      </w:r>
      <w:r w:rsidRPr="00266809">
        <w:rPr>
          <w:noProof/>
          <w:sz w:val="24"/>
          <w:szCs w:val="24"/>
        </w:rPr>
        <w:t>into</w:t>
      </w:r>
      <w:r w:rsidRPr="00266809">
        <w:rPr>
          <w:sz w:val="24"/>
          <w:szCs w:val="24"/>
        </w:rPr>
        <w:t xml:space="preserve"> the understanding o</w:t>
      </w:r>
      <w:r w:rsidR="00DC7437">
        <w:rPr>
          <w:sz w:val="24"/>
          <w:szCs w:val="24"/>
        </w:rPr>
        <w:t>f the “obesity paradox”. Table 4</w:t>
      </w:r>
      <w:r w:rsidRPr="00266809">
        <w:rPr>
          <w:sz w:val="24"/>
          <w:szCs w:val="24"/>
        </w:rPr>
        <w:t xml:space="preserve"> presents the limitations of the current evidence along with the potential advantages of the proposed individual patient data meta-analysis. </w:t>
      </w:r>
    </w:p>
    <w:p w:rsidR="00842FA7" w:rsidRPr="00266809" w:rsidRDefault="00842FA7" w:rsidP="0052196B">
      <w:pPr>
        <w:pStyle w:val="Sinespaciado"/>
        <w:spacing w:line="480" w:lineRule="auto"/>
        <w:ind w:firstLine="720"/>
        <w:jc w:val="both"/>
        <w:rPr>
          <w:sz w:val="24"/>
          <w:szCs w:val="24"/>
        </w:rPr>
      </w:pPr>
      <w:r w:rsidRPr="00266809">
        <w:rPr>
          <w:sz w:val="24"/>
          <w:szCs w:val="24"/>
        </w:rPr>
        <w:t xml:space="preserve">The next chapter </w:t>
      </w:r>
      <w:r w:rsidRPr="00266809">
        <w:rPr>
          <w:noProof/>
          <w:sz w:val="24"/>
          <w:szCs w:val="24"/>
        </w:rPr>
        <w:t>introduces</w:t>
      </w:r>
      <w:r w:rsidRPr="00266809">
        <w:rPr>
          <w:sz w:val="24"/>
          <w:szCs w:val="24"/>
        </w:rPr>
        <w:t xml:space="preserve"> readers to individual patient data meta-analysis and its implications </w:t>
      </w:r>
      <w:r w:rsidRPr="00266809">
        <w:rPr>
          <w:noProof/>
          <w:sz w:val="24"/>
          <w:szCs w:val="24"/>
        </w:rPr>
        <w:t>for</w:t>
      </w:r>
      <w:r w:rsidRPr="00266809">
        <w:rPr>
          <w:sz w:val="24"/>
          <w:szCs w:val="24"/>
        </w:rPr>
        <w:t xml:space="preserve"> statistical analysis. Then, the methods of the </w:t>
      </w:r>
      <w:r w:rsidRPr="00266809">
        <w:rPr>
          <w:noProof/>
          <w:sz w:val="24"/>
          <w:szCs w:val="24"/>
        </w:rPr>
        <w:t>proposed</w:t>
      </w:r>
      <w:r w:rsidRPr="00266809">
        <w:rPr>
          <w:sz w:val="24"/>
          <w:szCs w:val="24"/>
        </w:rPr>
        <w:t xml:space="preserve"> individual patient data meta-analysis </w:t>
      </w:r>
      <w:r w:rsidRPr="00266809">
        <w:rPr>
          <w:noProof/>
          <w:sz w:val="24"/>
          <w:szCs w:val="24"/>
        </w:rPr>
        <w:t>are</w:t>
      </w:r>
      <w:r w:rsidRPr="00266809">
        <w:rPr>
          <w:sz w:val="24"/>
          <w:szCs w:val="24"/>
        </w:rPr>
        <w:t xml:space="preserve"> described.</w:t>
      </w:r>
    </w:p>
    <w:p w:rsidR="00842FA7" w:rsidRPr="00266809" w:rsidRDefault="00842FA7" w:rsidP="0052196B">
      <w:pPr>
        <w:pStyle w:val="Sinespaciado"/>
        <w:spacing w:line="480" w:lineRule="auto"/>
        <w:ind w:firstLine="720"/>
        <w:jc w:val="both"/>
        <w:rPr>
          <w:sz w:val="24"/>
          <w:szCs w:val="24"/>
        </w:rPr>
      </w:pPr>
    </w:p>
    <w:p w:rsidR="00842FA7" w:rsidRPr="00266809" w:rsidRDefault="00842FA7" w:rsidP="0052196B">
      <w:pPr>
        <w:spacing w:line="480" w:lineRule="auto"/>
        <w:jc w:val="both"/>
        <w:rPr>
          <w:sz w:val="24"/>
          <w:szCs w:val="24"/>
        </w:rPr>
      </w:pPr>
      <w:r w:rsidRPr="00266809">
        <w:rPr>
          <w:b/>
          <w:sz w:val="24"/>
          <w:szCs w:val="24"/>
        </w:rPr>
        <w:lastRenderedPageBreak/>
        <w:t>References</w:t>
      </w:r>
      <w:r w:rsidRPr="00266809">
        <w:rPr>
          <w:sz w:val="24"/>
          <w:szCs w:val="24"/>
        </w:rPr>
        <w:t>:</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w:t>
      </w:r>
      <w:r w:rsidRPr="00266809">
        <w:rPr>
          <w:rFonts w:ascii="Calibri" w:hAnsi="Calibri"/>
          <w:noProof/>
          <w:sz w:val="24"/>
          <w:szCs w:val="24"/>
        </w:rPr>
        <w:tab/>
        <w:t>Camprubi M, Cabrera S, Sans J, Vidal G, Salvado T, Bardaji A. Body mass index and hospital mortality in patients with acute coronary syndrome receiving care in a university hospital. Journal of obesity 2012;2012:287939.</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w:t>
      </w:r>
      <w:r w:rsidRPr="00266809">
        <w:rPr>
          <w:rFonts w:ascii="Calibri" w:hAnsi="Calibri"/>
          <w:noProof/>
          <w:sz w:val="24"/>
          <w:szCs w:val="24"/>
        </w:rPr>
        <w:tab/>
        <w:t>Mahaffey KW, Tonev ST, Spinler SA, et al. Obesity in patients with non-ST-segment elevation acute coronary syndromes: results from the SYNERGY trial. International journal of cardiology 2010;139:123-33.</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w:t>
      </w:r>
      <w:r w:rsidRPr="00266809">
        <w:rPr>
          <w:rFonts w:ascii="Calibri" w:hAnsi="Calibri"/>
          <w:noProof/>
          <w:sz w:val="24"/>
          <w:szCs w:val="24"/>
        </w:rPr>
        <w:tab/>
        <w:t>Niedziela J, Hudzik B, Niedziela N, et al. The obesity paradox in acute coronary syndrome: a meta-analysis. European journal of epidemiology 2014;29:801-12.</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4.</w:t>
      </w:r>
      <w:r w:rsidRPr="00266809">
        <w:rPr>
          <w:rFonts w:ascii="Calibri" w:hAnsi="Calibri"/>
          <w:noProof/>
          <w:sz w:val="24"/>
          <w:szCs w:val="24"/>
        </w:rPr>
        <w:tab/>
        <w:t>Angeras O, Albertsson P, Karason K, et al. Evidence for obesity paradox in patients with acute coronary syndromes: a report from the Swedish Coronary Angiography and Angioplasty Registry. European heart journal 2013;34:345-53.</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5.</w:t>
      </w:r>
      <w:r w:rsidRPr="00266809">
        <w:rPr>
          <w:rFonts w:ascii="Calibri" w:hAnsi="Calibri"/>
          <w:noProof/>
          <w:sz w:val="24"/>
          <w:szCs w:val="24"/>
        </w:rPr>
        <w:tab/>
        <w:t>Bucholz EM, Rathore SS, Reid KJ, et al. Body mass index and mortality in acute myocardial infarction patients. The American journal of medicine 2012;125:796-803.</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6.</w:t>
      </w:r>
      <w:r w:rsidRPr="00266809">
        <w:rPr>
          <w:rFonts w:ascii="Calibri" w:hAnsi="Calibri"/>
          <w:noProof/>
          <w:sz w:val="24"/>
          <w:szCs w:val="24"/>
        </w:rPr>
        <w:tab/>
        <w:t>Kosuge M, Kimura K, Kojima S, et al. Impact of body mass index on in-hospital outcomes after percutaneous coronary intervention for ST segment elevation acute myocardial infarction. Circulation journal : official journal of the Japanese Circulation Society 2008;72:521-5.</w:t>
      </w:r>
    </w:p>
    <w:p w:rsidR="00842FA7" w:rsidRPr="00266809" w:rsidRDefault="00842FA7" w:rsidP="0052196B">
      <w:pPr>
        <w:spacing w:after="0" w:line="480" w:lineRule="auto"/>
        <w:jc w:val="both"/>
        <w:rPr>
          <w:rFonts w:ascii="Calibri" w:hAnsi="Calibri"/>
          <w:noProof/>
          <w:sz w:val="24"/>
          <w:szCs w:val="24"/>
          <w:lang w:val="es-ES"/>
        </w:rPr>
      </w:pPr>
      <w:r w:rsidRPr="00266809">
        <w:rPr>
          <w:rFonts w:ascii="Calibri" w:hAnsi="Calibri"/>
          <w:noProof/>
          <w:sz w:val="24"/>
          <w:szCs w:val="24"/>
        </w:rPr>
        <w:t>7.</w:t>
      </w:r>
      <w:r w:rsidRPr="00266809">
        <w:rPr>
          <w:rFonts w:ascii="Calibri" w:hAnsi="Calibri"/>
          <w:noProof/>
          <w:sz w:val="24"/>
          <w:szCs w:val="24"/>
        </w:rPr>
        <w:tab/>
        <w:t xml:space="preserve">Kirkham JJ, Dwan KM, Altman DG, et al. The impact of outcome reporting bias in randomised controlled trials on a cohort of systematic reviews. </w:t>
      </w:r>
      <w:r w:rsidRPr="00266809">
        <w:rPr>
          <w:rFonts w:ascii="Calibri" w:hAnsi="Calibri"/>
          <w:noProof/>
          <w:sz w:val="24"/>
          <w:szCs w:val="24"/>
          <w:lang w:val="es-ES"/>
        </w:rPr>
        <w:t>BMJ 2010;340:c365.</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lang w:val="es-ES"/>
        </w:rPr>
        <w:t>8.</w:t>
      </w:r>
      <w:r w:rsidRPr="00266809">
        <w:rPr>
          <w:rFonts w:ascii="Calibri" w:hAnsi="Calibri"/>
          <w:noProof/>
          <w:sz w:val="24"/>
          <w:szCs w:val="24"/>
          <w:lang w:val="es-ES"/>
        </w:rPr>
        <w:tab/>
        <w:t xml:space="preserve">Berrington de Gonzalez A, Hartge P, Cerhan JR, et al. </w:t>
      </w:r>
      <w:r w:rsidRPr="00266809">
        <w:rPr>
          <w:rFonts w:ascii="Calibri" w:hAnsi="Calibri"/>
          <w:noProof/>
          <w:sz w:val="24"/>
          <w:szCs w:val="24"/>
        </w:rPr>
        <w:t>B</w:t>
      </w:r>
      <w:r w:rsidR="0052196B">
        <w:rPr>
          <w:rFonts w:ascii="Calibri" w:hAnsi="Calibri"/>
          <w:noProof/>
          <w:sz w:val="24"/>
          <w:szCs w:val="24"/>
        </w:rPr>
        <w:t>ody mass</w:t>
      </w:r>
      <w:r w:rsidRPr="00266809">
        <w:rPr>
          <w:rFonts w:ascii="Calibri" w:hAnsi="Calibri"/>
          <w:noProof/>
          <w:sz w:val="24"/>
          <w:szCs w:val="24"/>
        </w:rPr>
        <w:t xml:space="preserve"> index and mortality among 1.46 million white adults. The New England journal of medicine 2010;363:2211-9.</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lastRenderedPageBreak/>
        <w:t>9.</w:t>
      </w:r>
      <w:r w:rsidRPr="00266809">
        <w:rPr>
          <w:rFonts w:ascii="Calibri" w:hAnsi="Calibri"/>
          <w:noProof/>
          <w:sz w:val="24"/>
          <w:szCs w:val="24"/>
        </w:rPr>
        <w:tab/>
        <w:t>Hubert HB, Feinleib M, McNamara PM, Castelli WP. Obesity as an independent risk factor for cardiovascular disease: a 26-year follow-up of participants in the Framingham Heart Study. Circulation 1983;67:968-77.</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10.</w:t>
      </w:r>
      <w:r w:rsidRPr="00266809">
        <w:rPr>
          <w:rFonts w:ascii="Calibri" w:hAnsi="Calibri"/>
          <w:noProof/>
          <w:sz w:val="24"/>
          <w:szCs w:val="24"/>
        </w:rPr>
        <w:tab/>
        <w:t>Whitlock G, Lewington S, Sherliker P, et al. B</w:t>
      </w:r>
      <w:r w:rsidR="0052196B">
        <w:rPr>
          <w:rFonts w:ascii="Calibri" w:hAnsi="Calibri"/>
          <w:noProof/>
          <w:sz w:val="24"/>
          <w:szCs w:val="24"/>
        </w:rPr>
        <w:t>ody mass</w:t>
      </w:r>
      <w:r w:rsidRPr="00266809">
        <w:rPr>
          <w:rFonts w:ascii="Calibri" w:hAnsi="Calibri"/>
          <w:noProof/>
          <w:sz w:val="24"/>
          <w:szCs w:val="24"/>
        </w:rPr>
        <w:t xml:space="preserve"> index and cause-specific mortality in 900 000 adults: collaborative analyses of 57 prospective studies. Lancet 2009;373:1083-96.</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11.</w:t>
      </w:r>
      <w:r w:rsidRPr="00266809">
        <w:rPr>
          <w:rFonts w:ascii="Calibri" w:hAnsi="Calibri"/>
          <w:noProof/>
          <w:sz w:val="24"/>
          <w:szCs w:val="24"/>
        </w:rPr>
        <w:tab/>
        <w:t>Wienbergen H, Gitt AK, Juenger C, et al. Impact of the body mass index on occurrence and outcome of acute ST-elevation myocardial infarction. Clinical research in cardiology : official journal of the German Cardiac Society 2008;97:83-8.</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12.</w:t>
      </w:r>
      <w:r w:rsidRPr="00266809">
        <w:rPr>
          <w:rFonts w:ascii="Calibri" w:hAnsi="Calibri"/>
          <w:noProof/>
          <w:sz w:val="24"/>
          <w:szCs w:val="24"/>
        </w:rPr>
        <w:tab/>
        <w:t>Michiels S, Piedbois P, Burdett S, Syz N, Stewart L, Pignon JP. Meta-analysis when only the median survival times are known: a comparison with individual patient data results. International journal of technology assessment in health care 2005;21:119-25.</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13.</w:t>
      </w:r>
      <w:r w:rsidRPr="00266809">
        <w:rPr>
          <w:rFonts w:ascii="Calibri" w:hAnsi="Calibri"/>
          <w:noProof/>
          <w:sz w:val="24"/>
          <w:szCs w:val="24"/>
        </w:rPr>
        <w:tab/>
        <w:t>Flegal KM, Graubard BI, Williamson DF, Cooper RS. Reverse causation and illness-related weight loss in observational studies of body weight and mortality. American journal of epidemiology 2011;173:1-9.</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14.</w:t>
      </w:r>
      <w:r w:rsidRPr="00266809">
        <w:rPr>
          <w:rFonts w:ascii="Calibri" w:hAnsi="Calibri"/>
          <w:noProof/>
          <w:sz w:val="24"/>
          <w:szCs w:val="24"/>
        </w:rPr>
        <w:tab/>
        <w:t>Hoit BD, Gilpin EA, Maisel AA, Henning H, Carlisle J, Ross J, Jr. Influence of obesity on morbidity and mortality after acute myocardial infarction. American heart journal 1987;114:1334-41.</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15.</w:t>
      </w:r>
      <w:r w:rsidRPr="00266809">
        <w:rPr>
          <w:rFonts w:ascii="Calibri" w:hAnsi="Calibri"/>
          <w:noProof/>
          <w:sz w:val="24"/>
          <w:szCs w:val="24"/>
        </w:rPr>
        <w:tab/>
        <w:t>Kaplan RC, Heckbert SR, Furberg CD, Psaty BM. Predictors of subsequent coronary events, stroke, and death among survivors of first hospitalized myocardial infarction. Journal of clinical epidemiology 2002;55:654-64.</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lastRenderedPageBreak/>
        <w:t>16.</w:t>
      </w:r>
      <w:r w:rsidRPr="00266809">
        <w:rPr>
          <w:rFonts w:ascii="Calibri" w:hAnsi="Calibri"/>
          <w:noProof/>
          <w:sz w:val="24"/>
          <w:szCs w:val="24"/>
        </w:rPr>
        <w:tab/>
        <w:t>Ness AR, Gunnell D, Hughes J, Elwood PC, Davey Smith G, Burr ML. Height, body mass index, and survival in men with coronary disease: follow up of the diet and reinfarction trial (DART). Journal of epidemiology and community health 2002;56:218-9.</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17.</w:t>
      </w:r>
      <w:r w:rsidRPr="00266809">
        <w:rPr>
          <w:rFonts w:ascii="Calibri" w:hAnsi="Calibri"/>
          <w:noProof/>
          <w:sz w:val="24"/>
          <w:szCs w:val="24"/>
        </w:rPr>
        <w:tab/>
        <w:t>Lopez-Jimenez F, Jacobsen SJ, Reeder GS, Weston SA, Meverden RA, Roger VL. Prevalence and secular trends of excess body weight and impact on outcomes after myocardial infarction in the community. Chest 2004;125:1205-12.</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18.</w:t>
      </w:r>
      <w:r w:rsidRPr="00266809">
        <w:rPr>
          <w:rFonts w:ascii="Calibri" w:hAnsi="Calibri"/>
          <w:noProof/>
          <w:sz w:val="24"/>
          <w:szCs w:val="24"/>
        </w:rPr>
        <w:tab/>
        <w:t>Rana JS, Mukamal KJ, Morgan JP, Muller JE, Mittleman MA. Obesity and the risk of death after acute myocardial infarction. American heart journal 2004;147:841-6.</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19.</w:t>
      </w:r>
      <w:r w:rsidRPr="00266809">
        <w:rPr>
          <w:rFonts w:ascii="Calibri" w:hAnsi="Calibri"/>
          <w:noProof/>
          <w:sz w:val="24"/>
          <w:szCs w:val="24"/>
        </w:rPr>
        <w:tab/>
        <w:t>Eisenstein EL, McGuire DK, Bhapkar MV, et al. Elevated body mass index and intermediate-term clinical outcomes after acute coronary syndromes. The American journal of medicine 2005;118:981-90.</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20.</w:t>
      </w:r>
      <w:r w:rsidRPr="00266809">
        <w:rPr>
          <w:rFonts w:ascii="Calibri" w:hAnsi="Calibri"/>
          <w:noProof/>
          <w:sz w:val="24"/>
          <w:szCs w:val="24"/>
        </w:rPr>
        <w:tab/>
        <w:t>Kennedy LM, Dickstein K, Anker SD, Kristianson K, Willenheimer R. The prognostic importance of body mass index after complicated myocardial infarction. Journal of the American College of Cardiology 2005;45:156-8.</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21.</w:t>
      </w:r>
      <w:r w:rsidRPr="00266809">
        <w:rPr>
          <w:rFonts w:ascii="Calibri" w:hAnsi="Calibri"/>
          <w:noProof/>
          <w:sz w:val="24"/>
          <w:szCs w:val="24"/>
        </w:rPr>
        <w:tab/>
        <w:t>Kragelund C, Hassager C, Hildebrandt P, Torp-Pedersen C, Kober L. Impact of obesity on long-term prognosis following acute myocardial infarction. International journal of cardiology 2005;98:123-31.</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22.</w:t>
      </w:r>
      <w:r w:rsidRPr="00266809">
        <w:rPr>
          <w:rFonts w:ascii="Calibri" w:hAnsi="Calibri"/>
          <w:noProof/>
          <w:sz w:val="24"/>
          <w:szCs w:val="24"/>
        </w:rPr>
        <w:tab/>
        <w:t>Nigam A, Wright RS, Allison TG, et al. Excess weight at time of presentation of myocardial infarction is associated with lower initial mortality risks but higher long-term risks including recurrent re-infarction and cardiac death. International journal of cardiology 2006;110:153-9.</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lastRenderedPageBreak/>
        <w:t>23.</w:t>
      </w:r>
      <w:r w:rsidRPr="00266809">
        <w:rPr>
          <w:rFonts w:ascii="Calibri" w:hAnsi="Calibri"/>
          <w:noProof/>
          <w:sz w:val="24"/>
          <w:szCs w:val="24"/>
        </w:rPr>
        <w:tab/>
        <w:t>Diercks DB, Roe MT, Mulgund J, et al. The obesity paradox in non-ST-segment elevation acute coronary syndromes: results from the Can Rapid risk stratification of Unstable angina patients Suppress ADverse outcomes with Early implementation of the American College of Cardiology/American Heart Association Guidelines Quality Improvement Initiative. American heart journal 2006;152:140-8.</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24.</w:t>
      </w:r>
      <w:r w:rsidRPr="00266809">
        <w:rPr>
          <w:rFonts w:ascii="Calibri" w:hAnsi="Calibri"/>
          <w:noProof/>
          <w:sz w:val="24"/>
          <w:szCs w:val="24"/>
        </w:rPr>
        <w:tab/>
        <w:t>Goldberg RJ, Cui J, Olendzki B, et al. Excess body weight, clinical profile, management practices, and hospital prognosis in men and women after acute myocardial infarction. American heart journal 2006;151:1297-304.</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25.</w:t>
      </w:r>
      <w:r w:rsidRPr="00266809">
        <w:rPr>
          <w:rFonts w:ascii="Calibri" w:hAnsi="Calibri"/>
          <w:noProof/>
          <w:sz w:val="24"/>
          <w:szCs w:val="24"/>
        </w:rPr>
        <w:tab/>
        <w:t>Iakobishvili Z, Danicek V, Porter A, Assali AR, Battler A, Hasdai D. Is increased body mass index associated with a cardioprotective effect after ST-segment-elevation myocardial infarction? Acute cardiac care 2006;8:95-8.</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26.</w:t>
      </w:r>
      <w:r w:rsidRPr="00266809">
        <w:rPr>
          <w:rFonts w:ascii="Calibri" w:hAnsi="Calibri"/>
          <w:noProof/>
          <w:sz w:val="24"/>
          <w:szCs w:val="24"/>
        </w:rPr>
        <w:tab/>
        <w:t>Nikolsky E, Stone GW, Grines CL, et al. Impact of body mass index on outcomes after primary angioplasty in acute myocardial infarction. American heart journal 2006;151:168-75.</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27.</w:t>
      </w:r>
      <w:r w:rsidRPr="00266809">
        <w:rPr>
          <w:rFonts w:ascii="Calibri" w:hAnsi="Calibri"/>
          <w:noProof/>
          <w:sz w:val="24"/>
          <w:szCs w:val="24"/>
        </w:rPr>
        <w:tab/>
        <w:t>Wells B, Gentry M, Ruiz-Arango A, Dias J, Landolfo CK. Relation between body mass index and clinical outcome in acute myocardial infarction. The American journal of cardiology 2006;98:474-7.</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28.</w:t>
      </w:r>
      <w:r w:rsidRPr="00266809">
        <w:rPr>
          <w:rFonts w:ascii="Calibri" w:hAnsi="Calibri"/>
          <w:noProof/>
          <w:sz w:val="24"/>
          <w:szCs w:val="24"/>
        </w:rPr>
        <w:tab/>
        <w:t>Buettner HJ, Mueller C, Gick M, et al. The impact of obesity on mortality in UA/non-ST-segment elevation myocardial infarction. European heart journal 2007;28:1694-701.</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29.</w:t>
      </w:r>
      <w:r w:rsidRPr="00266809">
        <w:rPr>
          <w:rFonts w:ascii="Calibri" w:hAnsi="Calibri"/>
          <w:noProof/>
          <w:sz w:val="24"/>
          <w:szCs w:val="24"/>
        </w:rPr>
        <w:tab/>
        <w:t>Mehta L, Devlin W, McCullough PA, et al. Impact of body mass index on outcomes after percutaneous coronary intervention in patients with acute myocardial infarction. The American journal of cardiology 2007;99:906-10.</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lastRenderedPageBreak/>
        <w:t>30.</w:t>
      </w:r>
      <w:r w:rsidRPr="00266809">
        <w:rPr>
          <w:rFonts w:ascii="Calibri" w:hAnsi="Calibri"/>
          <w:noProof/>
          <w:sz w:val="24"/>
          <w:szCs w:val="24"/>
        </w:rPr>
        <w:tab/>
        <w:t>Lee SH, Park JS, Kim W, et al. Impact of body mass index and waist-to-hip ratio on clinical outcomes in patients with ST-segment elevation acute myocardial infarction (from the Korean Acute Myocardial Infarction Registry). The American journal of cardiology 2008;102:957-65.</w:t>
      </w:r>
    </w:p>
    <w:p w:rsidR="00842FA7" w:rsidRPr="00266809" w:rsidRDefault="00842FA7" w:rsidP="0052196B">
      <w:pPr>
        <w:spacing w:after="0" w:line="480" w:lineRule="auto"/>
        <w:jc w:val="both"/>
        <w:rPr>
          <w:rFonts w:ascii="Calibri" w:hAnsi="Calibri"/>
          <w:noProof/>
          <w:sz w:val="24"/>
          <w:szCs w:val="24"/>
        </w:rPr>
      </w:pPr>
      <w:r w:rsidRPr="00F04EB4">
        <w:rPr>
          <w:rFonts w:ascii="Calibri" w:hAnsi="Calibri"/>
          <w:noProof/>
          <w:sz w:val="24"/>
          <w:szCs w:val="24"/>
        </w:rPr>
        <w:t>31.</w:t>
      </w:r>
      <w:r w:rsidRPr="00F04EB4">
        <w:rPr>
          <w:rFonts w:ascii="Calibri" w:hAnsi="Calibri"/>
          <w:noProof/>
          <w:sz w:val="24"/>
          <w:szCs w:val="24"/>
        </w:rPr>
        <w:tab/>
        <w:t xml:space="preserve">Lopez-Jimenez F, Wu CO, Tian X, et al. </w:t>
      </w:r>
      <w:r w:rsidRPr="00266809">
        <w:rPr>
          <w:rFonts w:ascii="Calibri" w:hAnsi="Calibri"/>
          <w:noProof/>
          <w:sz w:val="24"/>
          <w:szCs w:val="24"/>
        </w:rPr>
        <w:t>Weight change after myocardial infarction--the Enhancing Recovery in Coronary Heart Disease patients (ENRICHD) experience. American heart journal 2008;155:478-84.</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32.</w:t>
      </w:r>
      <w:r w:rsidRPr="00266809">
        <w:rPr>
          <w:rFonts w:ascii="Calibri" w:hAnsi="Calibri"/>
          <w:noProof/>
          <w:sz w:val="24"/>
          <w:szCs w:val="24"/>
        </w:rPr>
        <w:tab/>
        <w:t>Zeller M, Steg PG, Ravisy J, et al. Relation between body mass index, waist circumference, and death after acute myocardial infarction. Circulation 2008;118:482-90.</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33.</w:t>
      </w:r>
      <w:r w:rsidRPr="00266809">
        <w:rPr>
          <w:rFonts w:ascii="Calibri" w:hAnsi="Calibri"/>
          <w:noProof/>
          <w:sz w:val="24"/>
          <w:szCs w:val="24"/>
        </w:rPr>
        <w:tab/>
        <w:t>Aronson D, Nassar M, Goldberg T, Kapeliovich M, Hammerman H, Azzam ZS. The impact of body mass index on clinical outcomes after acute myocardial infarction. International journal of cardiology 2010;145:476-80.</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34.</w:t>
      </w:r>
      <w:r w:rsidRPr="00266809">
        <w:rPr>
          <w:rFonts w:ascii="Calibri" w:hAnsi="Calibri"/>
          <w:noProof/>
          <w:sz w:val="24"/>
          <w:szCs w:val="24"/>
        </w:rPr>
        <w:tab/>
        <w:t>Hadi HA, Zubaid M, Al Mahmeed W, et al. The prevalence and outcome of excess body weight among Middle Eastern patients presenting with acute coronary syndrome. Angiology 2010;61:456-64.</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35.</w:t>
      </w:r>
      <w:r w:rsidRPr="00266809">
        <w:rPr>
          <w:rFonts w:ascii="Calibri" w:hAnsi="Calibri"/>
          <w:noProof/>
          <w:sz w:val="24"/>
          <w:szCs w:val="24"/>
        </w:rPr>
        <w:tab/>
        <w:t>Shechtera M, Hammermanc H, Boykod V, Hoda H, Behara S, Matetzkya S. The obesity paradox in hospitalized acute coronary syndrome patients in Israel: A national survey CVD Prevention and Control 2010;5:81-7.</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36.</w:t>
      </w:r>
      <w:r w:rsidRPr="00266809">
        <w:rPr>
          <w:rFonts w:ascii="Calibri" w:hAnsi="Calibri"/>
          <w:noProof/>
          <w:sz w:val="24"/>
          <w:szCs w:val="24"/>
        </w:rPr>
        <w:tab/>
        <w:t>Das SR, Alexander KP, Chen AY, et al. Impact of body weight and extreme obesity on the presentation, treatment, and in-hospital outcomes of 50,149 patients with ST-Segment elevation myocardial infarction results from the NCDR (National Cardiovascular Data Registry). Journal of the American College of Cardiology 2011;58:2642-50.</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lastRenderedPageBreak/>
        <w:t>37.</w:t>
      </w:r>
      <w:r w:rsidRPr="00266809">
        <w:rPr>
          <w:rFonts w:ascii="Calibri" w:hAnsi="Calibri"/>
          <w:noProof/>
          <w:sz w:val="24"/>
          <w:szCs w:val="24"/>
        </w:rPr>
        <w:tab/>
        <w:t>Timoteo AT, Ramos R, Toste A, Oliveira JA, Ferreira ML, Ferreira RC. Impact of body mass index in the results after primary angioplasty in patients with ST segment elevation acute myocardial infarction. Acute cardiac care 2011;13:123-8.</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38.</w:t>
      </w:r>
      <w:r w:rsidRPr="00266809">
        <w:rPr>
          <w:rFonts w:ascii="Calibri" w:hAnsi="Calibri"/>
          <w:noProof/>
          <w:sz w:val="24"/>
          <w:szCs w:val="24"/>
        </w:rPr>
        <w:tab/>
        <w:t>Lazzeri C, Valente S, Chiostri M, et al. Impact of age on the prognostic value of body mass index in ST-Elevation myocardial infarction. Nutrition, metabolism, and cardiovascular diseases : NMCD 2013;23:205-11.</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39.</w:t>
      </w:r>
      <w:r w:rsidRPr="00266809">
        <w:rPr>
          <w:rFonts w:ascii="Calibri" w:hAnsi="Calibri"/>
          <w:noProof/>
          <w:sz w:val="24"/>
          <w:szCs w:val="24"/>
        </w:rPr>
        <w:tab/>
        <w:t>Herrmann J, Gersh BJ, Goldfinger JZ, et al. Body mass index and acute and long-term outcomes after acute myocardial infarction (from the Harmonizing Outcomes With Revascularization and Stents in Acute Myocardial Infarction Trial). The American journal of cardiology 2014;114:9-16.</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40.</w:t>
      </w:r>
      <w:r w:rsidRPr="00266809">
        <w:rPr>
          <w:rFonts w:ascii="Calibri" w:hAnsi="Calibri"/>
          <w:noProof/>
          <w:sz w:val="24"/>
          <w:szCs w:val="24"/>
        </w:rPr>
        <w:tab/>
        <w:t>Mobeirek AF, Al-Habib K, Al-Faleh H, et al. Absence of obesity paradox in Saudi patients admitted with acute coronary syndromes: insights from SPACE registry. Annals of Saudi medicine 2014;34:38-45.</w:t>
      </w:r>
    </w:p>
    <w:p w:rsidR="00842FA7" w:rsidRPr="00266809" w:rsidRDefault="00842FA7" w:rsidP="0052196B">
      <w:pPr>
        <w:spacing w:after="0" w:line="480" w:lineRule="auto"/>
        <w:jc w:val="both"/>
        <w:rPr>
          <w:rFonts w:ascii="Calibri" w:hAnsi="Calibri"/>
          <w:noProof/>
          <w:sz w:val="24"/>
          <w:szCs w:val="24"/>
        </w:rPr>
      </w:pPr>
      <w:r w:rsidRPr="00266809">
        <w:rPr>
          <w:rFonts w:ascii="Calibri" w:hAnsi="Calibri"/>
          <w:noProof/>
          <w:sz w:val="24"/>
          <w:szCs w:val="24"/>
        </w:rPr>
        <w:t>41.</w:t>
      </w:r>
      <w:r w:rsidRPr="00266809">
        <w:rPr>
          <w:rFonts w:ascii="Calibri" w:hAnsi="Calibri"/>
          <w:noProof/>
          <w:sz w:val="24"/>
          <w:szCs w:val="24"/>
        </w:rPr>
        <w:tab/>
        <w:t>Shehab A, Al-Dabbagh B, AlHabib K, et al. The Obesity Paradox in Patients With Acute Coronary Syndrome: Results From the Gulf RACE-2 Study. Angiology 2014;65:585-9.</w:t>
      </w:r>
    </w:p>
    <w:p w:rsidR="00842FA7" w:rsidRPr="00266809" w:rsidRDefault="00842FA7" w:rsidP="0052196B">
      <w:pPr>
        <w:spacing w:line="480" w:lineRule="auto"/>
        <w:jc w:val="both"/>
        <w:rPr>
          <w:rFonts w:ascii="Calibri" w:hAnsi="Calibri"/>
          <w:noProof/>
          <w:sz w:val="24"/>
          <w:szCs w:val="24"/>
        </w:rPr>
      </w:pPr>
      <w:r w:rsidRPr="00266809">
        <w:rPr>
          <w:rFonts w:ascii="Calibri" w:hAnsi="Calibri"/>
          <w:noProof/>
          <w:sz w:val="24"/>
          <w:szCs w:val="24"/>
        </w:rPr>
        <w:t>42.</w:t>
      </w:r>
      <w:r w:rsidRPr="00266809">
        <w:rPr>
          <w:rFonts w:ascii="Calibri" w:hAnsi="Calibri"/>
          <w:noProof/>
          <w:sz w:val="24"/>
          <w:szCs w:val="24"/>
        </w:rPr>
        <w:tab/>
        <w:t>Witassek F, Schwenkglenks M, Erne P, Radovanovic D. Impact of Body Mass Index on mortality in Swiss hospital patients with ST-elevation myocardial infarction: does an obesity paradox exist? Swiss medical weekly 2014;144:w13986.</w:t>
      </w:r>
    </w:p>
    <w:p w:rsidR="00842FA7" w:rsidRPr="00266809" w:rsidRDefault="00842FA7" w:rsidP="0052196B">
      <w:pPr>
        <w:spacing w:line="480" w:lineRule="auto"/>
        <w:jc w:val="both"/>
        <w:rPr>
          <w:rFonts w:ascii="Calibri" w:hAnsi="Calibri"/>
          <w:noProof/>
          <w:sz w:val="24"/>
          <w:szCs w:val="24"/>
        </w:rPr>
      </w:pPr>
    </w:p>
    <w:p w:rsidR="00842FA7" w:rsidRPr="00266809" w:rsidRDefault="00842FA7" w:rsidP="0052196B">
      <w:pPr>
        <w:spacing w:line="480" w:lineRule="auto"/>
        <w:jc w:val="both"/>
        <w:rPr>
          <w:sz w:val="24"/>
          <w:szCs w:val="24"/>
        </w:rPr>
        <w:sectPr w:rsidR="00842FA7" w:rsidRPr="00266809" w:rsidSect="00081DC9">
          <w:headerReference w:type="default" r:id="rId11"/>
          <w:footerReference w:type="default" r:id="rId12"/>
          <w:pgSz w:w="12240" w:h="15840"/>
          <w:pgMar w:top="1440" w:right="1440" w:bottom="1440" w:left="1440" w:header="720" w:footer="720" w:gutter="0"/>
          <w:cols w:space="720"/>
          <w:docGrid w:linePitch="360"/>
        </w:sectPr>
      </w:pPr>
    </w:p>
    <w:p w:rsidR="00842FA7" w:rsidRPr="00266809" w:rsidRDefault="00DC7437" w:rsidP="0052196B">
      <w:pPr>
        <w:jc w:val="both"/>
        <w:rPr>
          <w:sz w:val="24"/>
          <w:szCs w:val="24"/>
        </w:rPr>
      </w:pPr>
      <w:r>
        <w:rPr>
          <w:sz w:val="24"/>
          <w:szCs w:val="24"/>
        </w:rPr>
        <w:lastRenderedPageBreak/>
        <w:t>Table 1:</w:t>
      </w:r>
    </w:p>
    <w:tbl>
      <w:tblPr>
        <w:tblStyle w:val="Tablaconcuadrcula"/>
        <w:tblW w:w="0" w:type="auto"/>
        <w:tblLook w:val="04A0" w:firstRow="1" w:lastRow="0" w:firstColumn="1" w:lastColumn="0" w:noHBand="0" w:noVBand="1"/>
      </w:tblPr>
      <w:tblGrid>
        <w:gridCol w:w="1580"/>
        <w:gridCol w:w="760"/>
        <w:gridCol w:w="1486"/>
        <w:gridCol w:w="1450"/>
        <w:gridCol w:w="3065"/>
        <w:gridCol w:w="1367"/>
        <w:gridCol w:w="885"/>
        <w:gridCol w:w="1420"/>
      </w:tblGrid>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First Author</w:t>
            </w:r>
          </w:p>
        </w:tc>
        <w:tc>
          <w:tcPr>
            <w:tcW w:w="760" w:type="dxa"/>
            <w:noWrap/>
            <w:vAlign w:val="center"/>
            <w:hideMark/>
          </w:tcPr>
          <w:p w:rsidR="00842FA7" w:rsidRPr="00266809" w:rsidRDefault="00842FA7" w:rsidP="00081DC9">
            <w:pPr>
              <w:jc w:val="center"/>
              <w:rPr>
                <w:sz w:val="24"/>
                <w:szCs w:val="24"/>
              </w:rPr>
            </w:pPr>
            <w:r w:rsidRPr="00266809">
              <w:rPr>
                <w:sz w:val="24"/>
                <w:szCs w:val="24"/>
              </w:rPr>
              <w:t>Year</w:t>
            </w:r>
          </w:p>
        </w:tc>
        <w:tc>
          <w:tcPr>
            <w:tcW w:w="1380" w:type="dxa"/>
            <w:noWrap/>
            <w:vAlign w:val="center"/>
            <w:hideMark/>
          </w:tcPr>
          <w:p w:rsidR="00842FA7" w:rsidRPr="00266809" w:rsidRDefault="00842FA7" w:rsidP="00081DC9">
            <w:pPr>
              <w:jc w:val="center"/>
              <w:rPr>
                <w:sz w:val="24"/>
                <w:szCs w:val="24"/>
              </w:rPr>
            </w:pPr>
            <w:r w:rsidRPr="00266809">
              <w:rPr>
                <w:sz w:val="24"/>
                <w:szCs w:val="24"/>
              </w:rPr>
              <w:t>Country or region</w:t>
            </w:r>
          </w:p>
        </w:tc>
        <w:tc>
          <w:tcPr>
            <w:tcW w:w="1450" w:type="dxa"/>
            <w:noWrap/>
            <w:vAlign w:val="center"/>
            <w:hideMark/>
          </w:tcPr>
          <w:p w:rsidR="00842FA7" w:rsidRPr="00266809" w:rsidRDefault="00842FA7" w:rsidP="00081DC9">
            <w:pPr>
              <w:jc w:val="center"/>
              <w:rPr>
                <w:sz w:val="24"/>
                <w:szCs w:val="24"/>
              </w:rPr>
            </w:pPr>
            <w:r w:rsidRPr="00266809">
              <w:rPr>
                <w:sz w:val="24"/>
                <w:szCs w:val="24"/>
              </w:rPr>
              <w:t>Enrolment period</w:t>
            </w:r>
          </w:p>
        </w:tc>
        <w:tc>
          <w:tcPr>
            <w:tcW w:w="3065" w:type="dxa"/>
            <w:noWrap/>
            <w:vAlign w:val="center"/>
            <w:hideMark/>
          </w:tcPr>
          <w:p w:rsidR="00842FA7" w:rsidRPr="00266809" w:rsidRDefault="00842FA7" w:rsidP="00081DC9">
            <w:pPr>
              <w:jc w:val="center"/>
              <w:rPr>
                <w:sz w:val="24"/>
                <w:szCs w:val="24"/>
              </w:rPr>
            </w:pPr>
            <w:r w:rsidRPr="00266809">
              <w:rPr>
                <w:sz w:val="24"/>
                <w:szCs w:val="24"/>
              </w:rPr>
              <w:t>Design</w:t>
            </w:r>
          </w:p>
        </w:tc>
        <w:tc>
          <w:tcPr>
            <w:tcW w:w="1271" w:type="dxa"/>
            <w:noWrap/>
            <w:vAlign w:val="center"/>
            <w:hideMark/>
          </w:tcPr>
          <w:p w:rsidR="00842FA7" w:rsidRPr="00266809" w:rsidRDefault="00842FA7" w:rsidP="00081DC9">
            <w:pPr>
              <w:jc w:val="center"/>
              <w:rPr>
                <w:sz w:val="24"/>
                <w:szCs w:val="24"/>
              </w:rPr>
            </w:pPr>
            <w:r w:rsidRPr="00266809">
              <w:rPr>
                <w:sz w:val="24"/>
                <w:szCs w:val="24"/>
              </w:rPr>
              <w:t>ACS type</w:t>
            </w:r>
          </w:p>
        </w:tc>
        <w:tc>
          <w:tcPr>
            <w:tcW w:w="829" w:type="dxa"/>
            <w:noWrap/>
            <w:vAlign w:val="center"/>
            <w:hideMark/>
          </w:tcPr>
          <w:p w:rsidR="00842FA7" w:rsidRPr="00266809" w:rsidRDefault="00842FA7" w:rsidP="00081DC9">
            <w:pPr>
              <w:jc w:val="center"/>
              <w:rPr>
                <w:sz w:val="24"/>
                <w:szCs w:val="24"/>
              </w:rPr>
            </w:pPr>
            <w:r w:rsidRPr="00266809">
              <w:rPr>
                <w:sz w:val="24"/>
                <w:szCs w:val="24"/>
              </w:rPr>
              <w:t>N</w:t>
            </w:r>
          </w:p>
        </w:tc>
        <w:tc>
          <w:tcPr>
            <w:tcW w:w="1420" w:type="dxa"/>
            <w:noWrap/>
            <w:vAlign w:val="center"/>
            <w:hideMark/>
          </w:tcPr>
          <w:p w:rsidR="00842FA7" w:rsidRPr="00266809" w:rsidRDefault="00842FA7" w:rsidP="00081DC9">
            <w:pPr>
              <w:jc w:val="center"/>
              <w:rPr>
                <w:sz w:val="24"/>
                <w:szCs w:val="24"/>
              </w:rPr>
            </w:pPr>
            <w:r w:rsidRPr="00266809">
              <w:rPr>
                <w:sz w:val="24"/>
                <w:szCs w:val="24"/>
              </w:rPr>
              <w:t>Follow-up (months)</w:t>
            </w:r>
          </w:p>
        </w:tc>
      </w:tr>
      <w:tr w:rsidR="00842FA7" w:rsidRPr="00266809" w:rsidTr="00081DC9">
        <w:trPr>
          <w:trHeight w:val="345"/>
        </w:trPr>
        <w:tc>
          <w:tcPr>
            <w:tcW w:w="1480" w:type="dxa"/>
            <w:noWrap/>
            <w:vAlign w:val="center"/>
            <w:hideMark/>
          </w:tcPr>
          <w:p w:rsidR="00842FA7" w:rsidRPr="00266809" w:rsidRDefault="00842FA7" w:rsidP="00081DC9">
            <w:pPr>
              <w:rPr>
                <w:sz w:val="24"/>
                <w:szCs w:val="24"/>
              </w:rPr>
            </w:pPr>
            <w:r w:rsidRPr="00266809">
              <w:rPr>
                <w:sz w:val="24"/>
                <w:szCs w:val="24"/>
              </w:rPr>
              <w:t>Hoit</w:t>
            </w:r>
            <w:r w:rsidRPr="00266809">
              <w:rPr>
                <w:noProof/>
                <w:sz w:val="24"/>
                <w:szCs w:val="24"/>
                <w:vertAlign w:val="superscript"/>
              </w:rPr>
              <w:t>14</w:t>
            </w:r>
          </w:p>
        </w:tc>
        <w:tc>
          <w:tcPr>
            <w:tcW w:w="760" w:type="dxa"/>
            <w:noWrap/>
            <w:vAlign w:val="center"/>
            <w:hideMark/>
          </w:tcPr>
          <w:p w:rsidR="00842FA7" w:rsidRPr="00266809" w:rsidRDefault="00842FA7" w:rsidP="00081DC9">
            <w:pPr>
              <w:jc w:val="center"/>
              <w:rPr>
                <w:sz w:val="24"/>
                <w:szCs w:val="24"/>
              </w:rPr>
            </w:pPr>
            <w:r w:rsidRPr="00266809">
              <w:rPr>
                <w:sz w:val="24"/>
                <w:szCs w:val="24"/>
              </w:rPr>
              <w:t>1987</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1979–1983</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1,760</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90"/>
        </w:trPr>
        <w:tc>
          <w:tcPr>
            <w:tcW w:w="1480" w:type="dxa"/>
            <w:noWrap/>
            <w:vAlign w:val="center"/>
            <w:hideMark/>
          </w:tcPr>
          <w:p w:rsidR="00842FA7" w:rsidRPr="00266809" w:rsidRDefault="00842FA7" w:rsidP="00081DC9">
            <w:pPr>
              <w:rPr>
                <w:sz w:val="24"/>
                <w:szCs w:val="24"/>
              </w:rPr>
            </w:pPr>
            <w:r w:rsidRPr="00266809">
              <w:rPr>
                <w:sz w:val="24"/>
                <w:szCs w:val="24"/>
              </w:rPr>
              <w:t>Kaplan</w:t>
            </w:r>
            <w:r w:rsidRPr="00266809">
              <w:rPr>
                <w:noProof/>
                <w:sz w:val="24"/>
                <w:szCs w:val="24"/>
                <w:vertAlign w:val="superscript"/>
              </w:rPr>
              <w:t>15</w:t>
            </w:r>
          </w:p>
        </w:tc>
        <w:tc>
          <w:tcPr>
            <w:tcW w:w="760" w:type="dxa"/>
            <w:noWrap/>
            <w:vAlign w:val="center"/>
            <w:hideMark/>
          </w:tcPr>
          <w:p w:rsidR="00842FA7" w:rsidRPr="00266809" w:rsidRDefault="00842FA7" w:rsidP="00081DC9">
            <w:pPr>
              <w:jc w:val="center"/>
              <w:rPr>
                <w:sz w:val="24"/>
                <w:szCs w:val="24"/>
              </w:rPr>
            </w:pPr>
            <w:r w:rsidRPr="00266809">
              <w:rPr>
                <w:sz w:val="24"/>
                <w:szCs w:val="24"/>
              </w:rPr>
              <w:t>2002</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1986–1996</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2,677</w:t>
            </w:r>
          </w:p>
        </w:tc>
        <w:tc>
          <w:tcPr>
            <w:tcW w:w="1420" w:type="dxa"/>
            <w:noWrap/>
            <w:vAlign w:val="center"/>
            <w:hideMark/>
          </w:tcPr>
          <w:p w:rsidR="00842FA7" w:rsidRPr="00266809" w:rsidRDefault="00842FA7" w:rsidP="00081DC9">
            <w:pPr>
              <w:jc w:val="center"/>
              <w:rPr>
                <w:sz w:val="24"/>
                <w:szCs w:val="24"/>
              </w:rPr>
            </w:pPr>
            <w:r w:rsidRPr="00266809">
              <w:rPr>
                <w:sz w:val="24"/>
                <w:szCs w:val="24"/>
              </w:rPr>
              <w:t>40</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Ness</w:t>
            </w:r>
            <w:r w:rsidRPr="00266809">
              <w:rPr>
                <w:noProof/>
                <w:sz w:val="24"/>
                <w:szCs w:val="24"/>
                <w:vertAlign w:val="superscript"/>
              </w:rPr>
              <w:t>16</w:t>
            </w:r>
          </w:p>
        </w:tc>
        <w:tc>
          <w:tcPr>
            <w:tcW w:w="760" w:type="dxa"/>
            <w:noWrap/>
            <w:vAlign w:val="center"/>
            <w:hideMark/>
          </w:tcPr>
          <w:p w:rsidR="00842FA7" w:rsidRPr="00266809" w:rsidRDefault="00842FA7" w:rsidP="00081DC9">
            <w:pPr>
              <w:jc w:val="center"/>
              <w:rPr>
                <w:sz w:val="24"/>
                <w:szCs w:val="24"/>
              </w:rPr>
            </w:pPr>
            <w:r w:rsidRPr="00266809">
              <w:rPr>
                <w:sz w:val="24"/>
                <w:szCs w:val="24"/>
              </w:rPr>
              <w:t>2002</w:t>
            </w:r>
          </w:p>
        </w:tc>
        <w:tc>
          <w:tcPr>
            <w:tcW w:w="1380" w:type="dxa"/>
            <w:noWrap/>
            <w:vAlign w:val="center"/>
            <w:hideMark/>
          </w:tcPr>
          <w:p w:rsidR="00842FA7" w:rsidRPr="00266809" w:rsidRDefault="00842FA7" w:rsidP="00081DC9">
            <w:pPr>
              <w:jc w:val="center"/>
              <w:rPr>
                <w:sz w:val="24"/>
                <w:szCs w:val="24"/>
              </w:rPr>
            </w:pPr>
            <w:r w:rsidRPr="00266809">
              <w:rPr>
                <w:sz w:val="24"/>
                <w:szCs w:val="24"/>
              </w:rPr>
              <w:t>UK</w:t>
            </w:r>
          </w:p>
        </w:tc>
        <w:tc>
          <w:tcPr>
            <w:tcW w:w="1450" w:type="dxa"/>
            <w:noWrap/>
            <w:vAlign w:val="center"/>
            <w:hideMark/>
          </w:tcPr>
          <w:p w:rsidR="00842FA7" w:rsidRPr="00266809" w:rsidRDefault="00842FA7" w:rsidP="00081DC9">
            <w:pPr>
              <w:jc w:val="center"/>
              <w:rPr>
                <w:sz w:val="24"/>
                <w:szCs w:val="24"/>
              </w:rPr>
            </w:pPr>
            <w:r w:rsidRPr="00266809">
              <w:rPr>
                <w:sz w:val="24"/>
                <w:szCs w:val="24"/>
              </w:rPr>
              <w:t>1983-1987</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2,033</w:t>
            </w:r>
          </w:p>
        </w:tc>
        <w:tc>
          <w:tcPr>
            <w:tcW w:w="1420" w:type="dxa"/>
            <w:noWrap/>
            <w:vAlign w:val="center"/>
            <w:hideMark/>
          </w:tcPr>
          <w:p w:rsidR="00842FA7" w:rsidRPr="00266809" w:rsidRDefault="00842FA7" w:rsidP="00081DC9">
            <w:pPr>
              <w:jc w:val="center"/>
              <w:rPr>
                <w:sz w:val="24"/>
                <w:szCs w:val="24"/>
              </w:rPr>
            </w:pPr>
            <w:r w:rsidRPr="00266809">
              <w:rPr>
                <w:sz w:val="24"/>
                <w:szCs w:val="24"/>
              </w:rPr>
              <w:t>NR</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Lopez-Jimenez</w:t>
            </w:r>
            <w:r w:rsidRPr="00266809">
              <w:rPr>
                <w:noProof/>
                <w:sz w:val="24"/>
                <w:szCs w:val="24"/>
                <w:vertAlign w:val="superscript"/>
              </w:rPr>
              <w:t>17</w:t>
            </w:r>
          </w:p>
        </w:tc>
        <w:tc>
          <w:tcPr>
            <w:tcW w:w="760" w:type="dxa"/>
            <w:noWrap/>
            <w:vAlign w:val="center"/>
            <w:hideMark/>
          </w:tcPr>
          <w:p w:rsidR="00842FA7" w:rsidRPr="00266809" w:rsidRDefault="00842FA7" w:rsidP="00081DC9">
            <w:pPr>
              <w:jc w:val="center"/>
              <w:rPr>
                <w:sz w:val="24"/>
                <w:szCs w:val="24"/>
              </w:rPr>
            </w:pPr>
            <w:r w:rsidRPr="00266809">
              <w:rPr>
                <w:sz w:val="24"/>
                <w:szCs w:val="24"/>
              </w:rPr>
              <w:t>2004</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1979–1998</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2,263</w:t>
            </w:r>
          </w:p>
        </w:tc>
        <w:tc>
          <w:tcPr>
            <w:tcW w:w="1420" w:type="dxa"/>
            <w:noWrap/>
            <w:vAlign w:val="center"/>
            <w:hideMark/>
          </w:tcPr>
          <w:p w:rsidR="00842FA7" w:rsidRPr="00266809" w:rsidRDefault="00842FA7" w:rsidP="00081DC9">
            <w:pPr>
              <w:jc w:val="center"/>
              <w:rPr>
                <w:sz w:val="24"/>
                <w:szCs w:val="24"/>
              </w:rPr>
            </w:pPr>
            <w:r w:rsidRPr="00266809">
              <w:rPr>
                <w:sz w:val="24"/>
                <w:szCs w:val="24"/>
              </w:rPr>
              <w:t>68.4</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Rana</w:t>
            </w:r>
            <w:r w:rsidRPr="00266809">
              <w:rPr>
                <w:noProof/>
                <w:sz w:val="24"/>
                <w:szCs w:val="24"/>
                <w:vertAlign w:val="superscript"/>
              </w:rPr>
              <w:t>18</w:t>
            </w:r>
          </w:p>
        </w:tc>
        <w:tc>
          <w:tcPr>
            <w:tcW w:w="760" w:type="dxa"/>
            <w:noWrap/>
            <w:vAlign w:val="center"/>
            <w:hideMark/>
          </w:tcPr>
          <w:p w:rsidR="00842FA7" w:rsidRPr="00266809" w:rsidRDefault="00842FA7" w:rsidP="00081DC9">
            <w:pPr>
              <w:jc w:val="center"/>
              <w:rPr>
                <w:sz w:val="24"/>
                <w:szCs w:val="24"/>
              </w:rPr>
            </w:pPr>
            <w:r w:rsidRPr="00266809">
              <w:rPr>
                <w:sz w:val="24"/>
                <w:szCs w:val="24"/>
              </w:rPr>
              <w:t>2004</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1989–1994</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1,898</w:t>
            </w:r>
          </w:p>
        </w:tc>
        <w:tc>
          <w:tcPr>
            <w:tcW w:w="1420" w:type="dxa"/>
            <w:noWrap/>
            <w:vAlign w:val="center"/>
            <w:hideMark/>
          </w:tcPr>
          <w:p w:rsidR="00842FA7" w:rsidRPr="00266809" w:rsidRDefault="00842FA7" w:rsidP="00081DC9">
            <w:pPr>
              <w:jc w:val="center"/>
              <w:rPr>
                <w:sz w:val="24"/>
                <w:szCs w:val="24"/>
              </w:rPr>
            </w:pPr>
            <w:r w:rsidRPr="00266809">
              <w:rPr>
                <w:sz w:val="24"/>
                <w:szCs w:val="24"/>
              </w:rPr>
              <w:t>45.6</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Eisenstein</w:t>
            </w:r>
            <w:r w:rsidRPr="00266809">
              <w:rPr>
                <w:noProof/>
                <w:sz w:val="24"/>
                <w:szCs w:val="24"/>
                <w:vertAlign w:val="superscript"/>
              </w:rPr>
              <w:t>19</w:t>
            </w:r>
          </w:p>
        </w:tc>
        <w:tc>
          <w:tcPr>
            <w:tcW w:w="760" w:type="dxa"/>
            <w:noWrap/>
            <w:vAlign w:val="center"/>
            <w:hideMark/>
          </w:tcPr>
          <w:p w:rsidR="00842FA7" w:rsidRPr="00266809" w:rsidRDefault="00842FA7" w:rsidP="00081DC9">
            <w:pPr>
              <w:jc w:val="center"/>
              <w:rPr>
                <w:sz w:val="24"/>
                <w:szCs w:val="24"/>
              </w:rPr>
            </w:pPr>
            <w:r w:rsidRPr="00266809">
              <w:rPr>
                <w:sz w:val="24"/>
                <w:szCs w:val="24"/>
              </w:rPr>
              <w:t>2005</w:t>
            </w:r>
          </w:p>
        </w:tc>
        <w:tc>
          <w:tcPr>
            <w:tcW w:w="1380" w:type="dxa"/>
            <w:noWrap/>
            <w:vAlign w:val="center"/>
            <w:hideMark/>
          </w:tcPr>
          <w:p w:rsidR="00842FA7" w:rsidRPr="00266809" w:rsidRDefault="00842FA7" w:rsidP="00081DC9">
            <w:pPr>
              <w:jc w:val="center"/>
              <w:rPr>
                <w:sz w:val="24"/>
                <w:szCs w:val="24"/>
              </w:rPr>
            </w:pPr>
            <w:r w:rsidRPr="00266809">
              <w:rPr>
                <w:sz w:val="24"/>
                <w:szCs w:val="24"/>
              </w:rPr>
              <w:t>International</w:t>
            </w:r>
          </w:p>
        </w:tc>
        <w:tc>
          <w:tcPr>
            <w:tcW w:w="1450" w:type="dxa"/>
            <w:noWrap/>
            <w:vAlign w:val="center"/>
            <w:hideMark/>
          </w:tcPr>
          <w:p w:rsidR="00842FA7" w:rsidRPr="00266809" w:rsidRDefault="00842FA7" w:rsidP="00081DC9">
            <w:pPr>
              <w:jc w:val="center"/>
              <w:rPr>
                <w:sz w:val="24"/>
                <w:szCs w:val="24"/>
              </w:rPr>
            </w:pPr>
            <w:r w:rsidRPr="00266809">
              <w:rPr>
                <w:sz w:val="24"/>
                <w:szCs w:val="24"/>
              </w:rPr>
              <w:t>1997–1999</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15,071</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Kennedy</w:t>
            </w:r>
            <w:r w:rsidRPr="00266809">
              <w:rPr>
                <w:noProof/>
                <w:sz w:val="24"/>
                <w:szCs w:val="24"/>
                <w:vertAlign w:val="superscript"/>
              </w:rPr>
              <w:t>20</w:t>
            </w:r>
          </w:p>
        </w:tc>
        <w:tc>
          <w:tcPr>
            <w:tcW w:w="760" w:type="dxa"/>
            <w:noWrap/>
            <w:vAlign w:val="center"/>
            <w:hideMark/>
          </w:tcPr>
          <w:p w:rsidR="00842FA7" w:rsidRPr="00266809" w:rsidRDefault="00842FA7" w:rsidP="00081DC9">
            <w:pPr>
              <w:jc w:val="center"/>
              <w:rPr>
                <w:sz w:val="24"/>
                <w:szCs w:val="24"/>
              </w:rPr>
            </w:pPr>
            <w:r w:rsidRPr="00266809">
              <w:rPr>
                <w:sz w:val="24"/>
                <w:szCs w:val="24"/>
              </w:rPr>
              <w:t>2005</w:t>
            </w:r>
          </w:p>
        </w:tc>
        <w:tc>
          <w:tcPr>
            <w:tcW w:w="1380" w:type="dxa"/>
            <w:noWrap/>
            <w:vAlign w:val="center"/>
            <w:hideMark/>
          </w:tcPr>
          <w:p w:rsidR="00842FA7" w:rsidRPr="00266809" w:rsidRDefault="00842FA7" w:rsidP="00081DC9">
            <w:pPr>
              <w:jc w:val="center"/>
              <w:rPr>
                <w:sz w:val="24"/>
                <w:szCs w:val="24"/>
              </w:rPr>
            </w:pPr>
            <w:r w:rsidRPr="00266809">
              <w:rPr>
                <w:sz w:val="24"/>
                <w:szCs w:val="24"/>
              </w:rPr>
              <w:t>Europe</w:t>
            </w:r>
          </w:p>
        </w:tc>
        <w:tc>
          <w:tcPr>
            <w:tcW w:w="1450" w:type="dxa"/>
            <w:noWrap/>
            <w:vAlign w:val="center"/>
            <w:hideMark/>
          </w:tcPr>
          <w:p w:rsidR="00842FA7" w:rsidRPr="00266809" w:rsidRDefault="00842FA7" w:rsidP="00081DC9">
            <w:pPr>
              <w:jc w:val="center"/>
              <w:rPr>
                <w:sz w:val="24"/>
                <w:szCs w:val="24"/>
              </w:rPr>
            </w:pPr>
            <w:r w:rsidRPr="00266809">
              <w:rPr>
                <w:sz w:val="24"/>
                <w:szCs w:val="24"/>
              </w:rPr>
              <w:t>1998-2002</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5,388</w:t>
            </w:r>
          </w:p>
        </w:tc>
        <w:tc>
          <w:tcPr>
            <w:tcW w:w="1420" w:type="dxa"/>
            <w:noWrap/>
            <w:vAlign w:val="center"/>
            <w:hideMark/>
          </w:tcPr>
          <w:p w:rsidR="00842FA7" w:rsidRPr="00266809" w:rsidRDefault="00842FA7" w:rsidP="00081DC9">
            <w:pPr>
              <w:jc w:val="center"/>
              <w:rPr>
                <w:sz w:val="24"/>
                <w:szCs w:val="24"/>
              </w:rPr>
            </w:pPr>
            <w:r w:rsidRPr="00266809">
              <w:rPr>
                <w:sz w:val="24"/>
                <w:szCs w:val="24"/>
              </w:rPr>
              <w:t>33</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Kragelund</w:t>
            </w:r>
            <w:r w:rsidRPr="00266809">
              <w:rPr>
                <w:noProof/>
                <w:sz w:val="24"/>
                <w:szCs w:val="24"/>
                <w:vertAlign w:val="superscript"/>
              </w:rPr>
              <w:t>21</w:t>
            </w:r>
          </w:p>
        </w:tc>
        <w:tc>
          <w:tcPr>
            <w:tcW w:w="760" w:type="dxa"/>
            <w:noWrap/>
            <w:vAlign w:val="center"/>
            <w:hideMark/>
          </w:tcPr>
          <w:p w:rsidR="00842FA7" w:rsidRPr="00266809" w:rsidRDefault="00842FA7" w:rsidP="00081DC9">
            <w:pPr>
              <w:jc w:val="center"/>
              <w:rPr>
                <w:sz w:val="24"/>
                <w:szCs w:val="24"/>
              </w:rPr>
            </w:pPr>
            <w:r w:rsidRPr="00266809">
              <w:rPr>
                <w:sz w:val="24"/>
                <w:szCs w:val="24"/>
              </w:rPr>
              <w:t>2005</w:t>
            </w:r>
          </w:p>
        </w:tc>
        <w:tc>
          <w:tcPr>
            <w:tcW w:w="1380" w:type="dxa"/>
            <w:noWrap/>
            <w:vAlign w:val="center"/>
            <w:hideMark/>
          </w:tcPr>
          <w:p w:rsidR="00842FA7" w:rsidRPr="00266809" w:rsidRDefault="00842FA7" w:rsidP="00081DC9">
            <w:pPr>
              <w:jc w:val="center"/>
              <w:rPr>
                <w:sz w:val="24"/>
                <w:szCs w:val="24"/>
              </w:rPr>
            </w:pPr>
            <w:r w:rsidRPr="00266809">
              <w:rPr>
                <w:sz w:val="24"/>
                <w:szCs w:val="24"/>
              </w:rPr>
              <w:t>Denmark</w:t>
            </w:r>
          </w:p>
        </w:tc>
        <w:tc>
          <w:tcPr>
            <w:tcW w:w="1450" w:type="dxa"/>
            <w:noWrap/>
            <w:vAlign w:val="center"/>
            <w:hideMark/>
          </w:tcPr>
          <w:p w:rsidR="00842FA7" w:rsidRPr="00266809" w:rsidRDefault="00842FA7" w:rsidP="00081DC9">
            <w:pPr>
              <w:jc w:val="center"/>
              <w:rPr>
                <w:sz w:val="24"/>
                <w:szCs w:val="24"/>
              </w:rPr>
            </w:pPr>
            <w:r w:rsidRPr="00266809">
              <w:rPr>
                <w:sz w:val="24"/>
                <w:szCs w:val="24"/>
              </w:rPr>
              <w:t>1990–1992</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6,168</w:t>
            </w:r>
          </w:p>
        </w:tc>
        <w:tc>
          <w:tcPr>
            <w:tcW w:w="1420" w:type="dxa"/>
            <w:noWrap/>
            <w:vAlign w:val="center"/>
            <w:hideMark/>
          </w:tcPr>
          <w:p w:rsidR="00842FA7" w:rsidRPr="00266809" w:rsidRDefault="00842FA7" w:rsidP="00081DC9">
            <w:pPr>
              <w:jc w:val="center"/>
              <w:rPr>
                <w:sz w:val="24"/>
                <w:szCs w:val="24"/>
              </w:rPr>
            </w:pPr>
            <w:r w:rsidRPr="00266809">
              <w:rPr>
                <w:sz w:val="24"/>
                <w:szCs w:val="24"/>
              </w:rPr>
              <w:t>96</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Nigam</w:t>
            </w:r>
            <w:r w:rsidRPr="00266809">
              <w:rPr>
                <w:noProof/>
                <w:sz w:val="24"/>
                <w:szCs w:val="24"/>
                <w:vertAlign w:val="superscript"/>
              </w:rPr>
              <w:t>22</w:t>
            </w:r>
          </w:p>
        </w:tc>
        <w:tc>
          <w:tcPr>
            <w:tcW w:w="760" w:type="dxa"/>
            <w:noWrap/>
            <w:vAlign w:val="center"/>
            <w:hideMark/>
          </w:tcPr>
          <w:p w:rsidR="00842FA7" w:rsidRPr="00266809" w:rsidRDefault="00842FA7" w:rsidP="00081DC9">
            <w:pPr>
              <w:jc w:val="center"/>
              <w:rPr>
                <w:sz w:val="24"/>
                <w:szCs w:val="24"/>
              </w:rPr>
            </w:pPr>
            <w:r w:rsidRPr="00266809">
              <w:rPr>
                <w:sz w:val="24"/>
                <w:szCs w:val="24"/>
              </w:rPr>
              <w:t>2005</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1988-2001</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894</w:t>
            </w:r>
          </w:p>
        </w:tc>
        <w:tc>
          <w:tcPr>
            <w:tcW w:w="1420" w:type="dxa"/>
            <w:noWrap/>
            <w:vAlign w:val="center"/>
            <w:hideMark/>
          </w:tcPr>
          <w:p w:rsidR="00842FA7" w:rsidRPr="00266809" w:rsidRDefault="00842FA7" w:rsidP="00081DC9">
            <w:pPr>
              <w:jc w:val="center"/>
              <w:rPr>
                <w:sz w:val="24"/>
                <w:szCs w:val="24"/>
              </w:rPr>
            </w:pPr>
            <w:r w:rsidRPr="00266809">
              <w:rPr>
                <w:sz w:val="24"/>
                <w:szCs w:val="24"/>
              </w:rPr>
              <w:t>74</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Diercks</w:t>
            </w:r>
            <w:r w:rsidRPr="00266809">
              <w:rPr>
                <w:noProof/>
                <w:sz w:val="24"/>
                <w:szCs w:val="24"/>
                <w:vertAlign w:val="superscript"/>
              </w:rPr>
              <w:t>23</w:t>
            </w:r>
          </w:p>
        </w:tc>
        <w:tc>
          <w:tcPr>
            <w:tcW w:w="760" w:type="dxa"/>
            <w:noWrap/>
            <w:vAlign w:val="center"/>
            <w:hideMark/>
          </w:tcPr>
          <w:p w:rsidR="00842FA7" w:rsidRPr="00266809" w:rsidRDefault="00842FA7" w:rsidP="00081DC9">
            <w:pPr>
              <w:jc w:val="center"/>
              <w:rPr>
                <w:sz w:val="24"/>
                <w:szCs w:val="24"/>
              </w:rPr>
            </w:pPr>
            <w:r w:rsidRPr="00266809">
              <w:rPr>
                <w:sz w:val="24"/>
                <w:szCs w:val="24"/>
              </w:rPr>
              <w:t>2006</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2001–2003</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UA/NSTEMI</w:t>
            </w:r>
          </w:p>
        </w:tc>
        <w:tc>
          <w:tcPr>
            <w:tcW w:w="829" w:type="dxa"/>
            <w:noWrap/>
            <w:vAlign w:val="center"/>
            <w:hideMark/>
          </w:tcPr>
          <w:p w:rsidR="00842FA7" w:rsidRPr="00266809" w:rsidRDefault="00842FA7" w:rsidP="00081DC9">
            <w:pPr>
              <w:jc w:val="center"/>
              <w:rPr>
                <w:sz w:val="24"/>
                <w:szCs w:val="24"/>
              </w:rPr>
            </w:pPr>
            <w:r w:rsidRPr="00266809">
              <w:rPr>
                <w:sz w:val="24"/>
                <w:szCs w:val="24"/>
              </w:rPr>
              <w:t>80,042</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Goldberg</w:t>
            </w:r>
            <w:r w:rsidRPr="00266809">
              <w:rPr>
                <w:noProof/>
                <w:sz w:val="24"/>
                <w:szCs w:val="24"/>
                <w:vertAlign w:val="superscript"/>
              </w:rPr>
              <w:t>24</w:t>
            </w:r>
          </w:p>
        </w:tc>
        <w:tc>
          <w:tcPr>
            <w:tcW w:w="760" w:type="dxa"/>
            <w:noWrap/>
            <w:vAlign w:val="center"/>
            <w:hideMark/>
          </w:tcPr>
          <w:p w:rsidR="00842FA7" w:rsidRPr="00266809" w:rsidRDefault="00842FA7" w:rsidP="00081DC9">
            <w:pPr>
              <w:jc w:val="center"/>
              <w:rPr>
                <w:sz w:val="24"/>
                <w:szCs w:val="24"/>
              </w:rPr>
            </w:pPr>
            <w:r w:rsidRPr="00266809">
              <w:rPr>
                <w:sz w:val="24"/>
                <w:szCs w:val="24"/>
              </w:rPr>
              <w:t>2006</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1997, 1999, 2001, 2003</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3,513</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Iakobishvili</w:t>
            </w:r>
            <w:r w:rsidRPr="00266809">
              <w:rPr>
                <w:noProof/>
                <w:sz w:val="24"/>
                <w:szCs w:val="24"/>
                <w:vertAlign w:val="superscript"/>
              </w:rPr>
              <w:t>25</w:t>
            </w:r>
          </w:p>
        </w:tc>
        <w:tc>
          <w:tcPr>
            <w:tcW w:w="760" w:type="dxa"/>
            <w:noWrap/>
            <w:vAlign w:val="center"/>
            <w:hideMark/>
          </w:tcPr>
          <w:p w:rsidR="00842FA7" w:rsidRPr="00266809" w:rsidRDefault="00842FA7" w:rsidP="00081DC9">
            <w:pPr>
              <w:jc w:val="center"/>
              <w:rPr>
                <w:sz w:val="24"/>
                <w:szCs w:val="24"/>
              </w:rPr>
            </w:pPr>
            <w:r w:rsidRPr="00266809">
              <w:rPr>
                <w:sz w:val="24"/>
                <w:szCs w:val="24"/>
              </w:rPr>
              <w:t>2006</w:t>
            </w:r>
          </w:p>
        </w:tc>
        <w:tc>
          <w:tcPr>
            <w:tcW w:w="1380" w:type="dxa"/>
            <w:noWrap/>
            <w:vAlign w:val="center"/>
            <w:hideMark/>
          </w:tcPr>
          <w:p w:rsidR="00842FA7" w:rsidRPr="00266809" w:rsidRDefault="00842FA7" w:rsidP="00081DC9">
            <w:pPr>
              <w:jc w:val="center"/>
              <w:rPr>
                <w:sz w:val="24"/>
                <w:szCs w:val="24"/>
              </w:rPr>
            </w:pPr>
            <w:r w:rsidRPr="00266809">
              <w:rPr>
                <w:sz w:val="24"/>
                <w:szCs w:val="24"/>
              </w:rPr>
              <w:t>Israel</w:t>
            </w:r>
          </w:p>
        </w:tc>
        <w:tc>
          <w:tcPr>
            <w:tcW w:w="1450" w:type="dxa"/>
            <w:noWrap/>
            <w:vAlign w:val="center"/>
            <w:hideMark/>
          </w:tcPr>
          <w:p w:rsidR="00842FA7" w:rsidRPr="00266809" w:rsidRDefault="00842FA7" w:rsidP="00081DC9">
            <w:pPr>
              <w:jc w:val="center"/>
              <w:rPr>
                <w:sz w:val="24"/>
                <w:szCs w:val="24"/>
              </w:rPr>
            </w:pPr>
            <w:r w:rsidRPr="00266809">
              <w:rPr>
                <w:sz w:val="24"/>
                <w:szCs w:val="24"/>
              </w:rPr>
              <w:t>2002–2003</w:t>
            </w:r>
          </w:p>
        </w:tc>
        <w:tc>
          <w:tcPr>
            <w:tcW w:w="3065" w:type="dxa"/>
            <w:noWrap/>
            <w:vAlign w:val="center"/>
            <w:hideMark/>
          </w:tcPr>
          <w:p w:rsidR="00842FA7" w:rsidRPr="00266809" w:rsidRDefault="00842FA7" w:rsidP="00081DC9">
            <w:pPr>
              <w:jc w:val="center"/>
              <w:rPr>
                <w:sz w:val="24"/>
                <w:szCs w:val="24"/>
              </w:rPr>
            </w:pPr>
            <w:r w:rsidRPr="00266809">
              <w:rPr>
                <w:sz w:val="24"/>
                <w:szCs w:val="24"/>
              </w:rPr>
              <w:t>Prospective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164</w:t>
            </w:r>
          </w:p>
        </w:tc>
        <w:tc>
          <w:tcPr>
            <w:tcW w:w="1420" w:type="dxa"/>
            <w:noWrap/>
            <w:vAlign w:val="center"/>
            <w:hideMark/>
          </w:tcPr>
          <w:p w:rsidR="00842FA7" w:rsidRPr="00266809" w:rsidRDefault="00842FA7" w:rsidP="00081DC9">
            <w:pPr>
              <w:jc w:val="center"/>
              <w:rPr>
                <w:sz w:val="24"/>
                <w:szCs w:val="24"/>
              </w:rPr>
            </w:pPr>
            <w:r w:rsidRPr="00266809">
              <w:rPr>
                <w:sz w:val="24"/>
                <w:szCs w:val="24"/>
              </w:rPr>
              <w:t>1</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Nikolsky</w:t>
            </w:r>
            <w:r w:rsidRPr="00266809">
              <w:rPr>
                <w:noProof/>
                <w:sz w:val="24"/>
                <w:szCs w:val="24"/>
                <w:vertAlign w:val="superscript"/>
              </w:rPr>
              <w:t>26</w:t>
            </w:r>
          </w:p>
        </w:tc>
        <w:tc>
          <w:tcPr>
            <w:tcW w:w="760" w:type="dxa"/>
            <w:noWrap/>
            <w:vAlign w:val="center"/>
            <w:hideMark/>
          </w:tcPr>
          <w:p w:rsidR="00842FA7" w:rsidRPr="00266809" w:rsidRDefault="00842FA7" w:rsidP="00081DC9">
            <w:pPr>
              <w:jc w:val="center"/>
              <w:rPr>
                <w:sz w:val="24"/>
                <w:szCs w:val="24"/>
              </w:rPr>
            </w:pPr>
            <w:r w:rsidRPr="00266809">
              <w:rPr>
                <w:sz w:val="24"/>
                <w:szCs w:val="24"/>
              </w:rPr>
              <w:t>2006</w:t>
            </w:r>
          </w:p>
        </w:tc>
        <w:tc>
          <w:tcPr>
            <w:tcW w:w="1380" w:type="dxa"/>
            <w:noWrap/>
            <w:vAlign w:val="center"/>
            <w:hideMark/>
          </w:tcPr>
          <w:p w:rsidR="00842FA7" w:rsidRPr="00266809" w:rsidRDefault="00842FA7" w:rsidP="00081DC9">
            <w:pPr>
              <w:jc w:val="center"/>
              <w:rPr>
                <w:sz w:val="24"/>
                <w:szCs w:val="24"/>
              </w:rPr>
            </w:pPr>
            <w:r w:rsidRPr="00266809">
              <w:rPr>
                <w:sz w:val="24"/>
                <w:szCs w:val="24"/>
              </w:rPr>
              <w:t>International</w:t>
            </w:r>
          </w:p>
        </w:tc>
        <w:tc>
          <w:tcPr>
            <w:tcW w:w="1450" w:type="dxa"/>
            <w:noWrap/>
            <w:vAlign w:val="center"/>
            <w:hideMark/>
          </w:tcPr>
          <w:p w:rsidR="00842FA7" w:rsidRPr="00266809" w:rsidRDefault="00842FA7" w:rsidP="00081DC9">
            <w:pPr>
              <w:jc w:val="center"/>
              <w:rPr>
                <w:sz w:val="24"/>
                <w:szCs w:val="24"/>
              </w:rPr>
            </w:pPr>
            <w:r w:rsidRPr="00266809">
              <w:rPr>
                <w:sz w:val="24"/>
                <w:szCs w:val="24"/>
              </w:rPr>
              <w:t>1997–1999</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2,035</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Wells</w:t>
            </w:r>
            <w:r w:rsidRPr="00266809">
              <w:rPr>
                <w:noProof/>
                <w:sz w:val="24"/>
                <w:szCs w:val="24"/>
                <w:vertAlign w:val="superscript"/>
              </w:rPr>
              <w:t>27</w:t>
            </w:r>
          </w:p>
        </w:tc>
        <w:tc>
          <w:tcPr>
            <w:tcW w:w="760" w:type="dxa"/>
            <w:noWrap/>
            <w:vAlign w:val="center"/>
            <w:hideMark/>
          </w:tcPr>
          <w:p w:rsidR="00842FA7" w:rsidRPr="00266809" w:rsidRDefault="00842FA7" w:rsidP="00081DC9">
            <w:pPr>
              <w:jc w:val="center"/>
              <w:rPr>
                <w:sz w:val="24"/>
                <w:szCs w:val="24"/>
              </w:rPr>
            </w:pPr>
            <w:r w:rsidRPr="00266809">
              <w:rPr>
                <w:sz w:val="24"/>
                <w:szCs w:val="24"/>
              </w:rPr>
              <w:t>2006</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2003–2004</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284</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15"/>
        </w:trPr>
        <w:tc>
          <w:tcPr>
            <w:tcW w:w="1480" w:type="dxa"/>
            <w:noWrap/>
            <w:vAlign w:val="center"/>
            <w:hideMark/>
          </w:tcPr>
          <w:p w:rsidR="00842FA7" w:rsidRPr="00266809" w:rsidRDefault="00842FA7" w:rsidP="00081DC9">
            <w:pPr>
              <w:rPr>
                <w:sz w:val="24"/>
                <w:szCs w:val="24"/>
              </w:rPr>
            </w:pPr>
            <w:r w:rsidRPr="00266809">
              <w:rPr>
                <w:sz w:val="24"/>
                <w:szCs w:val="24"/>
              </w:rPr>
              <w:t>Buettner</w:t>
            </w:r>
            <w:r w:rsidRPr="00266809">
              <w:rPr>
                <w:noProof/>
                <w:sz w:val="24"/>
                <w:szCs w:val="24"/>
                <w:vertAlign w:val="superscript"/>
              </w:rPr>
              <w:t>28</w:t>
            </w:r>
          </w:p>
        </w:tc>
        <w:tc>
          <w:tcPr>
            <w:tcW w:w="760" w:type="dxa"/>
            <w:noWrap/>
            <w:vAlign w:val="center"/>
            <w:hideMark/>
          </w:tcPr>
          <w:p w:rsidR="00842FA7" w:rsidRPr="00266809" w:rsidRDefault="00842FA7" w:rsidP="00081DC9">
            <w:pPr>
              <w:jc w:val="center"/>
              <w:rPr>
                <w:sz w:val="24"/>
                <w:szCs w:val="24"/>
              </w:rPr>
            </w:pPr>
            <w:r w:rsidRPr="00266809">
              <w:rPr>
                <w:sz w:val="24"/>
                <w:szCs w:val="24"/>
              </w:rPr>
              <w:t>2007</w:t>
            </w:r>
          </w:p>
        </w:tc>
        <w:tc>
          <w:tcPr>
            <w:tcW w:w="1380" w:type="dxa"/>
            <w:noWrap/>
            <w:vAlign w:val="center"/>
            <w:hideMark/>
          </w:tcPr>
          <w:p w:rsidR="00842FA7" w:rsidRPr="00266809" w:rsidRDefault="00842FA7" w:rsidP="00081DC9">
            <w:pPr>
              <w:jc w:val="center"/>
              <w:rPr>
                <w:sz w:val="24"/>
                <w:szCs w:val="24"/>
              </w:rPr>
            </w:pPr>
            <w:r w:rsidRPr="00266809">
              <w:rPr>
                <w:sz w:val="24"/>
                <w:szCs w:val="24"/>
              </w:rPr>
              <w:t>Germany</w:t>
            </w:r>
          </w:p>
        </w:tc>
        <w:tc>
          <w:tcPr>
            <w:tcW w:w="1450" w:type="dxa"/>
            <w:noWrap/>
            <w:vAlign w:val="center"/>
            <w:hideMark/>
          </w:tcPr>
          <w:p w:rsidR="00842FA7" w:rsidRPr="00266809" w:rsidRDefault="00842FA7" w:rsidP="00081DC9">
            <w:pPr>
              <w:jc w:val="center"/>
              <w:rPr>
                <w:sz w:val="24"/>
                <w:szCs w:val="24"/>
              </w:rPr>
            </w:pPr>
            <w:r w:rsidRPr="00266809">
              <w:rPr>
                <w:sz w:val="24"/>
                <w:szCs w:val="24"/>
              </w:rPr>
              <w:t>1996–1999</w:t>
            </w:r>
          </w:p>
        </w:tc>
        <w:tc>
          <w:tcPr>
            <w:tcW w:w="3065" w:type="dxa"/>
            <w:noWrap/>
            <w:vAlign w:val="center"/>
            <w:hideMark/>
          </w:tcPr>
          <w:p w:rsidR="00842FA7" w:rsidRPr="00266809" w:rsidRDefault="00842FA7" w:rsidP="00081DC9">
            <w:pPr>
              <w:jc w:val="center"/>
              <w:rPr>
                <w:sz w:val="24"/>
                <w:szCs w:val="24"/>
              </w:rPr>
            </w:pPr>
            <w:r w:rsidRPr="00266809">
              <w:rPr>
                <w:sz w:val="24"/>
                <w:szCs w:val="24"/>
              </w:rPr>
              <w:t>Prospective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UA/NSTEMI</w:t>
            </w:r>
          </w:p>
        </w:tc>
        <w:tc>
          <w:tcPr>
            <w:tcW w:w="829" w:type="dxa"/>
            <w:noWrap/>
            <w:vAlign w:val="center"/>
            <w:hideMark/>
          </w:tcPr>
          <w:p w:rsidR="00842FA7" w:rsidRPr="00266809" w:rsidRDefault="00842FA7" w:rsidP="00081DC9">
            <w:pPr>
              <w:jc w:val="center"/>
              <w:rPr>
                <w:sz w:val="24"/>
                <w:szCs w:val="24"/>
              </w:rPr>
            </w:pPr>
            <w:r w:rsidRPr="00266809">
              <w:rPr>
                <w:sz w:val="24"/>
                <w:szCs w:val="24"/>
              </w:rPr>
              <w:t>1,676</w:t>
            </w:r>
          </w:p>
        </w:tc>
        <w:tc>
          <w:tcPr>
            <w:tcW w:w="1420" w:type="dxa"/>
            <w:noWrap/>
            <w:vAlign w:val="center"/>
            <w:hideMark/>
          </w:tcPr>
          <w:p w:rsidR="00842FA7" w:rsidRPr="00266809" w:rsidRDefault="00842FA7" w:rsidP="00081DC9">
            <w:pPr>
              <w:jc w:val="center"/>
              <w:rPr>
                <w:sz w:val="24"/>
                <w:szCs w:val="24"/>
              </w:rPr>
            </w:pPr>
            <w:r w:rsidRPr="00266809">
              <w:rPr>
                <w:sz w:val="24"/>
                <w:szCs w:val="24"/>
              </w:rPr>
              <w:t>17</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Mehta</w:t>
            </w:r>
            <w:r w:rsidRPr="00266809">
              <w:rPr>
                <w:noProof/>
                <w:sz w:val="24"/>
                <w:szCs w:val="24"/>
                <w:vertAlign w:val="superscript"/>
              </w:rPr>
              <w:t>29</w:t>
            </w:r>
          </w:p>
        </w:tc>
        <w:tc>
          <w:tcPr>
            <w:tcW w:w="760" w:type="dxa"/>
            <w:noWrap/>
            <w:vAlign w:val="center"/>
            <w:hideMark/>
          </w:tcPr>
          <w:p w:rsidR="00842FA7" w:rsidRPr="00266809" w:rsidRDefault="00842FA7" w:rsidP="00081DC9">
            <w:pPr>
              <w:jc w:val="center"/>
              <w:rPr>
                <w:sz w:val="24"/>
                <w:szCs w:val="24"/>
              </w:rPr>
            </w:pPr>
            <w:r w:rsidRPr="00266809">
              <w:rPr>
                <w:sz w:val="24"/>
                <w:szCs w:val="24"/>
              </w:rPr>
              <w:t>2007</w:t>
            </w:r>
          </w:p>
        </w:tc>
        <w:tc>
          <w:tcPr>
            <w:tcW w:w="1380" w:type="dxa"/>
            <w:noWrap/>
            <w:vAlign w:val="center"/>
            <w:hideMark/>
          </w:tcPr>
          <w:p w:rsidR="00842FA7" w:rsidRPr="00266809" w:rsidRDefault="00842FA7" w:rsidP="00081DC9">
            <w:pPr>
              <w:jc w:val="center"/>
              <w:rPr>
                <w:sz w:val="24"/>
                <w:szCs w:val="24"/>
              </w:rPr>
            </w:pPr>
            <w:r w:rsidRPr="00266809">
              <w:rPr>
                <w:sz w:val="24"/>
                <w:szCs w:val="24"/>
              </w:rPr>
              <w:t>International</w:t>
            </w:r>
          </w:p>
        </w:tc>
        <w:tc>
          <w:tcPr>
            <w:tcW w:w="1450" w:type="dxa"/>
            <w:noWrap/>
            <w:vAlign w:val="center"/>
            <w:hideMark/>
          </w:tcPr>
          <w:p w:rsidR="00842FA7" w:rsidRPr="00266809" w:rsidRDefault="00842FA7" w:rsidP="00081DC9">
            <w:pPr>
              <w:jc w:val="center"/>
              <w:rPr>
                <w:sz w:val="24"/>
                <w:szCs w:val="24"/>
              </w:rPr>
            </w:pPr>
            <w:r w:rsidRPr="00266809">
              <w:rPr>
                <w:sz w:val="24"/>
                <w:szCs w:val="24"/>
              </w:rPr>
              <w:t>1990–1997</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9,406</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Kosuge</w:t>
            </w:r>
            <w:r w:rsidRPr="00266809">
              <w:rPr>
                <w:noProof/>
                <w:sz w:val="24"/>
                <w:szCs w:val="24"/>
                <w:vertAlign w:val="superscript"/>
              </w:rPr>
              <w:t>6</w:t>
            </w:r>
          </w:p>
        </w:tc>
        <w:tc>
          <w:tcPr>
            <w:tcW w:w="760" w:type="dxa"/>
            <w:noWrap/>
            <w:vAlign w:val="center"/>
            <w:hideMark/>
          </w:tcPr>
          <w:p w:rsidR="00842FA7" w:rsidRPr="00266809" w:rsidRDefault="00842FA7" w:rsidP="00081DC9">
            <w:pPr>
              <w:jc w:val="center"/>
              <w:rPr>
                <w:sz w:val="24"/>
                <w:szCs w:val="24"/>
              </w:rPr>
            </w:pPr>
            <w:r w:rsidRPr="00266809">
              <w:rPr>
                <w:sz w:val="24"/>
                <w:szCs w:val="24"/>
              </w:rPr>
              <w:t>2008</w:t>
            </w:r>
          </w:p>
        </w:tc>
        <w:tc>
          <w:tcPr>
            <w:tcW w:w="1380" w:type="dxa"/>
            <w:noWrap/>
            <w:vAlign w:val="center"/>
            <w:hideMark/>
          </w:tcPr>
          <w:p w:rsidR="00842FA7" w:rsidRPr="00266809" w:rsidRDefault="00842FA7" w:rsidP="00081DC9">
            <w:pPr>
              <w:jc w:val="center"/>
              <w:rPr>
                <w:sz w:val="24"/>
                <w:szCs w:val="24"/>
              </w:rPr>
            </w:pPr>
            <w:r w:rsidRPr="00266809">
              <w:rPr>
                <w:sz w:val="24"/>
                <w:szCs w:val="24"/>
              </w:rPr>
              <w:t>Japan</w:t>
            </w:r>
          </w:p>
        </w:tc>
        <w:tc>
          <w:tcPr>
            <w:tcW w:w="1450" w:type="dxa"/>
            <w:noWrap/>
            <w:vAlign w:val="center"/>
            <w:hideMark/>
          </w:tcPr>
          <w:p w:rsidR="00842FA7" w:rsidRPr="00266809" w:rsidRDefault="00842FA7" w:rsidP="00081DC9">
            <w:pPr>
              <w:jc w:val="center"/>
              <w:rPr>
                <w:sz w:val="24"/>
                <w:szCs w:val="24"/>
              </w:rPr>
            </w:pPr>
            <w:r w:rsidRPr="00266809">
              <w:rPr>
                <w:sz w:val="24"/>
                <w:szCs w:val="24"/>
              </w:rPr>
              <w:t>2001-2003</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Retrospective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3076</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Lee</w:t>
            </w:r>
            <w:r w:rsidRPr="00266809">
              <w:rPr>
                <w:noProof/>
                <w:sz w:val="24"/>
                <w:szCs w:val="24"/>
                <w:vertAlign w:val="superscript"/>
              </w:rPr>
              <w:t>30</w:t>
            </w:r>
          </w:p>
        </w:tc>
        <w:tc>
          <w:tcPr>
            <w:tcW w:w="760" w:type="dxa"/>
            <w:noWrap/>
            <w:vAlign w:val="center"/>
            <w:hideMark/>
          </w:tcPr>
          <w:p w:rsidR="00842FA7" w:rsidRPr="00266809" w:rsidRDefault="00842FA7" w:rsidP="00081DC9">
            <w:pPr>
              <w:jc w:val="center"/>
              <w:rPr>
                <w:sz w:val="24"/>
                <w:szCs w:val="24"/>
              </w:rPr>
            </w:pPr>
            <w:r w:rsidRPr="00266809">
              <w:rPr>
                <w:sz w:val="24"/>
                <w:szCs w:val="24"/>
              </w:rPr>
              <w:t>2008</w:t>
            </w:r>
          </w:p>
        </w:tc>
        <w:tc>
          <w:tcPr>
            <w:tcW w:w="1380" w:type="dxa"/>
            <w:noWrap/>
            <w:vAlign w:val="center"/>
            <w:hideMark/>
          </w:tcPr>
          <w:p w:rsidR="00842FA7" w:rsidRPr="00266809" w:rsidRDefault="00842FA7" w:rsidP="00081DC9">
            <w:pPr>
              <w:jc w:val="center"/>
              <w:rPr>
                <w:sz w:val="24"/>
                <w:szCs w:val="24"/>
              </w:rPr>
            </w:pPr>
            <w:r w:rsidRPr="00266809">
              <w:rPr>
                <w:sz w:val="24"/>
                <w:szCs w:val="24"/>
              </w:rPr>
              <w:t>Korea</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2005-2006</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Retrospective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3734</w:t>
            </w:r>
          </w:p>
        </w:tc>
        <w:tc>
          <w:tcPr>
            <w:tcW w:w="1420" w:type="dxa"/>
            <w:noWrap/>
            <w:vAlign w:val="center"/>
            <w:hideMark/>
          </w:tcPr>
          <w:p w:rsidR="00842FA7" w:rsidRPr="00266809" w:rsidRDefault="00842FA7" w:rsidP="00081DC9">
            <w:pPr>
              <w:jc w:val="center"/>
              <w:rPr>
                <w:sz w:val="24"/>
                <w:szCs w:val="24"/>
              </w:rPr>
            </w:pPr>
            <w:r w:rsidRPr="00266809">
              <w:rPr>
                <w:sz w:val="24"/>
                <w:szCs w:val="24"/>
              </w:rPr>
              <w:t>6</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Lopez-Jimenez</w:t>
            </w:r>
            <w:r w:rsidRPr="00266809">
              <w:rPr>
                <w:noProof/>
                <w:sz w:val="24"/>
                <w:szCs w:val="24"/>
                <w:vertAlign w:val="superscript"/>
              </w:rPr>
              <w:t>31</w:t>
            </w:r>
          </w:p>
        </w:tc>
        <w:tc>
          <w:tcPr>
            <w:tcW w:w="760" w:type="dxa"/>
            <w:noWrap/>
            <w:vAlign w:val="center"/>
            <w:hideMark/>
          </w:tcPr>
          <w:p w:rsidR="00842FA7" w:rsidRPr="00266809" w:rsidRDefault="00842FA7" w:rsidP="00081DC9">
            <w:pPr>
              <w:jc w:val="center"/>
              <w:rPr>
                <w:sz w:val="24"/>
                <w:szCs w:val="24"/>
              </w:rPr>
            </w:pPr>
            <w:r w:rsidRPr="00266809">
              <w:rPr>
                <w:sz w:val="24"/>
                <w:szCs w:val="24"/>
              </w:rPr>
              <w:t>2008</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1996–2001</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1,676</w:t>
            </w:r>
          </w:p>
        </w:tc>
        <w:tc>
          <w:tcPr>
            <w:tcW w:w="1420" w:type="dxa"/>
            <w:noWrap/>
            <w:vAlign w:val="center"/>
            <w:hideMark/>
          </w:tcPr>
          <w:p w:rsidR="00842FA7" w:rsidRPr="00266809" w:rsidRDefault="00842FA7" w:rsidP="00081DC9">
            <w:pPr>
              <w:jc w:val="center"/>
              <w:rPr>
                <w:sz w:val="24"/>
                <w:szCs w:val="24"/>
              </w:rPr>
            </w:pPr>
            <w:r w:rsidRPr="00266809">
              <w:rPr>
                <w:sz w:val="24"/>
                <w:szCs w:val="24"/>
              </w:rPr>
              <w:t>29</w:t>
            </w:r>
          </w:p>
        </w:tc>
      </w:tr>
      <w:tr w:rsidR="00842FA7" w:rsidRPr="00266809" w:rsidTr="00081DC9">
        <w:trPr>
          <w:trHeight w:val="435"/>
        </w:trPr>
        <w:tc>
          <w:tcPr>
            <w:tcW w:w="1480" w:type="dxa"/>
            <w:noWrap/>
            <w:vAlign w:val="center"/>
            <w:hideMark/>
          </w:tcPr>
          <w:p w:rsidR="00842FA7" w:rsidRPr="00266809" w:rsidRDefault="00842FA7" w:rsidP="00081DC9">
            <w:pPr>
              <w:rPr>
                <w:sz w:val="24"/>
                <w:szCs w:val="24"/>
              </w:rPr>
            </w:pPr>
            <w:r w:rsidRPr="00266809">
              <w:rPr>
                <w:sz w:val="24"/>
                <w:szCs w:val="24"/>
              </w:rPr>
              <w:t>Zeller</w:t>
            </w:r>
            <w:r w:rsidRPr="00266809">
              <w:rPr>
                <w:noProof/>
                <w:sz w:val="24"/>
                <w:szCs w:val="24"/>
                <w:vertAlign w:val="superscript"/>
              </w:rPr>
              <w:t>32</w:t>
            </w:r>
          </w:p>
        </w:tc>
        <w:tc>
          <w:tcPr>
            <w:tcW w:w="760" w:type="dxa"/>
            <w:noWrap/>
            <w:vAlign w:val="center"/>
            <w:hideMark/>
          </w:tcPr>
          <w:p w:rsidR="00842FA7" w:rsidRPr="00266809" w:rsidRDefault="00842FA7" w:rsidP="00081DC9">
            <w:pPr>
              <w:jc w:val="center"/>
              <w:rPr>
                <w:sz w:val="24"/>
                <w:szCs w:val="24"/>
              </w:rPr>
            </w:pPr>
            <w:r w:rsidRPr="00266809">
              <w:rPr>
                <w:sz w:val="24"/>
                <w:szCs w:val="24"/>
              </w:rPr>
              <w:t>2008</w:t>
            </w:r>
          </w:p>
        </w:tc>
        <w:tc>
          <w:tcPr>
            <w:tcW w:w="1380" w:type="dxa"/>
            <w:noWrap/>
            <w:vAlign w:val="center"/>
            <w:hideMark/>
          </w:tcPr>
          <w:p w:rsidR="00842FA7" w:rsidRPr="00266809" w:rsidRDefault="00842FA7" w:rsidP="00081DC9">
            <w:pPr>
              <w:jc w:val="center"/>
              <w:rPr>
                <w:sz w:val="24"/>
                <w:szCs w:val="24"/>
              </w:rPr>
            </w:pPr>
            <w:r w:rsidRPr="00266809">
              <w:rPr>
                <w:sz w:val="24"/>
                <w:szCs w:val="24"/>
              </w:rPr>
              <w:t>France</w:t>
            </w:r>
          </w:p>
        </w:tc>
        <w:tc>
          <w:tcPr>
            <w:tcW w:w="1450" w:type="dxa"/>
            <w:noWrap/>
            <w:vAlign w:val="center"/>
            <w:hideMark/>
          </w:tcPr>
          <w:p w:rsidR="00842FA7" w:rsidRPr="00266809" w:rsidRDefault="00842FA7" w:rsidP="00081DC9">
            <w:pPr>
              <w:jc w:val="center"/>
              <w:rPr>
                <w:sz w:val="24"/>
                <w:szCs w:val="24"/>
              </w:rPr>
            </w:pPr>
            <w:r w:rsidRPr="00266809">
              <w:rPr>
                <w:sz w:val="24"/>
                <w:szCs w:val="24"/>
              </w:rPr>
              <w:t>2001-2006</w:t>
            </w:r>
          </w:p>
        </w:tc>
        <w:tc>
          <w:tcPr>
            <w:tcW w:w="3065" w:type="dxa"/>
            <w:noWrap/>
            <w:vAlign w:val="center"/>
            <w:hideMark/>
          </w:tcPr>
          <w:p w:rsidR="00842FA7" w:rsidRPr="00266809" w:rsidRDefault="00842FA7" w:rsidP="00081DC9">
            <w:pPr>
              <w:jc w:val="center"/>
              <w:rPr>
                <w:sz w:val="24"/>
                <w:szCs w:val="24"/>
              </w:rPr>
            </w:pPr>
            <w:r w:rsidRPr="00266809">
              <w:rPr>
                <w:sz w:val="24"/>
                <w:szCs w:val="24"/>
              </w:rPr>
              <w:t>Prospective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2229</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Wienbergen</w:t>
            </w:r>
            <w:r w:rsidRPr="00266809">
              <w:rPr>
                <w:noProof/>
                <w:sz w:val="24"/>
                <w:szCs w:val="24"/>
                <w:vertAlign w:val="superscript"/>
              </w:rPr>
              <w:t>11</w:t>
            </w:r>
          </w:p>
        </w:tc>
        <w:tc>
          <w:tcPr>
            <w:tcW w:w="760" w:type="dxa"/>
            <w:noWrap/>
            <w:vAlign w:val="center"/>
            <w:hideMark/>
          </w:tcPr>
          <w:p w:rsidR="00842FA7" w:rsidRPr="00266809" w:rsidRDefault="00842FA7" w:rsidP="00081DC9">
            <w:pPr>
              <w:jc w:val="center"/>
              <w:rPr>
                <w:sz w:val="24"/>
                <w:szCs w:val="24"/>
              </w:rPr>
            </w:pPr>
            <w:r w:rsidRPr="00266809">
              <w:rPr>
                <w:sz w:val="24"/>
                <w:szCs w:val="24"/>
              </w:rPr>
              <w:t>2008</w:t>
            </w:r>
          </w:p>
        </w:tc>
        <w:tc>
          <w:tcPr>
            <w:tcW w:w="1380" w:type="dxa"/>
            <w:noWrap/>
            <w:vAlign w:val="center"/>
            <w:hideMark/>
          </w:tcPr>
          <w:p w:rsidR="00842FA7" w:rsidRPr="00266809" w:rsidRDefault="00842FA7" w:rsidP="00081DC9">
            <w:pPr>
              <w:jc w:val="center"/>
              <w:rPr>
                <w:sz w:val="24"/>
                <w:szCs w:val="24"/>
              </w:rPr>
            </w:pPr>
            <w:r w:rsidRPr="00266809">
              <w:rPr>
                <w:sz w:val="24"/>
                <w:szCs w:val="24"/>
              </w:rPr>
              <w:t>Germany</w:t>
            </w:r>
          </w:p>
        </w:tc>
        <w:tc>
          <w:tcPr>
            <w:tcW w:w="1450" w:type="dxa"/>
            <w:noWrap/>
            <w:vAlign w:val="center"/>
            <w:hideMark/>
          </w:tcPr>
          <w:p w:rsidR="00842FA7" w:rsidRPr="00266809" w:rsidRDefault="00842FA7" w:rsidP="00081DC9">
            <w:pPr>
              <w:jc w:val="center"/>
              <w:rPr>
                <w:sz w:val="24"/>
                <w:szCs w:val="24"/>
              </w:rPr>
            </w:pPr>
            <w:r w:rsidRPr="00266809">
              <w:rPr>
                <w:sz w:val="24"/>
                <w:szCs w:val="24"/>
              </w:rPr>
              <w:t>1998–2002</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10,534</w:t>
            </w:r>
          </w:p>
        </w:tc>
        <w:tc>
          <w:tcPr>
            <w:tcW w:w="1420" w:type="dxa"/>
            <w:noWrap/>
            <w:vAlign w:val="center"/>
            <w:hideMark/>
          </w:tcPr>
          <w:p w:rsidR="00842FA7" w:rsidRPr="00266809" w:rsidRDefault="00842FA7" w:rsidP="00081DC9">
            <w:pPr>
              <w:jc w:val="center"/>
              <w:rPr>
                <w:sz w:val="24"/>
                <w:szCs w:val="24"/>
              </w:rPr>
            </w:pPr>
            <w:r w:rsidRPr="00266809">
              <w:rPr>
                <w:sz w:val="24"/>
                <w:szCs w:val="24"/>
              </w:rPr>
              <w:t>14</w:t>
            </w:r>
          </w:p>
        </w:tc>
      </w:tr>
      <w:tr w:rsidR="00842FA7" w:rsidRPr="00266809" w:rsidTr="00081DC9">
        <w:trPr>
          <w:trHeight w:val="600"/>
        </w:trPr>
        <w:tc>
          <w:tcPr>
            <w:tcW w:w="1480" w:type="dxa"/>
            <w:noWrap/>
            <w:vAlign w:val="center"/>
            <w:hideMark/>
          </w:tcPr>
          <w:p w:rsidR="00842FA7" w:rsidRPr="00266809" w:rsidRDefault="00842FA7" w:rsidP="00081DC9">
            <w:pPr>
              <w:rPr>
                <w:sz w:val="24"/>
                <w:szCs w:val="24"/>
              </w:rPr>
            </w:pPr>
            <w:r w:rsidRPr="00266809">
              <w:rPr>
                <w:sz w:val="24"/>
                <w:szCs w:val="24"/>
              </w:rPr>
              <w:lastRenderedPageBreak/>
              <w:t>Aronson</w:t>
            </w:r>
            <w:r w:rsidRPr="00266809">
              <w:rPr>
                <w:noProof/>
                <w:sz w:val="24"/>
                <w:szCs w:val="24"/>
                <w:vertAlign w:val="superscript"/>
              </w:rPr>
              <w:t>33</w:t>
            </w:r>
          </w:p>
        </w:tc>
        <w:tc>
          <w:tcPr>
            <w:tcW w:w="760" w:type="dxa"/>
            <w:noWrap/>
            <w:vAlign w:val="center"/>
            <w:hideMark/>
          </w:tcPr>
          <w:p w:rsidR="00842FA7" w:rsidRPr="00266809" w:rsidRDefault="00842FA7" w:rsidP="00081DC9">
            <w:pPr>
              <w:jc w:val="center"/>
              <w:rPr>
                <w:sz w:val="24"/>
                <w:szCs w:val="24"/>
              </w:rPr>
            </w:pPr>
            <w:r w:rsidRPr="00266809">
              <w:rPr>
                <w:sz w:val="24"/>
                <w:szCs w:val="24"/>
              </w:rPr>
              <w:t>2010</w:t>
            </w:r>
          </w:p>
        </w:tc>
        <w:tc>
          <w:tcPr>
            <w:tcW w:w="1380" w:type="dxa"/>
            <w:noWrap/>
            <w:vAlign w:val="center"/>
            <w:hideMark/>
          </w:tcPr>
          <w:p w:rsidR="00842FA7" w:rsidRPr="00266809" w:rsidRDefault="00842FA7" w:rsidP="00081DC9">
            <w:pPr>
              <w:jc w:val="center"/>
              <w:rPr>
                <w:sz w:val="24"/>
                <w:szCs w:val="24"/>
              </w:rPr>
            </w:pPr>
            <w:r w:rsidRPr="00266809">
              <w:rPr>
                <w:sz w:val="24"/>
                <w:szCs w:val="24"/>
              </w:rPr>
              <w:t>Israel</w:t>
            </w:r>
          </w:p>
        </w:tc>
        <w:tc>
          <w:tcPr>
            <w:tcW w:w="1450" w:type="dxa"/>
            <w:noWrap/>
            <w:vAlign w:val="center"/>
            <w:hideMark/>
          </w:tcPr>
          <w:p w:rsidR="00842FA7" w:rsidRPr="00266809" w:rsidRDefault="00842FA7" w:rsidP="00081DC9">
            <w:pPr>
              <w:jc w:val="center"/>
              <w:rPr>
                <w:sz w:val="24"/>
                <w:szCs w:val="24"/>
              </w:rPr>
            </w:pPr>
            <w:r w:rsidRPr="00266809">
              <w:rPr>
                <w:sz w:val="24"/>
                <w:szCs w:val="24"/>
              </w:rPr>
              <w:t>2001–2007</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2,157</w:t>
            </w:r>
          </w:p>
        </w:tc>
        <w:tc>
          <w:tcPr>
            <w:tcW w:w="1420" w:type="dxa"/>
            <w:noWrap/>
            <w:vAlign w:val="center"/>
            <w:hideMark/>
          </w:tcPr>
          <w:p w:rsidR="00842FA7" w:rsidRPr="00266809" w:rsidRDefault="00842FA7" w:rsidP="00081DC9">
            <w:pPr>
              <w:jc w:val="center"/>
              <w:rPr>
                <w:sz w:val="24"/>
                <w:szCs w:val="24"/>
              </w:rPr>
            </w:pPr>
            <w:r w:rsidRPr="00266809">
              <w:rPr>
                <w:sz w:val="24"/>
                <w:szCs w:val="24"/>
              </w:rPr>
              <w:t>26</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Hadi</w:t>
            </w:r>
            <w:r w:rsidRPr="00266809">
              <w:rPr>
                <w:noProof/>
                <w:sz w:val="24"/>
                <w:szCs w:val="24"/>
                <w:vertAlign w:val="superscript"/>
              </w:rPr>
              <w:t>34</w:t>
            </w:r>
          </w:p>
        </w:tc>
        <w:tc>
          <w:tcPr>
            <w:tcW w:w="760" w:type="dxa"/>
            <w:noWrap/>
            <w:vAlign w:val="center"/>
            <w:hideMark/>
          </w:tcPr>
          <w:p w:rsidR="00842FA7" w:rsidRPr="00266809" w:rsidRDefault="00842FA7" w:rsidP="00081DC9">
            <w:pPr>
              <w:jc w:val="center"/>
              <w:rPr>
                <w:sz w:val="24"/>
                <w:szCs w:val="24"/>
              </w:rPr>
            </w:pPr>
            <w:r w:rsidRPr="00266809">
              <w:rPr>
                <w:sz w:val="24"/>
                <w:szCs w:val="24"/>
              </w:rPr>
              <w:t>2010</w:t>
            </w:r>
          </w:p>
        </w:tc>
        <w:tc>
          <w:tcPr>
            <w:tcW w:w="1380" w:type="dxa"/>
            <w:noWrap/>
            <w:vAlign w:val="center"/>
            <w:hideMark/>
          </w:tcPr>
          <w:p w:rsidR="00842FA7" w:rsidRPr="00266809" w:rsidRDefault="00842FA7" w:rsidP="00081DC9">
            <w:pPr>
              <w:jc w:val="center"/>
              <w:rPr>
                <w:sz w:val="24"/>
                <w:szCs w:val="24"/>
              </w:rPr>
            </w:pPr>
            <w:r w:rsidRPr="00266809">
              <w:rPr>
                <w:sz w:val="24"/>
                <w:szCs w:val="24"/>
              </w:rPr>
              <w:t>Middle East</w:t>
            </w:r>
          </w:p>
        </w:tc>
        <w:tc>
          <w:tcPr>
            <w:tcW w:w="1450" w:type="dxa"/>
            <w:noWrap/>
            <w:vAlign w:val="center"/>
            <w:hideMark/>
          </w:tcPr>
          <w:p w:rsidR="00842FA7" w:rsidRPr="00266809" w:rsidRDefault="00842FA7" w:rsidP="00081DC9">
            <w:pPr>
              <w:jc w:val="center"/>
              <w:rPr>
                <w:sz w:val="24"/>
                <w:szCs w:val="24"/>
              </w:rPr>
            </w:pPr>
            <w:r w:rsidRPr="00266809">
              <w:rPr>
                <w:sz w:val="24"/>
                <w:szCs w:val="24"/>
              </w:rPr>
              <w:t>2006–2007</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7,843</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Mahaffey</w:t>
            </w:r>
            <w:r w:rsidRPr="00266809">
              <w:rPr>
                <w:noProof/>
                <w:sz w:val="24"/>
                <w:szCs w:val="24"/>
                <w:vertAlign w:val="superscript"/>
              </w:rPr>
              <w:t>2</w:t>
            </w:r>
          </w:p>
        </w:tc>
        <w:tc>
          <w:tcPr>
            <w:tcW w:w="760" w:type="dxa"/>
            <w:noWrap/>
            <w:vAlign w:val="center"/>
            <w:hideMark/>
          </w:tcPr>
          <w:p w:rsidR="00842FA7" w:rsidRPr="00266809" w:rsidRDefault="00842FA7" w:rsidP="00081DC9">
            <w:pPr>
              <w:jc w:val="center"/>
              <w:rPr>
                <w:sz w:val="24"/>
                <w:szCs w:val="24"/>
              </w:rPr>
            </w:pPr>
            <w:r w:rsidRPr="00266809">
              <w:rPr>
                <w:sz w:val="24"/>
                <w:szCs w:val="24"/>
              </w:rPr>
              <w:t>2010</w:t>
            </w:r>
          </w:p>
        </w:tc>
        <w:tc>
          <w:tcPr>
            <w:tcW w:w="1380" w:type="dxa"/>
            <w:noWrap/>
            <w:vAlign w:val="center"/>
            <w:hideMark/>
          </w:tcPr>
          <w:p w:rsidR="00842FA7" w:rsidRPr="00266809" w:rsidRDefault="00842FA7" w:rsidP="00081DC9">
            <w:pPr>
              <w:jc w:val="center"/>
              <w:rPr>
                <w:sz w:val="24"/>
                <w:szCs w:val="24"/>
              </w:rPr>
            </w:pPr>
            <w:r w:rsidRPr="00266809">
              <w:rPr>
                <w:sz w:val="24"/>
                <w:szCs w:val="24"/>
              </w:rPr>
              <w:t>International</w:t>
            </w:r>
          </w:p>
        </w:tc>
        <w:tc>
          <w:tcPr>
            <w:tcW w:w="1450" w:type="dxa"/>
            <w:noWrap/>
            <w:vAlign w:val="center"/>
            <w:hideMark/>
          </w:tcPr>
          <w:p w:rsidR="00842FA7" w:rsidRPr="00266809" w:rsidRDefault="00842FA7" w:rsidP="00081DC9">
            <w:pPr>
              <w:jc w:val="center"/>
              <w:rPr>
                <w:sz w:val="24"/>
                <w:szCs w:val="24"/>
              </w:rPr>
            </w:pPr>
            <w:r w:rsidRPr="00266809">
              <w:rPr>
                <w:sz w:val="24"/>
                <w:szCs w:val="24"/>
              </w:rPr>
              <w:t>2001–2003</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UA/NSTEMI</w:t>
            </w:r>
          </w:p>
        </w:tc>
        <w:tc>
          <w:tcPr>
            <w:tcW w:w="829" w:type="dxa"/>
            <w:noWrap/>
            <w:vAlign w:val="center"/>
            <w:hideMark/>
          </w:tcPr>
          <w:p w:rsidR="00842FA7" w:rsidRPr="00266809" w:rsidRDefault="00842FA7" w:rsidP="00081DC9">
            <w:pPr>
              <w:jc w:val="center"/>
              <w:rPr>
                <w:sz w:val="24"/>
                <w:szCs w:val="24"/>
              </w:rPr>
            </w:pPr>
            <w:r w:rsidRPr="00266809">
              <w:rPr>
                <w:sz w:val="24"/>
                <w:szCs w:val="24"/>
              </w:rPr>
              <w:t>9,873</w:t>
            </w:r>
          </w:p>
        </w:tc>
        <w:tc>
          <w:tcPr>
            <w:tcW w:w="1420" w:type="dxa"/>
            <w:noWrap/>
            <w:vAlign w:val="center"/>
            <w:hideMark/>
          </w:tcPr>
          <w:p w:rsidR="00842FA7" w:rsidRPr="00266809" w:rsidRDefault="00842FA7" w:rsidP="00081DC9">
            <w:pPr>
              <w:jc w:val="center"/>
              <w:rPr>
                <w:sz w:val="24"/>
                <w:szCs w:val="24"/>
              </w:rPr>
            </w:pPr>
            <w:r w:rsidRPr="00266809">
              <w:rPr>
                <w:sz w:val="24"/>
                <w:szCs w:val="24"/>
              </w:rPr>
              <w:t>1</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Shechter</w:t>
            </w:r>
            <w:r w:rsidRPr="00266809">
              <w:rPr>
                <w:noProof/>
                <w:sz w:val="24"/>
                <w:szCs w:val="24"/>
                <w:vertAlign w:val="superscript"/>
              </w:rPr>
              <w:t>35</w:t>
            </w:r>
          </w:p>
        </w:tc>
        <w:tc>
          <w:tcPr>
            <w:tcW w:w="760" w:type="dxa"/>
            <w:noWrap/>
            <w:vAlign w:val="center"/>
            <w:hideMark/>
          </w:tcPr>
          <w:p w:rsidR="00842FA7" w:rsidRPr="00266809" w:rsidRDefault="00842FA7" w:rsidP="00081DC9">
            <w:pPr>
              <w:jc w:val="center"/>
              <w:rPr>
                <w:sz w:val="24"/>
                <w:szCs w:val="24"/>
              </w:rPr>
            </w:pPr>
            <w:r w:rsidRPr="00266809">
              <w:rPr>
                <w:sz w:val="24"/>
                <w:szCs w:val="24"/>
              </w:rPr>
              <w:t>2010</w:t>
            </w:r>
          </w:p>
        </w:tc>
        <w:tc>
          <w:tcPr>
            <w:tcW w:w="1380" w:type="dxa"/>
            <w:noWrap/>
            <w:vAlign w:val="center"/>
            <w:hideMark/>
          </w:tcPr>
          <w:p w:rsidR="00842FA7" w:rsidRPr="00266809" w:rsidRDefault="00842FA7" w:rsidP="00081DC9">
            <w:pPr>
              <w:jc w:val="center"/>
              <w:rPr>
                <w:sz w:val="24"/>
                <w:szCs w:val="24"/>
              </w:rPr>
            </w:pPr>
            <w:r w:rsidRPr="00266809">
              <w:rPr>
                <w:sz w:val="24"/>
                <w:szCs w:val="24"/>
              </w:rPr>
              <w:t>Israel</w:t>
            </w:r>
          </w:p>
        </w:tc>
        <w:tc>
          <w:tcPr>
            <w:tcW w:w="1450" w:type="dxa"/>
            <w:noWrap/>
            <w:vAlign w:val="center"/>
            <w:hideMark/>
          </w:tcPr>
          <w:p w:rsidR="00842FA7" w:rsidRPr="00266809" w:rsidRDefault="00842FA7" w:rsidP="00081DC9">
            <w:pPr>
              <w:jc w:val="center"/>
              <w:rPr>
                <w:sz w:val="24"/>
                <w:szCs w:val="24"/>
              </w:rPr>
            </w:pPr>
            <w:r w:rsidRPr="00266809">
              <w:rPr>
                <w:sz w:val="24"/>
                <w:szCs w:val="24"/>
              </w:rPr>
              <w:t>2002, 2004, 2006</w:t>
            </w:r>
          </w:p>
        </w:tc>
        <w:tc>
          <w:tcPr>
            <w:tcW w:w="3065" w:type="dxa"/>
            <w:noWrap/>
            <w:vAlign w:val="center"/>
            <w:hideMark/>
          </w:tcPr>
          <w:p w:rsidR="00842FA7" w:rsidRPr="00266809" w:rsidRDefault="00842FA7" w:rsidP="00081DC9">
            <w:pPr>
              <w:jc w:val="center"/>
              <w:rPr>
                <w:sz w:val="24"/>
                <w:szCs w:val="24"/>
              </w:rPr>
            </w:pPr>
            <w:r w:rsidRPr="00266809">
              <w:rPr>
                <w:sz w:val="24"/>
                <w:szCs w:val="24"/>
              </w:rPr>
              <w:t>Prospective nationwide survey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5,751</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45"/>
        </w:trPr>
        <w:tc>
          <w:tcPr>
            <w:tcW w:w="1480" w:type="dxa"/>
            <w:noWrap/>
            <w:vAlign w:val="center"/>
            <w:hideMark/>
          </w:tcPr>
          <w:p w:rsidR="00842FA7" w:rsidRPr="00266809" w:rsidRDefault="00842FA7" w:rsidP="00081DC9">
            <w:pPr>
              <w:rPr>
                <w:sz w:val="24"/>
                <w:szCs w:val="24"/>
              </w:rPr>
            </w:pPr>
            <w:r w:rsidRPr="00266809">
              <w:rPr>
                <w:sz w:val="24"/>
                <w:szCs w:val="24"/>
              </w:rPr>
              <w:t>Das</w:t>
            </w:r>
            <w:r w:rsidRPr="00266809">
              <w:rPr>
                <w:noProof/>
                <w:sz w:val="24"/>
                <w:szCs w:val="24"/>
                <w:vertAlign w:val="superscript"/>
              </w:rPr>
              <w:t>36</w:t>
            </w:r>
          </w:p>
        </w:tc>
        <w:tc>
          <w:tcPr>
            <w:tcW w:w="760" w:type="dxa"/>
            <w:noWrap/>
            <w:vAlign w:val="center"/>
            <w:hideMark/>
          </w:tcPr>
          <w:p w:rsidR="00842FA7" w:rsidRPr="00266809" w:rsidRDefault="00842FA7" w:rsidP="00081DC9">
            <w:pPr>
              <w:jc w:val="center"/>
              <w:rPr>
                <w:sz w:val="24"/>
                <w:szCs w:val="24"/>
              </w:rPr>
            </w:pPr>
            <w:r w:rsidRPr="00266809">
              <w:rPr>
                <w:sz w:val="24"/>
                <w:szCs w:val="24"/>
              </w:rPr>
              <w:t>2011</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2007–2009</w:t>
            </w:r>
          </w:p>
        </w:tc>
        <w:tc>
          <w:tcPr>
            <w:tcW w:w="3065" w:type="dxa"/>
            <w:noWrap/>
            <w:vAlign w:val="center"/>
            <w:hideMark/>
          </w:tcPr>
          <w:p w:rsidR="00842FA7" w:rsidRPr="00266809" w:rsidRDefault="00842FA7" w:rsidP="00081DC9">
            <w:pPr>
              <w:jc w:val="center"/>
              <w:rPr>
                <w:sz w:val="24"/>
                <w:szCs w:val="24"/>
              </w:rPr>
            </w:pPr>
            <w:r w:rsidRPr="00266809">
              <w:rPr>
                <w:sz w:val="24"/>
                <w:szCs w:val="24"/>
              </w:rPr>
              <w:t>Retrospective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49,329</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Timoteo</w:t>
            </w:r>
            <w:r w:rsidRPr="00266809">
              <w:rPr>
                <w:noProof/>
                <w:sz w:val="24"/>
                <w:szCs w:val="24"/>
                <w:vertAlign w:val="superscript"/>
              </w:rPr>
              <w:t>37</w:t>
            </w:r>
          </w:p>
        </w:tc>
        <w:tc>
          <w:tcPr>
            <w:tcW w:w="760" w:type="dxa"/>
            <w:noWrap/>
            <w:vAlign w:val="center"/>
            <w:hideMark/>
          </w:tcPr>
          <w:p w:rsidR="00842FA7" w:rsidRPr="00266809" w:rsidRDefault="00842FA7" w:rsidP="00081DC9">
            <w:pPr>
              <w:jc w:val="center"/>
              <w:rPr>
                <w:sz w:val="24"/>
                <w:szCs w:val="24"/>
              </w:rPr>
            </w:pPr>
            <w:r w:rsidRPr="00266809">
              <w:rPr>
                <w:sz w:val="24"/>
                <w:szCs w:val="24"/>
              </w:rPr>
              <w:t>2011</w:t>
            </w:r>
          </w:p>
        </w:tc>
        <w:tc>
          <w:tcPr>
            <w:tcW w:w="1380" w:type="dxa"/>
            <w:noWrap/>
            <w:vAlign w:val="center"/>
            <w:hideMark/>
          </w:tcPr>
          <w:p w:rsidR="00842FA7" w:rsidRPr="00266809" w:rsidRDefault="00842FA7" w:rsidP="00081DC9">
            <w:pPr>
              <w:jc w:val="center"/>
              <w:rPr>
                <w:sz w:val="24"/>
                <w:szCs w:val="24"/>
              </w:rPr>
            </w:pPr>
            <w:r w:rsidRPr="00266809">
              <w:rPr>
                <w:sz w:val="24"/>
                <w:szCs w:val="24"/>
              </w:rPr>
              <w:t>Portugal</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2005–2008</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539</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Bucholz</w:t>
            </w:r>
            <w:r w:rsidRPr="00266809">
              <w:rPr>
                <w:noProof/>
                <w:sz w:val="24"/>
                <w:szCs w:val="24"/>
                <w:vertAlign w:val="superscript"/>
              </w:rPr>
              <w:t>5</w:t>
            </w:r>
          </w:p>
        </w:tc>
        <w:tc>
          <w:tcPr>
            <w:tcW w:w="760" w:type="dxa"/>
            <w:noWrap/>
            <w:vAlign w:val="center"/>
            <w:hideMark/>
          </w:tcPr>
          <w:p w:rsidR="00842FA7" w:rsidRPr="00266809" w:rsidRDefault="00842FA7" w:rsidP="00081DC9">
            <w:pPr>
              <w:jc w:val="center"/>
              <w:rPr>
                <w:sz w:val="24"/>
                <w:szCs w:val="24"/>
              </w:rPr>
            </w:pPr>
            <w:r w:rsidRPr="00266809">
              <w:rPr>
                <w:sz w:val="24"/>
                <w:szCs w:val="24"/>
              </w:rPr>
              <w:t>2012</w:t>
            </w:r>
          </w:p>
        </w:tc>
        <w:tc>
          <w:tcPr>
            <w:tcW w:w="1380" w:type="dxa"/>
            <w:noWrap/>
            <w:vAlign w:val="center"/>
            <w:hideMark/>
          </w:tcPr>
          <w:p w:rsidR="00842FA7" w:rsidRPr="00266809" w:rsidRDefault="00842FA7" w:rsidP="00081DC9">
            <w:pPr>
              <w:jc w:val="center"/>
              <w:rPr>
                <w:sz w:val="24"/>
                <w:szCs w:val="24"/>
              </w:rPr>
            </w:pPr>
            <w:r w:rsidRPr="00266809">
              <w:rPr>
                <w:sz w:val="24"/>
                <w:szCs w:val="24"/>
              </w:rPr>
              <w:t>USA</w:t>
            </w:r>
          </w:p>
        </w:tc>
        <w:tc>
          <w:tcPr>
            <w:tcW w:w="1450" w:type="dxa"/>
            <w:noWrap/>
            <w:vAlign w:val="center"/>
            <w:hideMark/>
          </w:tcPr>
          <w:p w:rsidR="00842FA7" w:rsidRPr="00266809" w:rsidRDefault="00842FA7" w:rsidP="00081DC9">
            <w:pPr>
              <w:jc w:val="center"/>
              <w:rPr>
                <w:sz w:val="24"/>
                <w:szCs w:val="24"/>
              </w:rPr>
            </w:pPr>
            <w:r w:rsidRPr="00266809">
              <w:rPr>
                <w:sz w:val="24"/>
                <w:szCs w:val="24"/>
              </w:rPr>
              <w:t>2003–2008</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Retrospective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AMI</w:t>
            </w:r>
          </w:p>
        </w:tc>
        <w:tc>
          <w:tcPr>
            <w:tcW w:w="829" w:type="dxa"/>
            <w:noWrap/>
            <w:vAlign w:val="center"/>
            <w:hideMark/>
          </w:tcPr>
          <w:p w:rsidR="00842FA7" w:rsidRPr="00266809" w:rsidRDefault="00842FA7" w:rsidP="00081DC9">
            <w:pPr>
              <w:jc w:val="center"/>
              <w:rPr>
                <w:sz w:val="24"/>
                <w:szCs w:val="24"/>
              </w:rPr>
            </w:pPr>
            <w:r w:rsidRPr="00266809">
              <w:rPr>
                <w:sz w:val="24"/>
                <w:szCs w:val="24"/>
              </w:rPr>
              <w:t>6,359</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Camprubi</w:t>
            </w:r>
            <w:r w:rsidRPr="00266809">
              <w:rPr>
                <w:noProof/>
                <w:sz w:val="24"/>
                <w:szCs w:val="24"/>
                <w:vertAlign w:val="superscript"/>
              </w:rPr>
              <w:t>1</w:t>
            </w:r>
          </w:p>
        </w:tc>
        <w:tc>
          <w:tcPr>
            <w:tcW w:w="760" w:type="dxa"/>
            <w:noWrap/>
            <w:vAlign w:val="center"/>
            <w:hideMark/>
          </w:tcPr>
          <w:p w:rsidR="00842FA7" w:rsidRPr="00266809" w:rsidRDefault="00842FA7" w:rsidP="00081DC9">
            <w:pPr>
              <w:jc w:val="center"/>
              <w:rPr>
                <w:sz w:val="24"/>
                <w:szCs w:val="24"/>
              </w:rPr>
            </w:pPr>
            <w:r w:rsidRPr="00266809">
              <w:rPr>
                <w:sz w:val="24"/>
                <w:szCs w:val="24"/>
              </w:rPr>
              <w:t>2012</w:t>
            </w:r>
          </w:p>
        </w:tc>
        <w:tc>
          <w:tcPr>
            <w:tcW w:w="1380" w:type="dxa"/>
            <w:noWrap/>
            <w:vAlign w:val="center"/>
            <w:hideMark/>
          </w:tcPr>
          <w:p w:rsidR="00842FA7" w:rsidRPr="00266809" w:rsidRDefault="00842FA7" w:rsidP="00081DC9">
            <w:pPr>
              <w:jc w:val="center"/>
              <w:rPr>
                <w:sz w:val="24"/>
                <w:szCs w:val="24"/>
              </w:rPr>
            </w:pPr>
            <w:r w:rsidRPr="00266809">
              <w:rPr>
                <w:sz w:val="24"/>
                <w:szCs w:val="24"/>
              </w:rPr>
              <w:t>Spain</w:t>
            </w:r>
          </w:p>
        </w:tc>
        <w:tc>
          <w:tcPr>
            <w:tcW w:w="1450" w:type="dxa"/>
            <w:noWrap/>
            <w:vAlign w:val="center"/>
            <w:hideMark/>
          </w:tcPr>
          <w:p w:rsidR="00842FA7" w:rsidRPr="00266809" w:rsidRDefault="00842FA7" w:rsidP="00081DC9">
            <w:pPr>
              <w:jc w:val="center"/>
              <w:rPr>
                <w:sz w:val="24"/>
                <w:szCs w:val="24"/>
              </w:rPr>
            </w:pPr>
            <w:r w:rsidRPr="00266809">
              <w:rPr>
                <w:sz w:val="24"/>
                <w:szCs w:val="24"/>
              </w:rPr>
              <w:t>2009–2010</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824</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Lazzeri</w:t>
            </w:r>
            <w:r w:rsidRPr="00266809">
              <w:rPr>
                <w:noProof/>
                <w:sz w:val="24"/>
                <w:szCs w:val="24"/>
                <w:vertAlign w:val="superscript"/>
              </w:rPr>
              <w:t>38</w:t>
            </w:r>
          </w:p>
        </w:tc>
        <w:tc>
          <w:tcPr>
            <w:tcW w:w="760" w:type="dxa"/>
            <w:noWrap/>
            <w:vAlign w:val="center"/>
            <w:hideMark/>
          </w:tcPr>
          <w:p w:rsidR="00842FA7" w:rsidRPr="00266809" w:rsidRDefault="00842FA7" w:rsidP="00081DC9">
            <w:pPr>
              <w:jc w:val="center"/>
              <w:rPr>
                <w:sz w:val="24"/>
                <w:szCs w:val="24"/>
              </w:rPr>
            </w:pPr>
            <w:r w:rsidRPr="00266809">
              <w:rPr>
                <w:sz w:val="24"/>
                <w:szCs w:val="24"/>
              </w:rPr>
              <w:t>2012</w:t>
            </w:r>
          </w:p>
        </w:tc>
        <w:tc>
          <w:tcPr>
            <w:tcW w:w="1380" w:type="dxa"/>
            <w:noWrap/>
            <w:vAlign w:val="center"/>
            <w:hideMark/>
          </w:tcPr>
          <w:p w:rsidR="00842FA7" w:rsidRPr="00266809" w:rsidRDefault="00842FA7" w:rsidP="00081DC9">
            <w:pPr>
              <w:jc w:val="center"/>
              <w:rPr>
                <w:sz w:val="24"/>
                <w:szCs w:val="24"/>
              </w:rPr>
            </w:pPr>
            <w:r w:rsidRPr="00266809">
              <w:rPr>
                <w:sz w:val="24"/>
                <w:szCs w:val="24"/>
              </w:rPr>
              <w:t>Italy</w:t>
            </w:r>
          </w:p>
        </w:tc>
        <w:tc>
          <w:tcPr>
            <w:tcW w:w="1450" w:type="dxa"/>
            <w:noWrap/>
            <w:vAlign w:val="center"/>
            <w:hideMark/>
          </w:tcPr>
          <w:p w:rsidR="00842FA7" w:rsidRPr="00266809" w:rsidRDefault="00842FA7" w:rsidP="00081DC9">
            <w:pPr>
              <w:jc w:val="center"/>
              <w:rPr>
                <w:sz w:val="24"/>
                <w:szCs w:val="24"/>
              </w:rPr>
            </w:pPr>
            <w:r w:rsidRPr="00266809">
              <w:rPr>
                <w:sz w:val="24"/>
                <w:szCs w:val="24"/>
              </w:rPr>
              <w:t>2004–2010</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1,268</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345"/>
        </w:trPr>
        <w:tc>
          <w:tcPr>
            <w:tcW w:w="1480" w:type="dxa"/>
            <w:noWrap/>
            <w:vAlign w:val="center"/>
            <w:hideMark/>
          </w:tcPr>
          <w:p w:rsidR="00842FA7" w:rsidRPr="00266809" w:rsidRDefault="00842FA7" w:rsidP="00081DC9">
            <w:pPr>
              <w:rPr>
                <w:sz w:val="24"/>
                <w:szCs w:val="24"/>
              </w:rPr>
            </w:pPr>
            <w:r w:rsidRPr="00266809">
              <w:rPr>
                <w:sz w:val="24"/>
                <w:szCs w:val="24"/>
              </w:rPr>
              <w:t>Angeras</w:t>
            </w:r>
            <w:r w:rsidRPr="00266809">
              <w:rPr>
                <w:noProof/>
                <w:sz w:val="24"/>
                <w:szCs w:val="24"/>
                <w:vertAlign w:val="superscript"/>
              </w:rPr>
              <w:t>4</w:t>
            </w:r>
          </w:p>
        </w:tc>
        <w:tc>
          <w:tcPr>
            <w:tcW w:w="760" w:type="dxa"/>
            <w:noWrap/>
            <w:vAlign w:val="center"/>
            <w:hideMark/>
          </w:tcPr>
          <w:p w:rsidR="00842FA7" w:rsidRPr="00266809" w:rsidRDefault="00842FA7" w:rsidP="00081DC9">
            <w:pPr>
              <w:jc w:val="center"/>
              <w:rPr>
                <w:sz w:val="24"/>
                <w:szCs w:val="24"/>
              </w:rPr>
            </w:pPr>
            <w:r w:rsidRPr="00266809">
              <w:rPr>
                <w:sz w:val="24"/>
                <w:szCs w:val="24"/>
              </w:rPr>
              <w:t>2013</w:t>
            </w:r>
          </w:p>
        </w:tc>
        <w:tc>
          <w:tcPr>
            <w:tcW w:w="1380" w:type="dxa"/>
            <w:noWrap/>
            <w:vAlign w:val="center"/>
            <w:hideMark/>
          </w:tcPr>
          <w:p w:rsidR="00842FA7" w:rsidRPr="00266809" w:rsidRDefault="00842FA7" w:rsidP="00081DC9">
            <w:pPr>
              <w:jc w:val="center"/>
              <w:rPr>
                <w:sz w:val="24"/>
                <w:szCs w:val="24"/>
              </w:rPr>
            </w:pPr>
            <w:r w:rsidRPr="00266809">
              <w:rPr>
                <w:sz w:val="24"/>
                <w:szCs w:val="24"/>
              </w:rPr>
              <w:t>Sweden</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2005-2008</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Retrospective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64,436</w:t>
            </w:r>
          </w:p>
        </w:tc>
        <w:tc>
          <w:tcPr>
            <w:tcW w:w="1420" w:type="dxa"/>
            <w:noWrap/>
            <w:vAlign w:val="center"/>
            <w:hideMark/>
          </w:tcPr>
          <w:p w:rsidR="00842FA7" w:rsidRPr="00266809" w:rsidRDefault="00842FA7" w:rsidP="00081DC9">
            <w:pPr>
              <w:jc w:val="center"/>
              <w:rPr>
                <w:sz w:val="24"/>
                <w:szCs w:val="24"/>
              </w:rPr>
            </w:pPr>
            <w:r w:rsidRPr="00266809">
              <w:rPr>
                <w:sz w:val="24"/>
                <w:szCs w:val="24"/>
              </w:rPr>
              <w:t>21</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Herrmann</w:t>
            </w:r>
            <w:r w:rsidRPr="00266809">
              <w:rPr>
                <w:noProof/>
                <w:sz w:val="24"/>
                <w:szCs w:val="24"/>
                <w:vertAlign w:val="superscript"/>
              </w:rPr>
              <w:t>39</w:t>
            </w:r>
          </w:p>
        </w:tc>
        <w:tc>
          <w:tcPr>
            <w:tcW w:w="760" w:type="dxa"/>
            <w:noWrap/>
            <w:vAlign w:val="center"/>
            <w:hideMark/>
          </w:tcPr>
          <w:p w:rsidR="00842FA7" w:rsidRPr="00266809" w:rsidRDefault="00842FA7" w:rsidP="00081DC9">
            <w:pPr>
              <w:jc w:val="center"/>
              <w:rPr>
                <w:sz w:val="24"/>
                <w:szCs w:val="24"/>
              </w:rPr>
            </w:pPr>
            <w:r w:rsidRPr="00266809">
              <w:rPr>
                <w:sz w:val="24"/>
                <w:szCs w:val="24"/>
              </w:rPr>
              <w:t>2014</w:t>
            </w:r>
          </w:p>
        </w:tc>
        <w:tc>
          <w:tcPr>
            <w:tcW w:w="1380" w:type="dxa"/>
            <w:noWrap/>
            <w:vAlign w:val="center"/>
            <w:hideMark/>
          </w:tcPr>
          <w:p w:rsidR="00842FA7" w:rsidRPr="00266809" w:rsidRDefault="00842FA7" w:rsidP="00081DC9">
            <w:pPr>
              <w:jc w:val="center"/>
              <w:rPr>
                <w:sz w:val="24"/>
                <w:szCs w:val="24"/>
              </w:rPr>
            </w:pPr>
            <w:r w:rsidRPr="00266809">
              <w:rPr>
                <w:sz w:val="24"/>
                <w:szCs w:val="24"/>
              </w:rPr>
              <w:t>International</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2005–2007</w:t>
            </w:r>
          </w:p>
        </w:tc>
        <w:tc>
          <w:tcPr>
            <w:tcW w:w="3065" w:type="dxa"/>
            <w:noWrap/>
            <w:vAlign w:val="center"/>
            <w:hideMark/>
          </w:tcPr>
          <w:p w:rsidR="00842FA7" w:rsidRPr="00266809" w:rsidRDefault="00842FA7" w:rsidP="00081DC9">
            <w:pPr>
              <w:jc w:val="center"/>
              <w:rPr>
                <w:sz w:val="24"/>
                <w:szCs w:val="24"/>
              </w:rPr>
            </w:pPr>
            <w:r w:rsidRPr="00266809">
              <w:rPr>
                <w:sz w:val="24"/>
                <w:szCs w:val="24"/>
              </w:rPr>
              <w:t>RCT cohort</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3,579</w:t>
            </w:r>
          </w:p>
        </w:tc>
        <w:tc>
          <w:tcPr>
            <w:tcW w:w="1420" w:type="dxa"/>
            <w:noWrap/>
            <w:vAlign w:val="center"/>
            <w:hideMark/>
          </w:tcPr>
          <w:p w:rsidR="00842FA7" w:rsidRPr="00266809" w:rsidRDefault="00842FA7" w:rsidP="00081DC9">
            <w:pPr>
              <w:jc w:val="center"/>
              <w:rPr>
                <w:sz w:val="24"/>
                <w:szCs w:val="24"/>
              </w:rPr>
            </w:pPr>
            <w:r w:rsidRPr="00266809">
              <w:rPr>
                <w:sz w:val="24"/>
                <w:szCs w:val="24"/>
              </w:rPr>
              <w:t>12</w:t>
            </w:r>
          </w:p>
        </w:tc>
      </w:tr>
      <w:tr w:rsidR="00842FA7" w:rsidRPr="00266809" w:rsidTr="00081DC9">
        <w:trPr>
          <w:trHeight w:val="405"/>
        </w:trPr>
        <w:tc>
          <w:tcPr>
            <w:tcW w:w="1480" w:type="dxa"/>
            <w:noWrap/>
            <w:vAlign w:val="center"/>
            <w:hideMark/>
          </w:tcPr>
          <w:p w:rsidR="00842FA7" w:rsidRPr="00266809" w:rsidRDefault="00842FA7" w:rsidP="00081DC9">
            <w:pPr>
              <w:rPr>
                <w:sz w:val="24"/>
                <w:szCs w:val="24"/>
              </w:rPr>
            </w:pPr>
            <w:r w:rsidRPr="00266809">
              <w:rPr>
                <w:sz w:val="24"/>
                <w:szCs w:val="24"/>
              </w:rPr>
              <w:t>Mobeirek</w:t>
            </w:r>
            <w:r w:rsidRPr="00266809">
              <w:rPr>
                <w:noProof/>
                <w:sz w:val="24"/>
                <w:szCs w:val="24"/>
                <w:vertAlign w:val="superscript"/>
              </w:rPr>
              <w:t>40</w:t>
            </w:r>
          </w:p>
        </w:tc>
        <w:tc>
          <w:tcPr>
            <w:tcW w:w="760" w:type="dxa"/>
            <w:noWrap/>
            <w:vAlign w:val="center"/>
            <w:hideMark/>
          </w:tcPr>
          <w:p w:rsidR="00842FA7" w:rsidRPr="00266809" w:rsidRDefault="00842FA7" w:rsidP="00081DC9">
            <w:pPr>
              <w:jc w:val="center"/>
              <w:rPr>
                <w:sz w:val="24"/>
                <w:szCs w:val="24"/>
              </w:rPr>
            </w:pPr>
            <w:r w:rsidRPr="00266809">
              <w:rPr>
                <w:sz w:val="24"/>
                <w:szCs w:val="24"/>
              </w:rPr>
              <w:t>2014</w:t>
            </w:r>
          </w:p>
        </w:tc>
        <w:tc>
          <w:tcPr>
            <w:tcW w:w="1380" w:type="dxa"/>
            <w:noWrap/>
            <w:vAlign w:val="center"/>
            <w:hideMark/>
          </w:tcPr>
          <w:p w:rsidR="00842FA7" w:rsidRPr="00266809" w:rsidRDefault="00842FA7" w:rsidP="00081DC9">
            <w:pPr>
              <w:jc w:val="center"/>
              <w:rPr>
                <w:sz w:val="24"/>
                <w:szCs w:val="24"/>
              </w:rPr>
            </w:pPr>
            <w:r w:rsidRPr="00266809">
              <w:rPr>
                <w:sz w:val="24"/>
                <w:szCs w:val="24"/>
              </w:rPr>
              <w:t>Saudi Arabia</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2005-2007</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3469</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Shehab</w:t>
            </w:r>
            <w:r w:rsidRPr="00266809">
              <w:rPr>
                <w:noProof/>
                <w:sz w:val="24"/>
                <w:szCs w:val="24"/>
                <w:vertAlign w:val="superscript"/>
              </w:rPr>
              <w:t>41</w:t>
            </w:r>
          </w:p>
        </w:tc>
        <w:tc>
          <w:tcPr>
            <w:tcW w:w="760" w:type="dxa"/>
            <w:noWrap/>
            <w:vAlign w:val="center"/>
            <w:hideMark/>
          </w:tcPr>
          <w:p w:rsidR="00842FA7" w:rsidRPr="00266809" w:rsidRDefault="00842FA7" w:rsidP="00081DC9">
            <w:pPr>
              <w:jc w:val="center"/>
              <w:rPr>
                <w:sz w:val="24"/>
                <w:szCs w:val="24"/>
              </w:rPr>
            </w:pPr>
            <w:r w:rsidRPr="00266809">
              <w:rPr>
                <w:sz w:val="24"/>
                <w:szCs w:val="24"/>
              </w:rPr>
              <w:t>2014</w:t>
            </w:r>
          </w:p>
        </w:tc>
        <w:tc>
          <w:tcPr>
            <w:tcW w:w="1380" w:type="dxa"/>
            <w:noWrap/>
            <w:vAlign w:val="center"/>
            <w:hideMark/>
          </w:tcPr>
          <w:p w:rsidR="00842FA7" w:rsidRPr="00266809" w:rsidRDefault="00842FA7" w:rsidP="00081DC9">
            <w:pPr>
              <w:jc w:val="center"/>
              <w:rPr>
                <w:sz w:val="24"/>
                <w:szCs w:val="24"/>
              </w:rPr>
            </w:pPr>
            <w:r w:rsidRPr="00266809">
              <w:rPr>
                <w:sz w:val="24"/>
                <w:szCs w:val="24"/>
              </w:rPr>
              <w:t>Arabian Gulf</w:t>
            </w:r>
          </w:p>
        </w:tc>
        <w:tc>
          <w:tcPr>
            <w:tcW w:w="1450" w:type="dxa"/>
            <w:noWrap/>
            <w:vAlign w:val="center"/>
            <w:hideMark/>
          </w:tcPr>
          <w:p w:rsidR="00842FA7" w:rsidRPr="00266809" w:rsidRDefault="00842FA7" w:rsidP="00081DC9">
            <w:pPr>
              <w:jc w:val="center"/>
              <w:rPr>
                <w:sz w:val="24"/>
                <w:szCs w:val="24"/>
              </w:rPr>
            </w:pPr>
            <w:r w:rsidRPr="00266809">
              <w:rPr>
                <w:sz w:val="24"/>
                <w:szCs w:val="24"/>
              </w:rPr>
              <w:t>2008-2009</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ACS</w:t>
            </w:r>
          </w:p>
        </w:tc>
        <w:tc>
          <w:tcPr>
            <w:tcW w:w="829" w:type="dxa"/>
            <w:noWrap/>
            <w:vAlign w:val="center"/>
            <w:hideMark/>
          </w:tcPr>
          <w:p w:rsidR="00842FA7" w:rsidRPr="00266809" w:rsidRDefault="00842FA7" w:rsidP="00081DC9">
            <w:pPr>
              <w:jc w:val="center"/>
              <w:rPr>
                <w:sz w:val="24"/>
                <w:szCs w:val="24"/>
              </w:rPr>
            </w:pPr>
            <w:r w:rsidRPr="00266809">
              <w:rPr>
                <w:sz w:val="24"/>
                <w:szCs w:val="24"/>
              </w:rPr>
              <w:t>4379</w:t>
            </w:r>
          </w:p>
        </w:tc>
        <w:tc>
          <w:tcPr>
            <w:tcW w:w="1420" w:type="dxa"/>
            <w:noWrap/>
            <w:vAlign w:val="center"/>
            <w:hideMark/>
          </w:tcPr>
          <w:p w:rsidR="00842FA7" w:rsidRPr="00266809" w:rsidRDefault="00842FA7" w:rsidP="00081DC9">
            <w:pPr>
              <w:jc w:val="center"/>
              <w:rPr>
                <w:sz w:val="24"/>
                <w:szCs w:val="24"/>
              </w:rPr>
            </w:pPr>
            <w:r w:rsidRPr="00266809">
              <w:rPr>
                <w:sz w:val="24"/>
                <w:szCs w:val="24"/>
              </w:rPr>
              <w:t>1</w:t>
            </w:r>
          </w:p>
        </w:tc>
      </w:tr>
      <w:tr w:rsidR="00842FA7" w:rsidRPr="00266809" w:rsidTr="00081DC9">
        <w:trPr>
          <w:trHeight w:val="300"/>
        </w:trPr>
        <w:tc>
          <w:tcPr>
            <w:tcW w:w="1480" w:type="dxa"/>
            <w:noWrap/>
            <w:vAlign w:val="center"/>
            <w:hideMark/>
          </w:tcPr>
          <w:p w:rsidR="00842FA7" w:rsidRPr="00266809" w:rsidRDefault="00842FA7" w:rsidP="00081DC9">
            <w:pPr>
              <w:rPr>
                <w:sz w:val="24"/>
                <w:szCs w:val="24"/>
              </w:rPr>
            </w:pPr>
            <w:r w:rsidRPr="00266809">
              <w:rPr>
                <w:sz w:val="24"/>
                <w:szCs w:val="24"/>
              </w:rPr>
              <w:t>Witassek</w:t>
            </w:r>
            <w:r w:rsidRPr="00266809">
              <w:rPr>
                <w:noProof/>
                <w:sz w:val="24"/>
                <w:szCs w:val="24"/>
                <w:vertAlign w:val="superscript"/>
              </w:rPr>
              <w:t>42</w:t>
            </w:r>
          </w:p>
        </w:tc>
        <w:tc>
          <w:tcPr>
            <w:tcW w:w="760" w:type="dxa"/>
            <w:noWrap/>
            <w:vAlign w:val="center"/>
            <w:hideMark/>
          </w:tcPr>
          <w:p w:rsidR="00842FA7" w:rsidRPr="00266809" w:rsidRDefault="00842FA7" w:rsidP="00081DC9">
            <w:pPr>
              <w:jc w:val="center"/>
              <w:rPr>
                <w:sz w:val="24"/>
                <w:szCs w:val="24"/>
              </w:rPr>
            </w:pPr>
            <w:r w:rsidRPr="00266809">
              <w:rPr>
                <w:sz w:val="24"/>
                <w:szCs w:val="24"/>
              </w:rPr>
              <w:t>2014</w:t>
            </w:r>
          </w:p>
        </w:tc>
        <w:tc>
          <w:tcPr>
            <w:tcW w:w="1380" w:type="dxa"/>
            <w:noWrap/>
            <w:vAlign w:val="center"/>
            <w:hideMark/>
          </w:tcPr>
          <w:p w:rsidR="00842FA7" w:rsidRPr="00266809" w:rsidRDefault="00842FA7" w:rsidP="00081DC9">
            <w:pPr>
              <w:jc w:val="center"/>
              <w:rPr>
                <w:sz w:val="24"/>
                <w:szCs w:val="24"/>
              </w:rPr>
            </w:pPr>
            <w:r w:rsidRPr="00266809">
              <w:rPr>
                <w:sz w:val="24"/>
                <w:szCs w:val="24"/>
              </w:rPr>
              <w:t>Switzerland</w:t>
            </w:r>
          </w:p>
        </w:tc>
        <w:tc>
          <w:tcPr>
            <w:tcW w:w="1450" w:type="dxa"/>
            <w:noWrap/>
            <w:vAlign w:val="center"/>
            <w:hideMark/>
          </w:tcPr>
          <w:p w:rsidR="00842FA7" w:rsidRPr="00266809" w:rsidRDefault="00842FA7" w:rsidP="00081DC9">
            <w:pPr>
              <w:jc w:val="center"/>
              <w:rPr>
                <w:sz w:val="24"/>
                <w:szCs w:val="24"/>
              </w:rPr>
            </w:pPr>
            <w:r w:rsidRPr="00266809">
              <w:rPr>
                <w:sz w:val="24"/>
                <w:szCs w:val="24"/>
              </w:rPr>
              <w:t>2005–2012</w:t>
            </w:r>
          </w:p>
        </w:tc>
        <w:tc>
          <w:tcPr>
            <w:tcW w:w="3065" w:type="dxa"/>
            <w:noWrap/>
            <w:vAlign w:val="center"/>
            <w:hideMark/>
          </w:tcPr>
          <w:p w:rsidR="00842FA7" w:rsidRPr="00266809" w:rsidRDefault="00842FA7" w:rsidP="00081DC9">
            <w:pPr>
              <w:jc w:val="center"/>
              <w:rPr>
                <w:sz w:val="24"/>
                <w:szCs w:val="24"/>
              </w:rPr>
            </w:pPr>
            <w:r w:rsidRPr="00266809">
              <w:rPr>
                <w:sz w:val="24"/>
                <w:szCs w:val="24"/>
              </w:rPr>
              <w:t xml:space="preserve">Prospective </w:t>
            </w:r>
            <w:r w:rsidRPr="00266809">
              <w:rPr>
                <w:noProof/>
                <w:sz w:val="24"/>
                <w:szCs w:val="24"/>
              </w:rPr>
              <w:t>registry</w:t>
            </w:r>
          </w:p>
        </w:tc>
        <w:tc>
          <w:tcPr>
            <w:tcW w:w="1271" w:type="dxa"/>
            <w:noWrap/>
            <w:vAlign w:val="center"/>
            <w:hideMark/>
          </w:tcPr>
          <w:p w:rsidR="00842FA7" w:rsidRPr="00266809" w:rsidRDefault="00842FA7" w:rsidP="00081DC9">
            <w:pPr>
              <w:jc w:val="center"/>
              <w:rPr>
                <w:sz w:val="24"/>
                <w:szCs w:val="24"/>
              </w:rPr>
            </w:pPr>
            <w:r w:rsidRPr="00266809">
              <w:rPr>
                <w:sz w:val="24"/>
                <w:szCs w:val="24"/>
              </w:rPr>
              <w:t>STEMI</w:t>
            </w:r>
          </w:p>
        </w:tc>
        <w:tc>
          <w:tcPr>
            <w:tcW w:w="829" w:type="dxa"/>
            <w:noWrap/>
            <w:vAlign w:val="center"/>
            <w:hideMark/>
          </w:tcPr>
          <w:p w:rsidR="00842FA7" w:rsidRPr="00266809" w:rsidRDefault="00842FA7" w:rsidP="00081DC9">
            <w:pPr>
              <w:jc w:val="center"/>
              <w:rPr>
                <w:sz w:val="24"/>
                <w:szCs w:val="24"/>
              </w:rPr>
            </w:pPr>
            <w:r w:rsidRPr="00266809">
              <w:rPr>
                <w:sz w:val="24"/>
                <w:szCs w:val="24"/>
              </w:rPr>
              <w:t>6,938</w:t>
            </w:r>
          </w:p>
        </w:tc>
        <w:tc>
          <w:tcPr>
            <w:tcW w:w="1420" w:type="dxa"/>
            <w:noWrap/>
            <w:vAlign w:val="center"/>
            <w:hideMark/>
          </w:tcPr>
          <w:p w:rsidR="00842FA7" w:rsidRPr="00266809" w:rsidRDefault="00842FA7" w:rsidP="00081DC9">
            <w:pPr>
              <w:jc w:val="center"/>
              <w:rPr>
                <w:sz w:val="24"/>
                <w:szCs w:val="24"/>
              </w:rPr>
            </w:pPr>
            <w:r w:rsidRPr="00266809">
              <w:rPr>
                <w:sz w:val="24"/>
                <w:szCs w:val="24"/>
              </w:rPr>
              <w:t>IH</w:t>
            </w:r>
          </w:p>
        </w:tc>
      </w:tr>
    </w:tbl>
    <w:p w:rsidR="00842FA7" w:rsidRPr="00266809" w:rsidRDefault="00842FA7" w:rsidP="0052196B">
      <w:pPr>
        <w:jc w:val="both"/>
        <w:rPr>
          <w:sz w:val="24"/>
          <w:szCs w:val="24"/>
        </w:rPr>
      </w:pPr>
    </w:p>
    <w:p w:rsidR="00842FA7" w:rsidRPr="00266809" w:rsidRDefault="00F04EB4" w:rsidP="0052196B">
      <w:pPr>
        <w:jc w:val="both"/>
        <w:rPr>
          <w:sz w:val="24"/>
          <w:szCs w:val="24"/>
        </w:rPr>
      </w:pPr>
      <w:r>
        <w:rPr>
          <w:sz w:val="24"/>
          <w:szCs w:val="24"/>
        </w:rPr>
        <w:t>Notes</w:t>
      </w:r>
      <w:r w:rsidR="00842FA7" w:rsidRPr="00266809">
        <w:rPr>
          <w:sz w:val="24"/>
          <w:szCs w:val="24"/>
        </w:rPr>
        <w:t>: General characteristic of included studies. IH: In-hospital, NR: not reported.</w:t>
      </w:r>
    </w:p>
    <w:p w:rsidR="00842FA7" w:rsidRPr="00266809" w:rsidRDefault="00842FA7" w:rsidP="0052196B">
      <w:pPr>
        <w:jc w:val="both"/>
        <w:rPr>
          <w:sz w:val="24"/>
          <w:szCs w:val="24"/>
        </w:rPr>
      </w:pPr>
    </w:p>
    <w:p w:rsidR="00842FA7" w:rsidRPr="00266809" w:rsidRDefault="00842FA7" w:rsidP="0052196B">
      <w:pPr>
        <w:jc w:val="both"/>
        <w:rPr>
          <w:sz w:val="24"/>
          <w:szCs w:val="24"/>
        </w:rPr>
      </w:pPr>
      <w:r w:rsidRPr="00266809">
        <w:rPr>
          <w:sz w:val="24"/>
          <w:szCs w:val="24"/>
        </w:rPr>
        <w:br w:type="page"/>
      </w:r>
    </w:p>
    <w:p w:rsidR="00842FA7" w:rsidRPr="00266809" w:rsidRDefault="00DC7437" w:rsidP="0052196B">
      <w:pPr>
        <w:jc w:val="both"/>
        <w:rPr>
          <w:sz w:val="24"/>
          <w:szCs w:val="24"/>
        </w:rPr>
      </w:pPr>
      <w:r>
        <w:rPr>
          <w:sz w:val="24"/>
          <w:szCs w:val="24"/>
        </w:rPr>
        <w:lastRenderedPageBreak/>
        <w:t>Table 2</w:t>
      </w:r>
      <w:r w:rsidR="00842FA7" w:rsidRPr="00266809">
        <w:rPr>
          <w:sz w:val="24"/>
          <w:szCs w:val="24"/>
        </w:rPr>
        <w:t xml:space="preserve">: </w:t>
      </w:r>
    </w:p>
    <w:tbl>
      <w:tblPr>
        <w:tblStyle w:val="Tablaconcuadrcula"/>
        <w:tblW w:w="0" w:type="auto"/>
        <w:tblLook w:val="04A0" w:firstRow="1" w:lastRow="0" w:firstColumn="1" w:lastColumn="0" w:noHBand="0" w:noVBand="1"/>
      </w:tblPr>
      <w:tblGrid>
        <w:gridCol w:w="1318"/>
        <w:gridCol w:w="5891"/>
        <w:gridCol w:w="655"/>
        <w:gridCol w:w="545"/>
        <w:gridCol w:w="545"/>
        <w:gridCol w:w="1786"/>
        <w:gridCol w:w="2057"/>
      </w:tblGrid>
      <w:tr w:rsidR="00842FA7" w:rsidRPr="00266809" w:rsidTr="00081DC9">
        <w:trPr>
          <w:trHeight w:val="300"/>
        </w:trPr>
        <w:tc>
          <w:tcPr>
            <w:tcW w:w="1318" w:type="dxa"/>
            <w:noWrap/>
            <w:vAlign w:val="center"/>
            <w:hideMark/>
          </w:tcPr>
          <w:p w:rsidR="00842FA7" w:rsidRPr="00266809" w:rsidRDefault="00842FA7" w:rsidP="00081DC9">
            <w:r w:rsidRPr="00266809">
              <w:t>Study</w:t>
            </w:r>
          </w:p>
        </w:tc>
        <w:tc>
          <w:tcPr>
            <w:tcW w:w="5891" w:type="dxa"/>
            <w:noWrap/>
            <w:hideMark/>
          </w:tcPr>
          <w:p w:rsidR="00842FA7" w:rsidRPr="00266809" w:rsidRDefault="00842FA7" w:rsidP="00F04EB4">
            <w:r w:rsidRPr="00266809">
              <w:t>Main findings</w:t>
            </w:r>
          </w:p>
        </w:tc>
        <w:tc>
          <w:tcPr>
            <w:tcW w:w="655" w:type="dxa"/>
            <w:noWrap/>
            <w:vAlign w:val="center"/>
            <w:hideMark/>
          </w:tcPr>
          <w:p w:rsidR="00842FA7" w:rsidRPr="00266809" w:rsidRDefault="00842FA7" w:rsidP="00F04EB4">
            <w:pPr>
              <w:jc w:val="center"/>
            </w:pPr>
            <w:r w:rsidRPr="00266809">
              <w:t>S</w:t>
            </w:r>
          </w:p>
        </w:tc>
        <w:tc>
          <w:tcPr>
            <w:tcW w:w="545" w:type="dxa"/>
            <w:noWrap/>
            <w:vAlign w:val="center"/>
            <w:hideMark/>
          </w:tcPr>
          <w:p w:rsidR="00842FA7" w:rsidRPr="00266809" w:rsidRDefault="00842FA7" w:rsidP="00F04EB4">
            <w:pPr>
              <w:jc w:val="center"/>
            </w:pPr>
            <w:r w:rsidRPr="00266809">
              <w:t>C</w:t>
            </w:r>
          </w:p>
        </w:tc>
        <w:tc>
          <w:tcPr>
            <w:tcW w:w="545" w:type="dxa"/>
            <w:noWrap/>
            <w:vAlign w:val="center"/>
            <w:hideMark/>
          </w:tcPr>
          <w:p w:rsidR="00842FA7" w:rsidRPr="00266809" w:rsidRDefault="00842FA7" w:rsidP="00F04EB4">
            <w:pPr>
              <w:jc w:val="center"/>
            </w:pPr>
            <w:r w:rsidRPr="00266809">
              <w:t>O</w:t>
            </w:r>
          </w:p>
        </w:tc>
        <w:tc>
          <w:tcPr>
            <w:tcW w:w="1786" w:type="dxa"/>
            <w:noWrap/>
            <w:vAlign w:val="center"/>
            <w:hideMark/>
          </w:tcPr>
          <w:p w:rsidR="00842FA7" w:rsidRPr="00266809" w:rsidRDefault="00842FA7" w:rsidP="00F04EB4">
            <w:pPr>
              <w:jc w:val="center"/>
            </w:pPr>
            <w:r w:rsidRPr="00266809">
              <w:t>Baseline measurement</w:t>
            </w:r>
          </w:p>
        </w:tc>
        <w:tc>
          <w:tcPr>
            <w:tcW w:w="2057" w:type="dxa"/>
            <w:noWrap/>
            <w:vAlign w:val="center"/>
            <w:hideMark/>
          </w:tcPr>
          <w:p w:rsidR="00842FA7" w:rsidRPr="00266809" w:rsidRDefault="00842FA7" w:rsidP="00F04EB4">
            <w:pPr>
              <w:jc w:val="center"/>
            </w:pPr>
            <w:r w:rsidRPr="00266809">
              <w:t>Follow-up modality</w:t>
            </w:r>
          </w:p>
        </w:tc>
      </w:tr>
      <w:tr w:rsidR="00842FA7" w:rsidRPr="00266809" w:rsidTr="00081DC9">
        <w:trPr>
          <w:trHeight w:val="345"/>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Hoit</w:t>
            </w:r>
            <w:proofErr w:type="spellEnd"/>
            <w:r w:rsidRPr="00266809">
              <w:rPr>
                <w:rFonts w:ascii="Calibri" w:hAnsi="Calibri"/>
                <w:color w:val="000000"/>
              </w:rPr>
              <w:t xml:space="preserve"> 1987</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Obese patients had reduced mortality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0</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Telephone and death records</w:t>
            </w:r>
          </w:p>
        </w:tc>
      </w:tr>
      <w:tr w:rsidR="00842FA7" w:rsidRPr="00266809" w:rsidTr="00081DC9">
        <w:trPr>
          <w:trHeight w:val="39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Kaplan 2002</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noProof/>
                <w:color w:val="000000"/>
              </w:rPr>
              <w:t>MVA ,</w:t>
            </w:r>
            <w:r w:rsidRPr="00266809">
              <w:rPr>
                <w:rFonts w:ascii="Calibri" w:hAnsi="Calibri"/>
                <w:color w:val="000000"/>
              </w:rPr>
              <w:t xml:space="preserve"> U-shaped pattern with nadir in BMI 26.2-28.6, normal </w:t>
            </w:r>
            <w:r w:rsidRPr="00266809">
              <w:rPr>
                <w:rFonts w:ascii="Calibri" w:hAnsi="Calibri"/>
                <w:noProof/>
                <w:color w:val="000000"/>
              </w:rPr>
              <w:t>vs</w:t>
            </w:r>
            <w:r w:rsidRPr="00266809">
              <w:rPr>
                <w:rFonts w:ascii="Calibri" w:hAnsi="Calibri"/>
                <w:color w:val="000000"/>
              </w:rPr>
              <w:t xml:space="preserve"> overweight HR 1.80 (1.30 - 2.50)</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Outpatient medical records</w:t>
            </w:r>
          </w:p>
        </w:tc>
        <w:tc>
          <w:tcPr>
            <w:tcW w:w="2057" w:type="dxa"/>
            <w:noWrap/>
            <w:hideMark/>
          </w:tcPr>
          <w:p w:rsidR="00842FA7" w:rsidRPr="00266809" w:rsidRDefault="00842FA7" w:rsidP="00F04EB4">
            <w:r w:rsidRPr="00266809">
              <w:t>Medical records and death certificates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noProof/>
                <w:color w:val="000000"/>
              </w:rPr>
              <w:t>Nes</w:t>
            </w:r>
            <w:r w:rsidRPr="00266809">
              <w:rPr>
                <w:rFonts w:ascii="Calibri" w:hAnsi="Calibri"/>
                <w:color w:val="000000"/>
              </w:rPr>
              <w:t xml:space="preserve"> 2002</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0.69 (0.58 to 0.82) and obese HR 0.79 (0.66 - 0.93) compared to BMI less than 24</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Outpatient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Lopez-Jimenez 2004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0.74 (0.65–0.85) and obese HR 0.75 (0.63–0.88)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Medical records and death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Rana 2004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0.90 (0.68–1.18) and obese HR 1.23 (0.87–1.74)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Death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Eisenstein 2005</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0.74 (0.60, 0.93) and obese HR 0.68 (0.51, 0.92)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Kennedy 2005</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OR 0.89 (0.73–1.12) and obese OR 0.92 (0.70–1.23)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NR</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Kragelund</w:t>
            </w:r>
            <w:proofErr w:type="spellEnd"/>
            <w:r w:rsidRPr="00266809">
              <w:rPr>
                <w:rFonts w:ascii="Calibri" w:hAnsi="Calibri"/>
                <w:color w:val="000000"/>
              </w:rPr>
              <w:t xml:space="preserve"> 2005</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"BMI is inversely related to </w:t>
            </w:r>
            <w:r w:rsidRPr="00266809">
              <w:rPr>
                <w:rFonts w:ascii="Calibri" w:hAnsi="Calibri"/>
                <w:noProof/>
                <w:color w:val="000000"/>
              </w:rPr>
              <w:t>mortality"</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Death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Nigam 2005</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0.71 (0.51, 0.97) and obese HR 0.61 (0.42, 0.89)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w:t>
            </w:r>
          </w:p>
        </w:tc>
        <w:tc>
          <w:tcPr>
            <w:tcW w:w="2057" w:type="dxa"/>
            <w:noWrap/>
            <w:hideMark/>
          </w:tcPr>
          <w:p w:rsidR="00842FA7" w:rsidRPr="00266809" w:rsidRDefault="00842FA7" w:rsidP="00F04EB4">
            <w:r w:rsidRPr="00266809">
              <w:t>Medical records and death certificates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Diercks</w:t>
            </w:r>
            <w:proofErr w:type="spellEnd"/>
            <w:r w:rsidRPr="00266809">
              <w:rPr>
                <w:rFonts w:ascii="Calibri" w:hAnsi="Calibri"/>
                <w:color w:val="000000"/>
              </w:rPr>
              <w:t xml:space="preserve"> 2006</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“lower death rates among overweight and </w:t>
            </w:r>
            <w:r w:rsidRPr="00266809">
              <w:rPr>
                <w:rFonts w:ascii="Calibri" w:hAnsi="Calibri"/>
                <w:noProof/>
                <w:color w:val="000000"/>
              </w:rPr>
              <w:t>obesity”</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Goldberg 2006</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"non-significant reduction in </w:t>
            </w:r>
            <w:r w:rsidRPr="00266809">
              <w:rPr>
                <w:rFonts w:ascii="Calibri" w:hAnsi="Calibri"/>
                <w:noProof/>
                <w:color w:val="000000"/>
              </w:rPr>
              <w:t>mortality"</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Iakobishvili</w:t>
            </w:r>
            <w:proofErr w:type="spellEnd"/>
            <w:r w:rsidRPr="00266809">
              <w:rPr>
                <w:rFonts w:ascii="Calibri" w:hAnsi="Calibri"/>
                <w:color w:val="000000"/>
              </w:rPr>
              <w:t xml:space="preserve"> 2006</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"death rates were not statistically significant among BMI </w:t>
            </w:r>
            <w:r w:rsidRPr="00266809">
              <w:rPr>
                <w:rFonts w:ascii="Calibri" w:hAnsi="Calibri"/>
                <w:noProof/>
                <w:color w:val="000000"/>
              </w:rPr>
              <w:t>groups"</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0</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Nikolsky</w:t>
            </w:r>
            <w:proofErr w:type="spellEnd"/>
            <w:r w:rsidRPr="00266809">
              <w:rPr>
                <w:rFonts w:ascii="Calibri" w:hAnsi="Calibri"/>
                <w:color w:val="000000"/>
              </w:rPr>
              <w:t xml:space="preserve"> 2006</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HR 0.95 (0.88-1.03)</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Contact and visits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Wells 2006</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"BMI no does not adversely impact </w:t>
            </w:r>
            <w:r w:rsidRPr="00266809">
              <w:rPr>
                <w:rFonts w:ascii="Calibri" w:hAnsi="Calibri"/>
                <w:noProof/>
                <w:color w:val="000000"/>
              </w:rPr>
              <w:t>mortality"</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NR</w:t>
            </w:r>
          </w:p>
        </w:tc>
      </w:tr>
      <w:tr w:rsidR="00842FA7" w:rsidRPr="00266809" w:rsidTr="00081DC9">
        <w:trPr>
          <w:trHeight w:val="315"/>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Buettner</w:t>
            </w:r>
            <w:proofErr w:type="spellEnd"/>
            <w:r w:rsidRPr="00266809">
              <w:rPr>
                <w:rFonts w:ascii="Calibri" w:hAnsi="Calibri"/>
                <w:color w:val="000000"/>
              </w:rPr>
              <w:t xml:space="preserve"> </w:t>
            </w:r>
            <w:r w:rsidRPr="00266809">
              <w:rPr>
                <w:rFonts w:ascii="Calibri" w:hAnsi="Calibri"/>
                <w:color w:val="000000"/>
              </w:rPr>
              <w:lastRenderedPageBreak/>
              <w:t>2007</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lastRenderedPageBreak/>
              <w:t xml:space="preserve">MVA, BMI &gt;30 kg/m2 HR 0.27 (0.08–0.92) compared to normal </w:t>
            </w:r>
            <w:r w:rsidRPr="00266809">
              <w:rPr>
                <w:rFonts w:ascii="Calibri" w:hAnsi="Calibri"/>
                <w:color w:val="000000"/>
              </w:rPr>
              <w:lastRenderedPageBreak/>
              <w:t>weight</w:t>
            </w:r>
          </w:p>
        </w:tc>
        <w:tc>
          <w:tcPr>
            <w:tcW w:w="655" w:type="dxa"/>
            <w:noWrap/>
            <w:vAlign w:val="center"/>
            <w:hideMark/>
          </w:tcPr>
          <w:p w:rsidR="00842FA7" w:rsidRPr="00266809" w:rsidRDefault="00842FA7" w:rsidP="00F04EB4">
            <w:pPr>
              <w:jc w:val="center"/>
            </w:pPr>
            <w:r w:rsidRPr="00266809">
              <w:lastRenderedPageBreak/>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 xml:space="preserve">Inpatient </w:t>
            </w:r>
            <w:r w:rsidRPr="00266809">
              <w:lastRenderedPageBreak/>
              <w:t>prospectively</w:t>
            </w:r>
          </w:p>
        </w:tc>
        <w:tc>
          <w:tcPr>
            <w:tcW w:w="2057" w:type="dxa"/>
            <w:noWrap/>
            <w:hideMark/>
          </w:tcPr>
          <w:p w:rsidR="00842FA7" w:rsidRPr="00266809" w:rsidRDefault="00842FA7" w:rsidP="00F04EB4">
            <w:r w:rsidRPr="00266809">
              <w:lastRenderedPageBreak/>
              <w:t>Visits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lastRenderedPageBreak/>
              <w:t>Mehta 2007</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&gt;30 kg/m2 "neutral risk"</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Kosuge</w:t>
            </w:r>
            <w:proofErr w:type="spellEnd"/>
            <w:r w:rsidRPr="00266809">
              <w:rPr>
                <w:rFonts w:ascii="Calibri" w:hAnsi="Calibri"/>
                <w:color w:val="000000"/>
              </w:rPr>
              <w:t xml:space="preserve"> 2008</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OR 0.79 (0.12–7.56) and obese OR 0.40 (0.43–2.55)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Lee 2008</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0.58 (0.30–1.01) and obese HR 0.31 (0.07–1.35)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Telephone or visits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Lopez-Jimenez 2008</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0.96 (0.69-1.35) and obese HR 0.74 (0.51-1.07)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435"/>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Zeller 2008</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HR 1.01 (95% CI 0.97-1.06)</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Contact and medical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noProof/>
                <w:color w:val="000000"/>
              </w:rPr>
              <w:t>Wienbergen</w:t>
            </w:r>
            <w:r w:rsidRPr="00266809">
              <w:rPr>
                <w:rFonts w:ascii="Calibri" w:hAnsi="Calibri"/>
                <w:color w:val="000000"/>
              </w:rPr>
              <w:t xml:space="preserve"> 2008</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obese OR 0.50 (0.40–0.79)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Treating physician</w:t>
            </w:r>
          </w:p>
        </w:tc>
      </w:tr>
      <w:tr w:rsidR="00842FA7" w:rsidRPr="00266809" w:rsidTr="00081DC9">
        <w:trPr>
          <w:trHeight w:val="6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Aronson 2010</w:t>
            </w:r>
          </w:p>
        </w:tc>
        <w:tc>
          <w:tcPr>
            <w:tcW w:w="5891" w:type="dxa"/>
            <w:vAlign w:val="center"/>
            <w:hideMark/>
          </w:tcPr>
          <w:p w:rsidR="00842FA7" w:rsidRPr="00266809" w:rsidRDefault="00842FA7" w:rsidP="00F04EB4">
            <w:pPr>
              <w:rPr>
                <w:rFonts w:ascii="Calibri" w:hAnsi="Calibri"/>
                <w:color w:val="000000"/>
              </w:rPr>
            </w:pPr>
            <w:r w:rsidRPr="00266809">
              <w:rPr>
                <w:rFonts w:ascii="Calibri" w:hAnsi="Calibri"/>
                <w:color w:val="000000"/>
              </w:rPr>
              <w:t>MVA, BMI of 26.5-27.9 was the lowest risk category</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Hadi 2010</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OR 0.91 (0.31-1.19)</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Mahaffey 2010</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per  5 mg/k2 BMI increase: under BMI 30 HR 0.86 (0.75-0.97) and over BMI 30 1.22 (1.07-1.38)</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Telephone or clinic</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Shechter</w:t>
            </w:r>
            <w:proofErr w:type="spellEnd"/>
            <w:r w:rsidRPr="00266809">
              <w:rPr>
                <w:rFonts w:ascii="Calibri" w:hAnsi="Calibri"/>
                <w:color w:val="000000"/>
              </w:rPr>
              <w:t xml:space="preserve"> 2010</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0.65 (0.54–0.78) and obese HR 0.91 (0.73–1.13)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Death records</w:t>
            </w:r>
          </w:p>
        </w:tc>
      </w:tr>
      <w:tr w:rsidR="00842FA7" w:rsidRPr="00266809" w:rsidTr="00081DC9">
        <w:trPr>
          <w:trHeight w:val="345"/>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t>Das 2011</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30-34.9 was the lowest risk category, normal BMI OR 1.10 (0.91-1.33) and overweight OR 0.99 (0.87-1-13)</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Timoteo</w:t>
            </w:r>
            <w:proofErr w:type="spellEnd"/>
            <w:r w:rsidRPr="00266809">
              <w:rPr>
                <w:rFonts w:ascii="Calibri" w:hAnsi="Calibri"/>
                <w:color w:val="000000"/>
              </w:rPr>
              <w:t xml:space="preserve"> 2011</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OR 0.37 (0.15-0.95) and obese OR 1.01 (0.31-3.24)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Bucholz</w:t>
            </w:r>
            <w:proofErr w:type="spellEnd"/>
            <w:r w:rsidRPr="00266809">
              <w:rPr>
                <w:rFonts w:ascii="Calibri" w:hAnsi="Calibri"/>
                <w:color w:val="000000"/>
              </w:rPr>
              <w:t xml:space="preserve"> 2012</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0.92 (0.71-1.18) and obese HR 0.77 (0.56-1.06)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Death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Camprubi</w:t>
            </w:r>
            <w:proofErr w:type="spellEnd"/>
            <w:r w:rsidRPr="00266809">
              <w:rPr>
                <w:rFonts w:ascii="Calibri" w:hAnsi="Calibri"/>
                <w:color w:val="000000"/>
              </w:rPr>
              <w:t xml:space="preserve"> 2012</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BMI OR 0.73 (0.59-0.91)</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Lazzeri</w:t>
            </w:r>
            <w:proofErr w:type="spellEnd"/>
            <w:r w:rsidRPr="00266809">
              <w:rPr>
                <w:rFonts w:ascii="Calibri" w:hAnsi="Calibri"/>
                <w:color w:val="000000"/>
              </w:rPr>
              <w:t xml:space="preserve"> 2012</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HR 1.39 (0.95-2.02) and obese HR 0.60 (0.37-1.69)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Phone</w:t>
            </w:r>
          </w:p>
        </w:tc>
      </w:tr>
      <w:tr w:rsidR="00842FA7" w:rsidRPr="00266809" w:rsidTr="00081DC9">
        <w:trPr>
          <w:trHeight w:val="345"/>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noProof/>
                <w:color w:val="000000"/>
              </w:rPr>
              <w:t>Angeras</w:t>
            </w:r>
            <w:r w:rsidRPr="00266809">
              <w:rPr>
                <w:rFonts w:ascii="Calibri" w:hAnsi="Calibri"/>
                <w:color w:val="000000"/>
              </w:rPr>
              <w:t xml:space="preserve"> </w:t>
            </w:r>
            <w:r w:rsidRPr="00266809">
              <w:rPr>
                <w:rFonts w:ascii="Calibri" w:hAnsi="Calibri"/>
                <w:color w:val="000000"/>
              </w:rPr>
              <w:lastRenderedPageBreak/>
              <w:t>2013</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lastRenderedPageBreak/>
              <w:t>MVA, overweight HR 0.63 (0.52–0.76) and obese 0.66 (0.55–</w:t>
            </w:r>
            <w:r w:rsidRPr="00266809">
              <w:rPr>
                <w:rFonts w:ascii="Calibri" w:hAnsi="Calibri"/>
                <w:color w:val="000000"/>
              </w:rPr>
              <w:lastRenderedPageBreak/>
              <w:t>0.79) compared to BMI 21-23.5</w:t>
            </w:r>
          </w:p>
        </w:tc>
        <w:tc>
          <w:tcPr>
            <w:tcW w:w="655" w:type="dxa"/>
            <w:noWrap/>
            <w:vAlign w:val="center"/>
            <w:hideMark/>
          </w:tcPr>
          <w:p w:rsidR="00842FA7" w:rsidRPr="00266809" w:rsidRDefault="00842FA7" w:rsidP="00F04EB4">
            <w:pPr>
              <w:jc w:val="center"/>
            </w:pPr>
            <w:r w:rsidRPr="00266809">
              <w:lastRenderedPageBreak/>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Medical records</w:t>
            </w:r>
          </w:p>
        </w:tc>
        <w:tc>
          <w:tcPr>
            <w:tcW w:w="2057" w:type="dxa"/>
            <w:noWrap/>
            <w:hideMark/>
          </w:tcPr>
          <w:p w:rsidR="00842FA7" w:rsidRPr="00266809" w:rsidRDefault="00842FA7" w:rsidP="00F04EB4">
            <w:r w:rsidRPr="00266809">
              <w:t>Death records</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color w:val="000000"/>
              </w:rPr>
              <w:lastRenderedPageBreak/>
              <w:t>Herrmann 2014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"similar adjusted acute and long-term </w:t>
            </w:r>
            <w:r w:rsidRPr="00266809">
              <w:rPr>
                <w:rFonts w:ascii="Calibri" w:hAnsi="Calibri"/>
                <w:noProof/>
                <w:color w:val="000000"/>
              </w:rPr>
              <w:t>outcomes"</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Contact and visits</w:t>
            </w:r>
          </w:p>
        </w:tc>
      </w:tr>
      <w:tr w:rsidR="00842FA7" w:rsidRPr="00266809" w:rsidTr="00081DC9">
        <w:trPr>
          <w:trHeight w:val="405"/>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Mobeirek</w:t>
            </w:r>
            <w:proofErr w:type="spellEnd"/>
            <w:r w:rsidRPr="00266809">
              <w:rPr>
                <w:rFonts w:ascii="Calibri" w:hAnsi="Calibri"/>
                <w:color w:val="000000"/>
              </w:rPr>
              <w:t xml:space="preserve"> 2014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OR 1.39 (0.76-2.55) and obese OR 1.25 (0.61-2.54) compared to BMI &lt;25</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Inpatient</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proofErr w:type="spellStart"/>
            <w:r w:rsidRPr="00266809">
              <w:rPr>
                <w:rFonts w:ascii="Calibri" w:hAnsi="Calibri"/>
                <w:color w:val="000000"/>
              </w:rPr>
              <w:t>Shehab</w:t>
            </w:r>
            <w:proofErr w:type="spellEnd"/>
            <w:r w:rsidRPr="00266809">
              <w:rPr>
                <w:rFonts w:ascii="Calibri" w:hAnsi="Calibri"/>
                <w:color w:val="000000"/>
              </w:rPr>
              <w:t xml:space="preserve"> 2014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 xml:space="preserve">MVA, "no </w:t>
            </w:r>
            <w:r w:rsidRPr="00266809">
              <w:rPr>
                <w:rFonts w:ascii="Calibri" w:hAnsi="Calibri"/>
                <w:noProof/>
                <w:color w:val="000000"/>
              </w:rPr>
              <w:t>assosiation"</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NR</w:t>
            </w:r>
          </w:p>
        </w:tc>
      </w:tr>
      <w:tr w:rsidR="00842FA7" w:rsidRPr="00266809" w:rsidTr="00081DC9">
        <w:trPr>
          <w:trHeight w:val="300"/>
        </w:trPr>
        <w:tc>
          <w:tcPr>
            <w:tcW w:w="1318" w:type="dxa"/>
            <w:noWrap/>
            <w:vAlign w:val="center"/>
            <w:hideMark/>
          </w:tcPr>
          <w:p w:rsidR="00842FA7" w:rsidRPr="00266809" w:rsidRDefault="00842FA7" w:rsidP="00081DC9">
            <w:pPr>
              <w:rPr>
                <w:rFonts w:ascii="Calibri" w:hAnsi="Calibri"/>
                <w:color w:val="000000"/>
              </w:rPr>
            </w:pPr>
            <w:r w:rsidRPr="00266809">
              <w:rPr>
                <w:rFonts w:ascii="Calibri" w:hAnsi="Calibri"/>
                <w:noProof/>
                <w:color w:val="000000"/>
              </w:rPr>
              <w:t>Witassek</w:t>
            </w:r>
            <w:r w:rsidRPr="00266809">
              <w:rPr>
                <w:rFonts w:ascii="Calibri" w:hAnsi="Calibri"/>
                <w:color w:val="000000"/>
              </w:rPr>
              <w:t xml:space="preserve"> 2014</w:t>
            </w:r>
          </w:p>
        </w:tc>
        <w:tc>
          <w:tcPr>
            <w:tcW w:w="5891" w:type="dxa"/>
            <w:noWrap/>
            <w:vAlign w:val="center"/>
            <w:hideMark/>
          </w:tcPr>
          <w:p w:rsidR="00842FA7" w:rsidRPr="00266809" w:rsidRDefault="00842FA7" w:rsidP="00F04EB4">
            <w:pPr>
              <w:rPr>
                <w:rFonts w:ascii="Calibri" w:hAnsi="Calibri"/>
                <w:color w:val="000000"/>
              </w:rPr>
            </w:pPr>
            <w:r w:rsidRPr="00266809">
              <w:rPr>
                <w:rFonts w:ascii="Calibri" w:hAnsi="Calibri"/>
                <w:color w:val="000000"/>
              </w:rPr>
              <w:t>MVA, overweight OR 1.05 (0.68–1.62) and obese 0.61 (0.30–1.23) compared to normal weight</w:t>
            </w:r>
          </w:p>
        </w:tc>
        <w:tc>
          <w:tcPr>
            <w:tcW w:w="65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545" w:type="dxa"/>
            <w:noWrap/>
            <w:vAlign w:val="center"/>
            <w:hideMark/>
          </w:tcPr>
          <w:p w:rsidR="00842FA7" w:rsidRPr="00266809" w:rsidRDefault="00842FA7" w:rsidP="00F04EB4">
            <w:pPr>
              <w:jc w:val="center"/>
            </w:pPr>
            <w:r w:rsidRPr="00266809">
              <w:t>**</w:t>
            </w:r>
          </w:p>
        </w:tc>
        <w:tc>
          <w:tcPr>
            <w:tcW w:w="1786" w:type="dxa"/>
            <w:noWrap/>
            <w:hideMark/>
          </w:tcPr>
          <w:p w:rsidR="00842FA7" w:rsidRPr="00266809" w:rsidRDefault="00842FA7" w:rsidP="00F04EB4">
            <w:r w:rsidRPr="00266809">
              <w:t>Inpatient prospectively</w:t>
            </w:r>
          </w:p>
        </w:tc>
        <w:tc>
          <w:tcPr>
            <w:tcW w:w="2057" w:type="dxa"/>
            <w:noWrap/>
            <w:hideMark/>
          </w:tcPr>
          <w:p w:rsidR="00842FA7" w:rsidRPr="00266809" w:rsidRDefault="00842FA7" w:rsidP="00F04EB4">
            <w:r w:rsidRPr="00266809">
              <w:t>Inpatient</w:t>
            </w:r>
          </w:p>
        </w:tc>
      </w:tr>
    </w:tbl>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F04EB4" w:rsidP="0052196B">
      <w:pPr>
        <w:jc w:val="both"/>
        <w:rPr>
          <w:sz w:val="24"/>
          <w:szCs w:val="24"/>
        </w:rPr>
      </w:pPr>
      <w:r>
        <w:rPr>
          <w:sz w:val="24"/>
          <w:szCs w:val="24"/>
        </w:rPr>
        <w:t>Notes</w:t>
      </w:r>
      <w:r w:rsidR="00842FA7" w:rsidRPr="00266809">
        <w:rPr>
          <w:sz w:val="24"/>
          <w:szCs w:val="24"/>
        </w:rPr>
        <w:t xml:space="preserve">: Studies main result regarding all-cause mortality, </w:t>
      </w:r>
      <w:r w:rsidR="00842FA7" w:rsidRPr="00266809">
        <w:rPr>
          <w:noProof/>
          <w:sz w:val="24"/>
          <w:szCs w:val="24"/>
        </w:rPr>
        <w:t>Newcastle Ottawa</w:t>
      </w:r>
      <w:r w:rsidR="00842FA7" w:rsidRPr="00266809">
        <w:rPr>
          <w:sz w:val="24"/>
          <w:szCs w:val="24"/>
        </w:rPr>
        <w:t xml:space="preserve"> Scale quality assessment, baseline variables measurements and outcome assessment modality. Estimates </w:t>
      </w:r>
      <w:r w:rsidR="00842FA7" w:rsidRPr="00266809">
        <w:rPr>
          <w:noProof/>
          <w:sz w:val="24"/>
          <w:szCs w:val="24"/>
        </w:rPr>
        <w:t>are presented</w:t>
      </w:r>
      <w:r w:rsidR="00842FA7" w:rsidRPr="00266809">
        <w:rPr>
          <w:sz w:val="24"/>
          <w:szCs w:val="24"/>
        </w:rPr>
        <w:t xml:space="preserve"> with 95% confidence intervals. C: Comparability, MVA: </w:t>
      </w:r>
      <w:r w:rsidR="00842FA7">
        <w:rPr>
          <w:sz w:val="24"/>
          <w:szCs w:val="24"/>
        </w:rPr>
        <w:t>Multivariable</w:t>
      </w:r>
      <w:r w:rsidR="00842FA7" w:rsidRPr="00266809">
        <w:rPr>
          <w:sz w:val="24"/>
          <w:szCs w:val="24"/>
        </w:rPr>
        <w:t xml:space="preserve"> analysis, O: Outcome, S: Selection.</w:t>
      </w:r>
    </w:p>
    <w:p w:rsidR="00842FA7" w:rsidRPr="00266809" w:rsidRDefault="00842FA7" w:rsidP="0052196B">
      <w:pPr>
        <w:jc w:val="both"/>
        <w:rPr>
          <w:sz w:val="24"/>
          <w:szCs w:val="24"/>
        </w:rPr>
      </w:pPr>
      <w:r w:rsidRPr="00266809">
        <w:rPr>
          <w:sz w:val="24"/>
          <w:szCs w:val="24"/>
        </w:rPr>
        <w:br w:type="page"/>
      </w:r>
    </w:p>
    <w:p w:rsidR="00842FA7" w:rsidRPr="00266809" w:rsidRDefault="00DC7437" w:rsidP="0052196B">
      <w:pPr>
        <w:jc w:val="both"/>
        <w:rPr>
          <w:sz w:val="24"/>
          <w:szCs w:val="24"/>
        </w:rPr>
      </w:pPr>
      <w:r>
        <w:rPr>
          <w:sz w:val="24"/>
          <w:szCs w:val="24"/>
        </w:rPr>
        <w:lastRenderedPageBreak/>
        <w:t>Table 3</w:t>
      </w:r>
      <w:r w:rsidR="00842FA7" w:rsidRPr="00266809">
        <w:rPr>
          <w:sz w:val="24"/>
          <w:szCs w:val="24"/>
        </w:rPr>
        <w:t>:</w:t>
      </w:r>
    </w:p>
    <w:tbl>
      <w:tblPr>
        <w:tblStyle w:val="Tablaconcuadrcula"/>
        <w:tblW w:w="0" w:type="auto"/>
        <w:tblLook w:val="04A0" w:firstRow="1" w:lastRow="0" w:firstColumn="1" w:lastColumn="0" w:noHBand="0" w:noVBand="1"/>
      </w:tblPr>
      <w:tblGrid>
        <w:gridCol w:w="1617"/>
        <w:gridCol w:w="975"/>
        <w:gridCol w:w="712"/>
        <w:gridCol w:w="915"/>
        <w:gridCol w:w="8823"/>
      </w:tblGrid>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Study</w:t>
            </w:r>
          </w:p>
        </w:tc>
        <w:tc>
          <w:tcPr>
            <w:tcW w:w="975" w:type="dxa"/>
            <w:noWrap/>
            <w:vAlign w:val="center"/>
            <w:hideMark/>
          </w:tcPr>
          <w:p w:rsidR="00842FA7" w:rsidRPr="00266809" w:rsidRDefault="00842FA7" w:rsidP="00F04EB4">
            <w:pPr>
              <w:jc w:val="center"/>
              <w:rPr>
                <w:sz w:val="24"/>
                <w:szCs w:val="24"/>
              </w:rPr>
            </w:pPr>
            <w:r w:rsidRPr="00266809">
              <w:rPr>
                <w:sz w:val="24"/>
                <w:szCs w:val="24"/>
              </w:rPr>
              <w:t>LTFU (%)</w:t>
            </w:r>
          </w:p>
        </w:tc>
        <w:tc>
          <w:tcPr>
            <w:tcW w:w="712" w:type="dxa"/>
            <w:noWrap/>
            <w:vAlign w:val="center"/>
            <w:hideMark/>
          </w:tcPr>
          <w:p w:rsidR="00842FA7" w:rsidRPr="00266809" w:rsidRDefault="00842FA7" w:rsidP="00F04EB4">
            <w:pPr>
              <w:jc w:val="center"/>
              <w:rPr>
                <w:sz w:val="24"/>
                <w:szCs w:val="24"/>
              </w:rPr>
            </w:pPr>
            <w:r w:rsidRPr="00266809">
              <w:rPr>
                <w:sz w:val="24"/>
                <w:szCs w:val="24"/>
              </w:rPr>
              <w:t>MD (%)</w:t>
            </w:r>
          </w:p>
        </w:tc>
        <w:tc>
          <w:tcPr>
            <w:tcW w:w="915" w:type="dxa"/>
            <w:noWrap/>
            <w:vAlign w:val="center"/>
            <w:hideMark/>
          </w:tcPr>
          <w:p w:rsidR="00842FA7" w:rsidRPr="00266809" w:rsidRDefault="00842FA7" w:rsidP="00F04EB4">
            <w:pPr>
              <w:jc w:val="center"/>
              <w:rPr>
                <w:sz w:val="24"/>
                <w:szCs w:val="24"/>
              </w:rPr>
            </w:pPr>
            <w:r w:rsidRPr="00266809">
              <w:rPr>
                <w:sz w:val="24"/>
                <w:szCs w:val="24"/>
              </w:rPr>
              <w:t>MBMI (%)</w:t>
            </w:r>
          </w:p>
        </w:tc>
        <w:tc>
          <w:tcPr>
            <w:tcW w:w="8823" w:type="dxa"/>
            <w:noWrap/>
            <w:vAlign w:val="center"/>
            <w:hideMark/>
          </w:tcPr>
          <w:p w:rsidR="00842FA7" w:rsidRPr="00266809" w:rsidRDefault="00842FA7" w:rsidP="00081DC9">
            <w:pPr>
              <w:jc w:val="center"/>
              <w:rPr>
                <w:sz w:val="24"/>
                <w:szCs w:val="24"/>
              </w:rPr>
            </w:pPr>
            <w:r w:rsidRPr="00266809">
              <w:rPr>
                <w:sz w:val="24"/>
                <w:szCs w:val="24"/>
              </w:rPr>
              <w:t>Other potential limitations</w:t>
            </w:r>
          </w:p>
        </w:tc>
      </w:tr>
      <w:tr w:rsidR="00842FA7" w:rsidRPr="00266809" w:rsidTr="00081DC9">
        <w:trPr>
          <w:trHeight w:val="345"/>
        </w:trPr>
        <w:tc>
          <w:tcPr>
            <w:tcW w:w="1617" w:type="dxa"/>
            <w:noWrap/>
            <w:vAlign w:val="center"/>
            <w:hideMark/>
          </w:tcPr>
          <w:p w:rsidR="00842FA7" w:rsidRPr="00266809" w:rsidRDefault="00842FA7" w:rsidP="00081DC9">
            <w:pPr>
              <w:rPr>
                <w:sz w:val="24"/>
                <w:szCs w:val="24"/>
              </w:rPr>
            </w:pPr>
            <w:r w:rsidRPr="00266809">
              <w:rPr>
                <w:noProof/>
                <w:sz w:val="24"/>
                <w:szCs w:val="24"/>
              </w:rPr>
              <w:t>Angeras</w:t>
            </w:r>
            <w:r w:rsidRPr="00266809">
              <w:rPr>
                <w:sz w:val="24"/>
                <w:szCs w:val="24"/>
              </w:rPr>
              <w:t xml:space="preserve"> 2013</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30</w:t>
            </w:r>
          </w:p>
        </w:tc>
        <w:tc>
          <w:tcPr>
            <w:tcW w:w="915" w:type="dxa"/>
            <w:vAlign w:val="center"/>
            <w:hideMark/>
          </w:tcPr>
          <w:p w:rsidR="00842FA7" w:rsidRPr="00266809" w:rsidRDefault="00842FA7" w:rsidP="00F04EB4">
            <w:pPr>
              <w:jc w:val="center"/>
              <w:rPr>
                <w:sz w:val="24"/>
                <w:szCs w:val="24"/>
              </w:rPr>
            </w:pPr>
            <w:r w:rsidRPr="00266809">
              <w:rPr>
                <w:sz w:val="24"/>
                <w:szCs w:val="24"/>
              </w:rPr>
              <w:t>25</w:t>
            </w:r>
          </w:p>
        </w:tc>
        <w:tc>
          <w:tcPr>
            <w:tcW w:w="8823" w:type="dxa"/>
            <w:noWrap/>
            <w:vAlign w:val="center"/>
            <w:hideMark/>
          </w:tcPr>
          <w:p w:rsidR="00842FA7" w:rsidRPr="00266809" w:rsidRDefault="00842FA7" w:rsidP="00081DC9">
            <w:pPr>
              <w:rPr>
                <w:sz w:val="24"/>
                <w:szCs w:val="24"/>
              </w:rPr>
            </w:pPr>
            <w:r w:rsidRPr="00266809">
              <w:rPr>
                <w:sz w:val="24"/>
                <w:szCs w:val="24"/>
              </w:rPr>
              <w:t xml:space="preserve">Missing data </w:t>
            </w:r>
            <w:r w:rsidRPr="00266809">
              <w:rPr>
                <w:noProof/>
                <w:sz w:val="24"/>
                <w:szCs w:val="24"/>
              </w:rPr>
              <w:t>was related</w:t>
            </w:r>
            <w:r w:rsidRPr="00266809">
              <w:rPr>
                <w:sz w:val="24"/>
                <w:szCs w:val="24"/>
              </w:rPr>
              <w:t xml:space="preserve"> to higher mortality, 10 017 (15.6%) had normal coronary arteries</w:t>
            </w:r>
          </w:p>
        </w:tc>
      </w:tr>
      <w:tr w:rsidR="00842FA7" w:rsidRPr="00266809" w:rsidTr="00081DC9">
        <w:trPr>
          <w:trHeight w:val="390"/>
        </w:trPr>
        <w:tc>
          <w:tcPr>
            <w:tcW w:w="1617" w:type="dxa"/>
            <w:noWrap/>
            <w:vAlign w:val="center"/>
            <w:hideMark/>
          </w:tcPr>
          <w:p w:rsidR="00842FA7" w:rsidRPr="00266809" w:rsidRDefault="00842FA7" w:rsidP="00081DC9">
            <w:pPr>
              <w:rPr>
                <w:sz w:val="24"/>
                <w:szCs w:val="24"/>
              </w:rPr>
            </w:pPr>
            <w:r w:rsidRPr="00266809">
              <w:rPr>
                <w:sz w:val="24"/>
                <w:szCs w:val="24"/>
              </w:rPr>
              <w:t>Aronson 2010</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Bucholz</w:t>
            </w:r>
            <w:proofErr w:type="spellEnd"/>
            <w:r w:rsidRPr="00266809">
              <w:rPr>
                <w:sz w:val="24"/>
                <w:szCs w:val="24"/>
              </w:rPr>
              <w:t xml:space="preserve"> 2012</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12</w:t>
            </w:r>
          </w:p>
        </w:tc>
        <w:tc>
          <w:tcPr>
            <w:tcW w:w="915" w:type="dxa"/>
            <w:noWrap/>
            <w:vAlign w:val="center"/>
            <w:hideMark/>
          </w:tcPr>
          <w:p w:rsidR="00842FA7" w:rsidRPr="00266809" w:rsidRDefault="00842FA7" w:rsidP="00F04EB4">
            <w:pPr>
              <w:jc w:val="center"/>
              <w:rPr>
                <w:sz w:val="24"/>
                <w:szCs w:val="24"/>
              </w:rPr>
            </w:pPr>
            <w:r w:rsidRPr="00266809">
              <w:rPr>
                <w:sz w:val="24"/>
                <w:szCs w:val="24"/>
              </w:rPr>
              <w:t>6</w:t>
            </w:r>
          </w:p>
        </w:tc>
        <w:tc>
          <w:tcPr>
            <w:tcW w:w="8823" w:type="dxa"/>
            <w:noWrap/>
            <w:vAlign w:val="center"/>
            <w:hideMark/>
          </w:tcPr>
          <w:p w:rsidR="00842FA7" w:rsidRPr="00266809" w:rsidRDefault="00842FA7" w:rsidP="00081DC9">
            <w:pPr>
              <w:rPr>
                <w:sz w:val="24"/>
                <w:szCs w:val="24"/>
              </w:rPr>
            </w:pPr>
            <w:r w:rsidRPr="00266809">
              <w:rPr>
                <w:sz w:val="24"/>
                <w:szCs w:val="24"/>
              </w:rPr>
              <w:t>Wide exclusion criteria</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Buettner</w:t>
            </w:r>
            <w:proofErr w:type="spellEnd"/>
            <w:r w:rsidRPr="00266809">
              <w:rPr>
                <w:sz w:val="24"/>
                <w:szCs w:val="24"/>
              </w:rPr>
              <w:t xml:space="preserve"> 2007</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Excluded other with other concomitant diseases, 9 deaths among obese patients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Camprubi</w:t>
            </w:r>
            <w:proofErr w:type="spellEnd"/>
            <w:r w:rsidRPr="00266809">
              <w:rPr>
                <w:sz w:val="24"/>
                <w:szCs w:val="24"/>
              </w:rPr>
              <w:t xml:space="preserve"> 2012</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4</w:t>
            </w:r>
          </w:p>
        </w:tc>
        <w:tc>
          <w:tcPr>
            <w:tcW w:w="8823" w:type="dxa"/>
            <w:noWrap/>
            <w:vAlign w:val="center"/>
            <w:hideMark/>
          </w:tcPr>
          <w:p w:rsidR="00842FA7" w:rsidRPr="00266809" w:rsidRDefault="00842FA7" w:rsidP="00081DC9">
            <w:pPr>
              <w:rPr>
                <w:sz w:val="24"/>
                <w:szCs w:val="24"/>
              </w:rPr>
            </w:pPr>
            <w:r w:rsidRPr="00266809">
              <w:rPr>
                <w:sz w:val="24"/>
                <w:szCs w:val="24"/>
              </w:rPr>
              <w:t>Only 35 deaths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Das 2011</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4</w:t>
            </w:r>
          </w:p>
        </w:tc>
        <w:tc>
          <w:tcPr>
            <w:tcW w:w="8823" w:type="dxa"/>
            <w:noWrap/>
            <w:vAlign w:val="center"/>
            <w:hideMark/>
          </w:tcPr>
          <w:p w:rsidR="00842FA7" w:rsidRPr="00266809" w:rsidRDefault="00842FA7" w:rsidP="00081DC9">
            <w:pPr>
              <w:rPr>
                <w:sz w:val="24"/>
                <w:szCs w:val="24"/>
              </w:rPr>
            </w:pPr>
            <w:r w:rsidRPr="00266809">
              <w:rPr>
                <w:sz w:val="24"/>
                <w:szCs w:val="24"/>
              </w:rPr>
              <w:t>85% Caucasians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Diercks</w:t>
            </w:r>
            <w:proofErr w:type="spellEnd"/>
            <w:r w:rsidRPr="00266809">
              <w:rPr>
                <w:sz w:val="24"/>
                <w:szCs w:val="24"/>
              </w:rPr>
              <w:t xml:space="preserve"> 2006</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10</w:t>
            </w:r>
          </w:p>
        </w:tc>
        <w:tc>
          <w:tcPr>
            <w:tcW w:w="8823" w:type="dxa"/>
            <w:noWrap/>
            <w:vAlign w:val="center"/>
            <w:hideMark/>
          </w:tcPr>
          <w:p w:rsidR="00842FA7" w:rsidRPr="00266809" w:rsidRDefault="00842FA7" w:rsidP="00081DC9">
            <w:pPr>
              <w:rPr>
                <w:sz w:val="24"/>
                <w:szCs w:val="24"/>
              </w:rPr>
            </w:pPr>
            <w:r w:rsidRPr="00266809">
              <w:rPr>
                <w:sz w:val="24"/>
                <w:szCs w:val="24"/>
              </w:rPr>
              <w:t>80% Caucasians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Eisenstein 2005</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5</w:t>
            </w:r>
          </w:p>
        </w:tc>
        <w:tc>
          <w:tcPr>
            <w:tcW w:w="8823" w:type="dxa"/>
            <w:noWrap/>
            <w:vAlign w:val="center"/>
            <w:hideMark/>
          </w:tcPr>
          <w:p w:rsidR="00842FA7" w:rsidRPr="00266809" w:rsidRDefault="00842FA7" w:rsidP="00081DC9">
            <w:pPr>
              <w:rPr>
                <w:sz w:val="24"/>
                <w:szCs w:val="24"/>
              </w:rPr>
            </w:pPr>
            <w:r w:rsidRPr="00266809">
              <w:rPr>
                <w:sz w:val="24"/>
                <w:szCs w:val="24"/>
              </w:rPr>
              <w:t>Several covariates excluded for missing values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Goldberg 2006</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19</w:t>
            </w:r>
          </w:p>
        </w:tc>
        <w:tc>
          <w:tcPr>
            <w:tcW w:w="8823" w:type="dxa"/>
            <w:noWrap/>
            <w:vAlign w:val="center"/>
            <w:hideMark/>
          </w:tcPr>
          <w:p w:rsidR="00842FA7" w:rsidRPr="00266809" w:rsidRDefault="00842FA7" w:rsidP="00081DC9">
            <w:pPr>
              <w:rPr>
                <w:sz w:val="24"/>
                <w:szCs w:val="24"/>
              </w:rPr>
            </w:pPr>
            <w:r w:rsidRPr="00266809">
              <w:rPr>
                <w:sz w:val="24"/>
                <w:szCs w:val="24"/>
              </w:rPr>
              <w:t>Normal BMI category included underweight, didn´t consider smoking or comorbidities for analysis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Hadi 2010</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11</w:t>
            </w:r>
          </w:p>
        </w:tc>
        <w:tc>
          <w:tcPr>
            <w:tcW w:w="8823" w:type="dxa"/>
            <w:noWrap/>
            <w:vAlign w:val="center"/>
            <w:hideMark/>
          </w:tcPr>
          <w:p w:rsidR="00842FA7" w:rsidRPr="00266809" w:rsidRDefault="00842FA7" w:rsidP="00081DC9">
            <w:pPr>
              <w:rPr>
                <w:sz w:val="24"/>
                <w:szCs w:val="24"/>
              </w:rPr>
            </w:pPr>
            <w:r w:rsidRPr="00266809">
              <w:rPr>
                <w:sz w:val="24"/>
                <w:szCs w:val="24"/>
              </w:rPr>
              <w:t>Normal BMI category included underweight</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Herrmann 2014</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Important comorbidities not measured (</w:t>
            </w:r>
            <w:proofErr w:type="spellStart"/>
            <w:r w:rsidRPr="00266809">
              <w:rPr>
                <w:sz w:val="24"/>
                <w:szCs w:val="24"/>
              </w:rPr>
              <w:t>eg</w:t>
            </w:r>
            <w:proofErr w:type="spellEnd"/>
            <w:r w:rsidRPr="00266809">
              <w:rPr>
                <w:sz w:val="24"/>
                <w:szCs w:val="24"/>
              </w:rPr>
              <w:t>.: cancer), excluded high risk of bleeding</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Hoit</w:t>
            </w:r>
            <w:proofErr w:type="spellEnd"/>
            <w:r w:rsidRPr="00266809">
              <w:rPr>
                <w:sz w:val="24"/>
                <w:szCs w:val="24"/>
              </w:rPr>
              <w:t xml:space="preserve"> 1987</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 xml:space="preserve">low BMI and normal BMI together, non-adjusted estimates </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Iakobishvili</w:t>
            </w:r>
            <w:proofErr w:type="spellEnd"/>
            <w:r w:rsidRPr="00266809">
              <w:rPr>
                <w:sz w:val="24"/>
                <w:szCs w:val="24"/>
              </w:rPr>
              <w:t xml:space="preserve"> 2006</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Excluded prior CVD, normal BMI category included underweight</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Kaplan 2002</w:t>
            </w:r>
          </w:p>
        </w:tc>
        <w:tc>
          <w:tcPr>
            <w:tcW w:w="975" w:type="dxa"/>
            <w:noWrap/>
            <w:vAlign w:val="center"/>
            <w:hideMark/>
          </w:tcPr>
          <w:p w:rsidR="00842FA7" w:rsidRPr="00266809" w:rsidRDefault="00842FA7" w:rsidP="00F04EB4">
            <w:pPr>
              <w:jc w:val="center"/>
              <w:rPr>
                <w:sz w:val="24"/>
                <w:szCs w:val="24"/>
              </w:rPr>
            </w:pPr>
            <w:r w:rsidRPr="00266809">
              <w:rPr>
                <w:sz w:val="24"/>
                <w:szCs w:val="24"/>
              </w:rPr>
              <w:t>9</w:t>
            </w:r>
          </w:p>
        </w:tc>
        <w:tc>
          <w:tcPr>
            <w:tcW w:w="712" w:type="dxa"/>
            <w:noWrap/>
            <w:vAlign w:val="center"/>
            <w:hideMark/>
          </w:tcPr>
          <w:p w:rsidR="00842FA7" w:rsidRPr="00266809" w:rsidRDefault="00842FA7" w:rsidP="00F04EB4">
            <w:pPr>
              <w:jc w:val="center"/>
              <w:rPr>
                <w:sz w:val="24"/>
                <w:szCs w:val="24"/>
              </w:rPr>
            </w:pPr>
            <w:r w:rsidRPr="00266809">
              <w:rPr>
                <w:sz w:val="24"/>
                <w:szCs w:val="24"/>
              </w:rPr>
              <w:t>31</w:t>
            </w:r>
          </w:p>
        </w:tc>
        <w:tc>
          <w:tcPr>
            <w:tcW w:w="915" w:type="dxa"/>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 xml:space="preserve">95% Caucasians, </w:t>
            </w:r>
            <w:proofErr w:type="spellStart"/>
            <w:r w:rsidRPr="00266809">
              <w:rPr>
                <w:sz w:val="24"/>
                <w:szCs w:val="24"/>
              </w:rPr>
              <w:t>Killip</w:t>
            </w:r>
            <w:proofErr w:type="spellEnd"/>
            <w:r w:rsidRPr="00266809">
              <w:rPr>
                <w:sz w:val="24"/>
                <w:szCs w:val="24"/>
              </w:rPr>
              <w:t xml:space="preserve"> </w:t>
            </w:r>
            <w:r w:rsidRPr="00266809">
              <w:rPr>
                <w:noProof/>
                <w:sz w:val="24"/>
                <w:szCs w:val="24"/>
              </w:rPr>
              <w:t>class</w:t>
            </w:r>
            <w:r w:rsidRPr="00266809">
              <w:rPr>
                <w:sz w:val="24"/>
                <w:szCs w:val="24"/>
              </w:rPr>
              <w:t xml:space="preserve"> was missing</w:t>
            </w:r>
          </w:p>
        </w:tc>
      </w:tr>
      <w:tr w:rsidR="00842FA7" w:rsidRPr="00266809" w:rsidTr="00081DC9">
        <w:trPr>
          <w:trHeight w:val="315"/>
        </w:trPr>
        <w:tc>
          <w:tcPr>
            <w:tcW w:w="1617" w:type="dxa"/>
            <w:noWrap/>
            <w:vAlign w:val="center"/>
            <w:hideMark/>
          </w:tcPr>
          <w:p w:rsidR="00842FA7" w:rsidRPr="00266809" w:rsidRDefault="00842FA7" w:rsidP="00081DC9">
            <w:pPr>
              <w:rPr>
                <w:sz w:val="24"/>
                <w:szCs w:val="24"/>
              </w:rPr>
            </w:pPr>
            <w:r w:rsidRPr="00266809">
              <w:rPr>
                <w:sz w:val="24"/>
                <w:szCs w:val="24"/>
              </w:rPr>
              <w:t>Kennedy 2005</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Normal BMI 22 to 25</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Kosuge</w:t>
            </w:r>
            <w:proofErr w:type="spellEnd"/>
            <w:r w:rsidRPr="00266809">
              <w:rPr>
                <w:sz w:val="24"/>
                <w:szCs w:val="24"/>
              </w:rPr>
              <w:t xml:space="preserve"> 2008</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Only primary PCI patients, 2 deaths in the obese group</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Kragelund</w:t>
            </w:r>
            <w:proofErr w:type="spellEnd"/>
            <w:r w:rsidRPr="00266809">
              <w:rPr>
                <w:sz w:val="24"/>
                <w:szCs w:val="24"/>
              </w:rPr>
              <w:t xml:space="preserve"> 2005</w:t>
            </w:r>
          </w:p>
        </w:tc>
        <w:tc>
          <w:tcPr>
            <w:tcW w:w="975" w:type="dxa"/>
            <w:noWrap/>
            <w:vAlign w:val="center"/>
            <w:hideMark/>
          </w:tcPr>
          <w:p w:rsidR="00842FA7" w:rsidRPr="00266809" w:rsidRDefault="00842FA7" w:rsidP="00F04EB4">
            <w:pPr>
              <w:jc w:val="center"/>
              <w:rPr>
                <w:sz w:val="24"/>
                <w:szCs w:val="24"/>
              </w:rPr>
            </w:pPr>
            <w:r w:rsidRPr="00266809">
              <w:rPr>
                <w:sz w:val="24"/>
                <w:szCs w:val="24"/>
              </w:rPr>
              <w:t>5</w:t>
            </w:r>
          </w:p>
        </w:tc>
        <w:tc>
          <w:tcPr>
            <w:tcW w:w="712" w:type="dxa"/>
            <w:noWrap/>
            <w:vAlign w:val="center"/>
            <w:hideMark/>
          </w:tcPr>
          <w:p w:rsidR="00842FA7" w:rsidRPr="00266809" w:rsidRDefault="00842FA7" w:rsidP="00F04EB4">
            <w:pPr>
              <w:jc w:val="center"/>
              <w:rPr>
                <w:sz w:val="24"/>
                <w:szCs w:val="24"/>
              </w:rPr>
            </w:pPr>
            <w:r w:rsidRPr="00266809">
              <w:rPr>
                <w:sz w:val="24"/>
                <w:szCs w:val="24"/>
              </w:rPr>
              <w:t>15</w:t>
            </w:r>
          </w:p>
        </w:tc>
        <w:tc>
          <w:tcPr>
            <w:tcW w:w="915" w:type="dxa"/>
            <w:noWrap/>
            <w:vAlign w:val="center"/>
            <w:hideMark/>
          </w:tcPr>
          <w:p w:rsidR="00842FA7" w:rsidRPr="00266809" w:rsidRDefault="00842FA7" w:rsidP="00F04EB4">
            <w:pPr>
              <w:jc w:val="center"/>
              <w:rPr>
                <w:sz w:val="24"/>
                <w:szCs w:val="24"/>
              </w:rPr>
            </w:pPr>
            <w:r w:rsidRPr="00266809">
              <w:rPr>
                <w:sz w:val="24"/>
                <w:szCs w:val="24"/>
              </w:rPr>
              <w:t>8</w:t>
            </w:r>
          </w:p>
        </w:tc>
        <w:tc>
          <w:tcPr>
            <w:tcW w:w="8823" w:type="dxa"/>
            <w:noWrap/>
            <w:vAlign w:val="center"/>
            <w:hideMark/>
          </w:tcPr>
          <w:p w:rsidR="00842FA7" w:rsidRPr="00266809" w:rsidRDefault="00842FA7" w:rsidP="00081DC9">
            <w:pPr>
              <w:rPr>
                <w:sz w:val="24"/>
                <w:szCs w:val="24"/>
              </w:rPr>
            </w:pPr>
            <w:r w:rsidRPr="00266809">
              <w:rPr>
                <w:sz w:val="24"/>
                <w:szCs w:val="24"/>
              </w:rPr>
              <w:t xml:space="preserve">Depressed LV function patients, excluded ACE intolerants and uncontrolled diabetes </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Lazzeri</w:t>
            </w:r>
            <w:proofErr w:type="spellEnd"/>
            <w:r w:rsidRPr="00266809">
              <w:rPr>
                <w:sz w:val="24"/>
                <w:szCs w:val="24"/>
              </w:rPr>
              <w:t xml:space="preserve"> 2012</w:t>
            </w:r>
          </w:p>
        </w:tc>
        <w:tc>
          <w:tcPr>
            <w:tcW w:w="975" w:type="dxa"/>
            <w:noWrap/>
            <w:vAlign w:val="center"/>
            <w:hideMark/>
          </w:tcPr>
          <w:p w:rsidR="00842FA7" w:rsidRPr="00266809" w:rsidRDefault="00842FA7" w:rsidP="00F04EB4">
            <w:pPr>
              <w:jc w:val="center"/>
              <w:rPr>
                <w:sz w:val="24"/>
                <w:szCs w:val="24"/>
              </w:rPr>
            </w:pPr>
            <w:r w:rsidRPr="00266809">
              <w:rPr>
                <w:sz w:val="24"/>
                <w:szCs w:val="24"/>
              </w:rPr>
              <w:t>13</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100% Caucasians, 2 deaths in obese patients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lastRenderedPageBreak/>
              <w:t>Lee 2008</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39</w:t>
            </w:r>
          </w:p>
        </w:tc>
        <w:tc>
          <w:tcPr>
            <w:tcW w:w="8823" w:type="dxa"/>
            <w:noWrap/>
            <w:vAlign w:val="center"/>
            <w:hideMark/>
          </w:tcPr>
          <w:p w:rsidR="00842FA7" w:rsidRPr="00266809" w:rsidRDefault="00842FA7" w:rsidP="00081DC9">
            <w:pPr>
              <w:rPr>
                <w:sz w:val="24"/>
                <w:szCs w:val="24"/>
              </w:rPr>
            </w:pPr>
            <w:r w:rsidRPr="00266809">
              <w:rPr>
                <w:sz w:val="24"/>
                <w:szCs w:val="24"/>
              </w:rPr>
              <w:t>Excluded other patients with several conditions, only 40% of the registry was included, only 7 deaths among obese</w:t>
            </w:r>
          </w:p>
        </w:tc>
      </w:tr>
      <w:tr w:rsidR="00842FA7" w:rsidRPr="00266809" w:rsidTr="00081DC9">
        <w:trPr>
          <w:trHeight w:val="435"/>
        </w:trPr>
        <w:tc>
          <w:tcPr>
            <w:tcW w:w="1617" w:type="dxa"/>
            <w:noWrap/>
            <w:vAlign w:val="center"/>
            <w:hideMark/>
          </w:tcPr>
          <w:p w:rsidR="00842FA7" w:rsidRPr="00266809" w:rsidRDefault="00842FA7" w:rsidP="00081DC9">
            <w:pPr>
              <w:rPr>
                <w:sz w:val="24"/>
                <w:szCs w:val="24"/>
              </w:rPr>
            </w:pPr>
            <w:r w:rsidRPr="00266809">
              <w:rPr>
                <w:sz w:val="24"/>
                <w:szCs w:val="24"/>
              </w:rPr>
              <w:t>Lopez-Jimenez 2004</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w:t>
            </w:r>
          </w:p>
        </w:tc>
        <w:tc>
          <w:tcPr>
            <w:tcW w:w="8823" w:type="dxa"/>
            <w:noWrap/>
            <w:vAlign w:val="center"/>
            <w:hideMark/>
          </w:tcPr>
          <w:p w:rsidR="00842FA7" w:rsidRPr="00266809" w:rsidRDefault="00842FA7" w:rsidP="00081DC9">
            <w:pPr>
              <w:rPr>
                <w:sz w:val="24"/>
                <w:szCs w:val="24"/>
              </w:rPr>
            </w:pPr>
            <w:r w:rsidRPr="00266809">
              <w:rPr>
                <w:sz w:val="24"/>
                <w:szCs w:val="24"/>
              </w:rPr>
              <w:t>Single community, suspected missed deaths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Lopez-Jimenez 2008</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7</w:t>
            </w:r>
          </w:p>
        </w:tc>
        <w:tc>
          <w:tcPr>
            <w:tcW w:w="8823" w:type="dxa"/>
            <w:noWrap/>
            <w:vAlign w:val="center"/>
            <w:hideMark/>
          </w:tcPr>
          <w:p w:rsidR="00842FA7" w:rsidRPr="00266809" w:rsidRDefault="00842FA7" w:rsidP="00081DC9">
            <w:pPr>
              <w:rPr>
                <w:sz w:val="24"/>
                <w:szCs w:val="24"/>
              </w:rPr>
            </w:pPr>
            <w:r w:rsidRPr="00266809">
              <w:rPr>
                <w:sz w:val="24"/>
                <w:szCs w:val="24"/>
              </w:rPr>
              <w:t>Wide exclusion criteria, 33% of the cohort was analyzed</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Mahaffey 2010</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3</w:t>
            </w:r>
          </w:p>
        </w:tc>
        <w:tc>
          <w:tcPr>
            <w:tcW w:w="8823" w:type="dxa"/>
            <w:noWrap/>
            <w:vAlign w:val="center"/>
            <w:hideMark/>
          </w:tcPr>
          <w:p w:rsidR="00842FA7" w:rsidRPr="00266809" w:rsidRDefault="00842FA7" w:rsidP="00081DC9">
            <w:pPr>
              <w:rPr>
                <w:sz w:val="24"/>
                <w:szCs w:val="24"/>
              </w:rPr>
            </w:pPr>
            <w:r w:rsidRPr="00266809">
              <w:rPr>
                <w:sz w:val="24"/>
                <w:szCs w:val="24"/>
              </w:rPr>
              <w:t>Excluded high risk of bleeding</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Mehta 2007</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Excluded high risk of bleeding</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Mobeirek</w:t>
            </w:r>
            <w:proofErr w:type="spellEnd"/>
            <w:r w:rsidRPr="00266809">
              <w:rPr>
                <w:sz w:val="24"/>
                <w:szCs w:val="24"/>
              </w:rPr>
              <w:t xml:space="preserve"> 2014</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32</w:t>
            </w:r>
          </w:p>
        </w:tc>
        <w:tc>
          <w:tcPr>
            <w:tcW w:w="915" w:type="dxa"/>
            <w:noWrap/>
            <w:vAlign w:val="center"/>
            <w:hideMark/>
          </w:tcPr>
          <w:p w:rsidR="00842FA7" w:rsidRPr="00266809" w:rsidRDefault="00842FA7" w:rsidP="00F04EB4">
            <w:pPr>
              <w:jc w:val="center"/>
              <w:rPr>
                <w:sz w:val="24"/>
                <w:szCs w:val="24"/>
              </w:rPr>
            </w:pPr>
            <w:r w:rsidRPr="00266809">
              <w:rPr>
                <w:sz w:val="24"/>
                <w:szCs w:val="24"/>
              </w:rPr>
              <w:t>32</w:t>
            </w:r>
          </w:p>
        </w:tc>
        <w:tc>
          <w:tcPr>
            <w:tcW w:w="8823" w:type="dxa"/>
            <w:noWrap/>
            <w:vAlign w:val="center"/>
            <w:hideMark/>
          </w:tcPr>
          <w:p w:rsidR="00842FA7" w:rsidRPr="00266809" w:rsidRDefault="00842FA7" w:rsidP="00081DC9">
            <w:pPr>
              <w:rPr>
                <w:sz w:val="24"/>
                <w:szCs w:val="24"/>
              </w:rPr>
            </w:pPr>
            <w:r w:rsidRPr="00266809">
              <w:rPr>
                <w:sz w:val="24"/>
                <w:szCs w:val="24"/>
              </w:rPr>
              <w:t>Normal BMI category included underweight</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noProof/>
                <w:sz w:val="24"/>
                <w:szCs w:val="24"/>
              </w:rPr>
              <w:t>Nes</w:t>
            </w:r>
            <w:r w:rsidRPr="00266809">
              <w:rPr>
                <w:sz w:val="24"/>
                <w:szCs w:val="24"/>
              </w:rPr>
              <w:t xml:space="preserve"> 2002</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Normal BMI category included underweight, BMI measured after ACS discharge</w:t>
            </w:r>
          </w:p>
        </w:tc>
      </w:tr>
      <w:tr w:rsidR="00842FA7" w:rsidRPr="00266809" w:rsidTr="00081DC9">
        <w:trPr>
          <w:trHeight w:val="345"/>
        </w:trPr>
        <w:tc>
          <w:tcPr>
            <w:tcW w:w="1617" w:type="dxa"/>
            <w:noWrap/>
            <w:vAlign w:val="center"/>
            <w:hideMark/>
          </w:tcPr>
          <w:p w:rsidR="00842FA7" w:rsidRPr="00266809" w:rsidRDefault="00842FA7" w:rsidP="00081DC9">
            <w:pPr>
              <w:rPr>
                <w:sz w:val="24"/>
                <w:szCs w:val="24"/>
              </w:rPr>
            </w:pPr>
            <w:r w:rsidRPr="00266809">
              <w:rPr>
                <w:sz w:val="24"/>
                <w:szCs w:val="24"/>
              </w:rPr>
              <w:t>Nigam 2005</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Single community</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Nikolsky</w:t>
            </w:r>
            <w:proofErr w:type="spellEnd"/>
            <w:r w:rsidRPr="00266809">
              <w:rPr>
                <w:sz w:val="24"/>
                <w:szCs w:val="24"/>
              </w:rPr>
              <w:t xml:space="preserve"> 2006</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2</w:t>
            </w:r>
          </w:p>
        </w:tc>
        <w:tc>
          <w:tcPr>
            <w:tcW w:w="8823" w:type="dxa"/>
            <w:noWrap/>
            <w:vAlign w:val="center"/>
            <w:hideMark/>
          </w:tcPr>
          <w:p w:rsidR="00842FA7" w:rsidRPr="00266809" w:rsidRDefault="00842FA7" w:rsidP="00081DC9">
            <w:pPr>
              <w:rPr>
                <w:sz w:val="24"/>
                <w:szCs w:val="24"/>
              </w:rPr>
            </w:pPr>
            <w:r w:rsidRPr="00266809">
              <w:rPr>
                <w:sz w:val="24"/>
                <w:szCs w:val="24"/>
              </w:rPr>
              <w:t>Broad exclusion criteria, 12 deaths among obese patients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Rana 2004</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8</w:t>
            </w:r>
          </w:p>
        </w:tc>
        <w:tc>
          <w:tcPr>
            <w:tcW w:w="915" w:type="dxa"/>
            <w:noWrap/>
            <w:vAlign w:val="center"/>
            <w:hideMark/>
          </w:tcPr>
          <w:p w:rsidR="00842FA7" w:rsidRPr="00266809" w:rsidRDefault="00842FA7" w:rsidP="00F04EB4">
            <w:pPr>
              <w:jc w:val="center"/>
              <w:rPr>
                <w:sz w:val="24"/>
                <w:szCs w:val="24"/>
              </w:rPr>
            </w:pPr>
            <w:r w:rsidRPr="00266809">
              <w:rPr>
                <w:sz w:val="24"/>
                <w:szCs w:val="24"/>
              </w:rPr>
              <w:t>2</w:t>
            </w:r>
          </w:p>
        </w:tc>
        <w:tc>
          <w:tcPr>
            <w:tcW w:w="8823" w:type="dxa"/>
            <w:noWrap/>
            <w:vAlign w:val="center"/>
            <w:hideMark/>
          </w:tcPr>
          <w:p w:rsidR="00842FA7" w:rsidRPr="00266809" w:rsidRDefault="00842FA7" w:rsidP="00081DC9">
            <w:pPr>
              <w:rPr>
                <w:sz w:val="24"/>
                <w:szCs w:val="24"/>
              </w:rPr>
            </w:pPr>
            <w:r w:rsidRPr="00266809">
              <w:rPr>
                <w:sz w:val="24"/>
                <w:szCs w:val="24"/>
              </w:rPr>
              <w:t>90% Caucasians</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Shechter</w:t>
            </w:r>
            <w:proofErr w:type="spellEnd"/>
            <w:r w:rsidRPr="00266809">
              <w:rPr>
                <w:sz w:val="24"/>
                <w:szCs w:val="24"/>
              </w:rPr>
              <w:t xml:space="preserve"> 2010</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proofErr w:type="spellStart"/>
            <w:r w:rsidRPr="00266809">
              <w:rPr>
                <w:sz w:val="24"/>
                <w:szCs w:val="24"/>
              </w:rPr>
              <w:t>Shehab</w:t>
            </w:r>
            <w:proofErr w:type="spellEnd"/>
            <w:r w:rsidRPr="00266809">
              <w:rPr>
                <w:sz w:val="24"/>
                <w:szCs w:val="24"/>
              </w:rPr>
              <w:t xml:space="preserve"> 2014</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55</w:t>
            </w:r>
          </w:p>
        </w:tc>
        <w:tc>
          <w:tcPr>
            <w:tcW w:w="915" w:type="dxa"/>
            <w:noWrap/>
            <w:vAlign w:val="center"/>
            <w:hideMark/>
          </w:tcPr>
          <w:p w:rsidR="00842FA7" w:rsidRPr="00266809" w:rsidRDefault="00842FA7" w:rsidP="00F04EB4">
            <w:pPr>
              <w:jc w:val="center"/>
              <w:rPr>
                <w:sz w:val="24"/>
                <w:szCs w:val="24"/>
              </w:rPr>
            </w:pPr>
            <w:r w:rsidRPr="00266809">
              <w:rPr>
                <w:sz w:val="24"/>
                <w:szCs w:val="24"/>
              </w:rPr>
              <w:t>50</w:t>
            </w:r>
          </w:p>
        </w:tc>
        <w:tc>
          <w:tcPr>
            <w:tcW w:w="8823" w:type="dxa"/>
            <w:noWrap/>
            <w:vAlign w:val="center"/>
            <w:hideMark/>
          </w:tcPr>
          <w:p w:rsidR="00842FA7" w:rsidRPr="00266809" w:rsidRDefault="00842FA7" w:rsidP="00081DC9">
            <w:pPr>
              <w:rPr>
                <w:sz w:val="24"/>
                <w:szCs w:val="24"/>
              </w:rPr>
            </w:pPr>
            <w:r w:rsidRPr="00266809">
              <w:rPr>
                <w:sz w:val="24"/>
                <w:szCs w:val="24"/>
              </w:rPr>
              <w:t>Analysis included 45% of the original cohort</w:t>
            </w:r>
          </w:p>
        </w:tc>
      </w:tr>
      <w:tr w:rsidR="00842FA7" w:rsidRPr="00266809" w:rsidTr="00081DC9">
        <w:trPr>
          <w:trHeight w:val="345"/>
        </w:trPr>
        <w:tc>
          <w:tcPr>
            <w:tcW w:w="1617" w:type="dxa"/>
            <w:noWrap/>
            <w:vAlign w:val="center"/>
            <w:hideMark/>
          </w:tcPr>
          <w:p w:rsidR="00842FA7" w:rsidRPr="00266809" w:rsidRDefault="00842FA7" w:rsidP="00081DC9">
            <w:pPr>
              <w:rPr>
                <w:sz w:val="24"/>
                <w:szCs w:val="24"/>
              </w:rPr>
            </w:pPr>
            <w:proofErr w:type="spellStart"/>
            <w:r w:rsidRPr="00266809">
              <w:rPr>
                <w:sz w:val="24"/>
                <w:szCs w:val="24"/>
              </w:rPr>
              <w:t>Timoteo</w:t>
            </w:r>
            <w:proofErr w:type="spellEnd"/>
            <w:r w:rsidRPr="00266809">
              <w:rPr>
                <w:sz w:val="24"/>
                <w:szCs w:val="24"/>
              </w:rPr>
              <w:t xml:space="preserve"> 2011</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Excluded those without reperfusion, single center, 7 deaths in the obese category</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sz w:val="24"/>
                <w:szCs w:val="24"/>
              </w:rPr>
              <w:t>Wells 2006</w:t>
            </w:r>
          </w:p>
        </w:tc>
        <w:tc>
          <w:tcPr>
            <w:tcW w:w="975" w:type="dxa"/>
            <w:noWrap/>
            <w:vAlign w:val="center"/>
            <w:hideMark/>
          </w:tcPr>
          <w:p w:rsidR="00842FA7" w:rsidRPr="00266809" w:rsidRDefault="00842FA7" w:rsidP="00F04EB4">
            <w:pPr>
              <w:jc w:val="center"/>
              <w:rPr>
                <w:sz w:val="24"/>
                <w:szCs w:val="24"/>
              </w:rPr>
            </w:pPr>
            <w:r w:rsidRPr="00266809">
              <w:rPr>
                <w:sz w:val="24"/>
                <w:szCs w:val="24"/>
              </w:rPr>
              <w:t>NR</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15</w:t>
            </w:r>
          </w:p>
        </w:tc>
        <w:tc>
          <w:tcPr>
            <w:tcW w:w="8823" w:type="dxa"/>
            <w:noWrap/>
            <w:vAlign w:val="center"/>
            <w:hideMark/>
          </w:tcPr>
          <w:p w:rsidR="00842FA7" w:rsidRPr="00266809" w:rsidRDefault="00842FA7" w:rsidP="00081DC9">
            <w:pPr>
              <w:rPr>
                <w:sz w:val="24"/>
                <w:szCs w:val="24"/>
              </w:rPr>
            </w:pPr>
            <w:r w:rsidRPr="00266809">
              <w:rPr>
                <w:sz w:val="24"/>
                <w:szCs w:val="24"/>
              </w:rPr>
              <w:t>24 deaths overall</w:t>
            </w:r>
          </w:p>
        </w:tc>
      </w:tr>
      <w:tr w:rsidR="00842FA7" w:rsidRPr="00266809" w:rsidTr="00081DC9">
        <w:trPr>
          <w:trHeight w:val="405"/>
        </w:trPr>
        <w:tc>
          <w:tcPr>
            <w:tcW w:w="1617" w:type="dxa"/>
            <w:noWrap/>
            <w:vAlign w:val="center"/>
            <w:hideMark/>
          </w:tcPr>
          <w:p w:rsidR="00842FA7" w:rsidRPr="00266809" w:rsidRDefault="00842FA7" w:rsidP="00081DC9">
            <w:pPr>
              <w:rPr>
                <w:sz w:val="24"/>
                <w:szCs w:val="24"/>
              </w:rPr>
            </w:pPr>
            <w:r w:rsidRPr="00266809">
              <w:rPr>
                <w:noProof/>
                <w:sz w:val="24"/>
                <w:szCs w:val="24"/>
              </w:rPr>
              <w:t>Wienbergen</w:t>
            </w:r>
            <w:r w:rsidRPr="00266809">
              <w:rPr>
                <w:sz w:val="24"/>
                <w:szCs w:val="24"/>
              </w:rPr>
              <w:t xml:space="preserve"> 2008</w:t>
            </w:r>
          </w:p>
        </w:tc>
        <w:tc>
          <w:tcPr>
            <w:tcW w:w="975" w:type="dxa"/>
            <w:noWrap/>
            <w:vAlign w:val="center"/>
            <w:hideMark/>
          </w:tcPr>
          <w:p w:rsidR="00842FA7" w:rsidRPr="00266809" w:rsidRDefault="00842FA7" w:rsidP="00F04EB4">
            <w:pPr>
              <w:jc w:val="center"/>
              <w:rPr>
                <w:sz w:val="24"/>
                <w:szCs w:val="24"/>
              </w:rPr>
            </w:pPr>
            <w:r w:rsidRPr="00266809">
              <w:rPr>
                <w:sz w:val="24"/>
                <w:szCs w:val="24"/>
              </w:rPr>
              <w:t>35</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78</w:t>
            </w:r>
          </w:p>
        </w:tc>
        <w:tc>
          <w:tcPr>
            <w:tcW w:w="8823" w:type="dxa"/>
            <w:noWrap/>
            <w:vAlign w:val="center"/>
            <w:hideMark/>
          </w:tcPr>
          <w:p w:rsidR="00842FA7" w:rsidRPr="00266809" w:rsidRDefault="00842FA7" w:rsidP="00081DC9">
            <w:pPr>
              <w:rPr>
                <w:sz w:val="24"/>
                <w:szCs w:val="24"/>
              </w:rPr>
            </w:pPr>
            <w:r w:rsidRPr="00266809">
              <w:rPr>
                <w:sz w:val="24"/>
                <w:szCs w:val="24"/>
              </w:rPr>
              <w:t>Analysis included 28% of the original cohort</w:t>
            </w:r>
          </w:p>
        </w:tc>
      </w:tr>
      <w:tr w:rsidR="00842FA7" w:rsidRPr="00266809" w:rsidTr="00081DC9">
        <w:trPr>
          <w:trHeight w:val="300"/>
        </w:trPr>
        <w:tc>
          <w:tcPr>
            <w:tcW w:w="1617" w:type="dxa"/>
            <w:noWrap/>
            <w:vAlign w:val="center"/>
            <w:hideMark/>
          </w:tcPr>
          <w:p w:rsidR="00842FA7" w:rsidRPr="00266809" w:rsidRDefault="00842FA7" w:rsidP="00081DC9">
            <w:pPr>
              <w:rPr>
                <w:sz w:val="24"/>
                <w:szCs w:val="24"/>
              </w:rPr>
            </w:pPr>
            <w:r w:rsidRPr="00266809">
              <w:rPr>
                <w:noProof/>
                <w:sz w:val="24"/>
                <w:szCs w:val="24"/>
              </w:rPr>
              <w:t>Witassek</w:t>
            </w:r>
            <w:r w:rsidRPr="00266809">
              <w:rPr>
                <w:sz w:val="24"/>
                <w:szCs w:val="24"/>
              </w:rPr>
              <w:t xml:space="preserve"> 2014</w:t>
            </w:r>
          </w:p>
        </w:tc>
        <w:tc>
          <w:tcPr>
            <w:tcW w:w="975" w:type="dxa"/>
            <w:noWrap/>
            <w:vAlign w:val="center"/>
            <w:hideMark/>
          </w:tcPr>
          <w:p w:rsidR="00842FA7" w:rsidRPr="00266809" w:rsidRDefault="00842FA7" w:rsidP="00F04EB4">
            <w:pPr>
              <w:jc w:val="center"/>
              <w:rPr>
                <w:sz w:val="24"/>
                <w:szCs w:val="24"/>
              </w:rPr>
            </w:pPr>
            <w:r w:rsidRPr="00266809">
              <w:rPr>
                <w:sz w:val="24"/>
                <w:szCs w:val="24"/>
              </w:rPr>
              <w:t>IH</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noWrap/>
            <w:vAlign w:val="center"/>
            <w:hideMark/>
          </w:tcPr>
          <w:p w:rsidR="00842FA7" w:rsidRPr="00266809" w:rsidRDefault="00842FA7" w:rsidP="00F04EB4">
            <w:pPr>
              <w:jc w:val="center"/>
              <w:rPr>
                <w:sz w:val="24"/>
                <w:szCs w:val="24"/>
              </w:rPr>
            </w:pPr>
            <w:r w:rsidRPr="00266809">
              <w:rPr>
                <w:sz w:val="24"/>
                <w:szCs w:val="24"/>
              </w:rPr>
              <w:t>12</w:t>
            </w:r>
          </w:p>
        </w:tc>
        <w:tc>
          <w:tcPr>
            <w:tcW w:w="8823" w:type="dxa"/>
            <w:noWrap/>
            <w:vAlign w:val="center"/>
            <w:hideMark/>
          </w:tcPr>
          <w:p w:rsidR="00842FA7" w:rsidRPr="00266809" w:rsidRDefault="00842FA7" w:rsidP="00081DC9">
            <w:pPr>
              <w:rPr>
                <w:sz w:val="24"/>
                <w:szCs w:val="24"/>
              </w:rPr>
            </w:pPr>
            <w:r w:rsidRPr="00266809">
              <w:rPr>
                <w:sz w:val="24"/>
                <w:szCs w:val="24"/>
              </w:rPr>
              <w:t>22 events in the obese category</w:t>
            </w:r>
          </w:p>
        </w:tc>
      </w:tr>
      <w:tr w:rsidR="00842FA7" w:rsidRPr="00266809" w:rsidTr="00081DC9">
        <w:trPr>
          <w:trHeight w:val="705"/>
        </w:trPr>
        <w:tc>
          <w:tcPr>
            <w:tcW w:w="1617" w:type="dxa"/>
            <w:noWrap/>
            <w:vAlign w:val="center"/>
            <w:hideMark/>
          </w:tcPr>
          <w:p w:rsidR="00842FA7" w:rsidRPr="00266809" w:rsidRDefault="00842FA7" w:rsidP="00081DC9">
            <w:pPr>
              <w:rPr>
                <w:sz w:val="24"/>
                <w:szCs w:val="24"/>
              </w:rPr>
            </w:pPr>
            <w:r w:rsidRPr="00266809">
              <w:rPr>
                <w:sz w:val="24"/>
                <w:szCs w:val="24"/>
              </w:rPr>
              <w:t>Zeller 2008</w:t>
            </w:r>
          </w:p>
        </w:tc>
        <w:tc>
          <w:tcPr>
            <w:tcW w:w="975" w:type="dxa"/>
            <w:noWrap/>
            <w:vAlign w:val="center"/>
            <w:hideMark/>
          </w:tcPr>
          <w:p w:rsidR="00842FA7" w:rsidRPr="00266809" w:rsidRDefault="00842FA7" w:rsidP="00F04EB4">
            <w:pPr>
              <w:jc w:val="center"/>
              <w:rPr>
                <w:sz w:val="24"/>
                <w:szCs w:val="24"/>
              </w:rPr>
            </w:pPr>
            <w:r w:rsidRPr="00266809">
              <w:rPr>
                <w:sz w:val="24"/>
                <w:szCs w:val="24"/>
              </w:rPr>
              <w:t>0</w:t>
            </w:r>
          </w:p>
        </w:tc>
        <w:tc>
          <w:tcPr>
            <w:tcW w:w="712" w:type="dxa"/>
            <w:noWrap/>
            <w:vAlign w:val="center"/>
            <w:hideMark/>
          </w:tcPr>
          <w:p w:rsidR="00842FA7" w:rsidRPr="00266809" w:rsidRDefault="00842FA7" w:rsidP="00F04EB4">
            <w:pPr>
              <w:jc w:val="center"/>
              <w:rPr>
                <w:sz w:val="24"/>
                <w:szCs w:val="24"/>
              </w:rPr>
            </w:pPr>
            <w:r w:rsidRPr="00266809">
              <w:rPr>
                <w:sz w:val="24"/>
                <w:szCs w:val="24"/>
              </w:rPr>
              <w:t>NR</w:t>
            </w:r>
          </w:p>
        </w:tc>
        <w:tc>
          <w:tcPr>
            <w:tcW w:w="915" w:type="dxa"/>
            <w:vAlign w:val="center"/>
            <w:hideMark/>
          </w:tcPr>
          <w:p w:rsidR="00842FA7" w:rsidRPr="00266809" w:rsidRDefault="00842FA7" w:rsidP="00F04EB4">
            <w:pPr>
              <w:jc w:val="center"/>
              <w:rPr>
                <w:sz w:val="24"/>
                <w:szCs w:val="24"/>
              </w:rPr>
            </w:pPr>
            <w:r w:rsidRPr="00266809">
              <w:rPr>
                <w:sz w:val="24"/>
                <w:szCs w:val="24"/>
              </w:rPr>
              <w:t>NR</w:t>
            </w:r>
          </w:p>
        </w:tc>
        <w:tc>
          <w:tcPr>
            <w:tcW w:w="8823" w:type="dxa"/>
            <w:noWrap/>
            <w:vAlign w:val="center"/>
            <w:hideMark/>
          </w:tcPr>
          <w:p w:rsidR="00842FA7" w:rsidRPr="00266809" w:rsidRDefault="00842FA7" w:rsidP="00081DC9">
            <w:pPr>
              <w:rPr>
                <w:sz w:val="24"/>
                <w:szCs w:val="24"/>
              </w:rPr>
            </w:pPr>
            <w:r w:rsidRPr="00266809">
              <w:rPr>
                <w:sz w:val="24"/>
                <w:szCs w:val="24"/>
              </w:rPr>
              <w:t>No ethnicity and angiographic data</w:t>
            </w:r>
          </w:p>
        </w:tc>
      </w:tr>
    </w:tbl>
    <w:p w:rsidR="00842FA7" w:rsidRPr="00266809" w:rsidRDefault="00842FA7" w:rsidP="0052196B">
      <w:pPr>
        <w:jc w:val="both"/>
        <w:rPr>
          <w:sz w:val="24"/>
          <w:szCs w:val="24"/>
        </w:rPr>
      </w:pPr>
    </w:p>
    <w:p w:rsidR="00842FA7" w:rsidRPr="00266809" w:rsidRDefault="00F04EB4" w:rsidP="00F04EB4">
      <w:pPr>
        <w:rPr>
          <w:sz w:val="24"/>
          <w:szCs w:val="24"/>
        </w:rPr>
        <w:sectPr w:rsidR="00842FA7" w:rsidRPr="00266809" w:rsidSect="00081DC9">
          <w:pgSz w:w="15840" w:h="12240" w:orient="landscape"/>
          <w:pgMar w:top="1440" w:right="1440" w:bottom="1440" w:left="1440" w:header="720" w:footer="720" w:gutter="0"/>
          <w:cols w:space="720"/>
          <w:docGrid w:linePitch="360"/>
        </w:sectPr>
      </w:pPr>
      <w:r>
        <w:rPr>
          <w:sz w:val="24"/>
          <w:szCs w:val="24"/>
        </w:rPr>
        <w:t>Notes:</w:t>
      </w:r>
      <w:r w:rsidR="00842FA7" w:rsidRPr="00266809">
        <w:rPr>
          <w:sz w:val="24"/>
          <w:szCs w:val="24"/>
        </w:rPr>
        <w:t xml:space="preserve"> Study-level limitations not mentioned in previous tables. IH: in-hospital, LTFU: Lost to follow-up, MBMI: Missing BMI data, MD: Missing data (co-variates), NR: Not reported.</w:t>
      </w:r>
    </w:p>
    <w:p w:rsidR="00842FA7" w:rsidRPr="00266809" w:rsidRDefault="00DC7437" w:rsidP="0052196B">
      <w:pPr>
        <w:jc w:val="both"/>
        <w:rPr>
          <w:sz w:val="24"/>
          <w:szCs w:val="24"/>
        </w:rPr>
      </w:pPr>
      <w:r>
        <w:rPr>
          <w:sz w:val="24"/>
          <w:szCs w:val="24"/>
        </w:rPr>
        <w:lastRenderedPageBreak/>
        <w:t>Table 4</w:t>
      </w:r>
      <w:r w:rsidR="00842FA7" w:rsidRPr="00266809">
        <w:rPr>
          <w:sz w:val="24"/>
          <w:szCs w:val="24"/>
        </w:rPr>
        <w:t>:</w:t>
      </w:r>
    </w:p>
    <w:tbl>
      <w:tblPr>
        <w:tblStyle w:val="Tablaconcuadrcula"/>
        <w:tblW w:w="0" w:type="auto"/>
        <w:tblLook w:val="04A0" w:firstRow="1" w:lastRow="0" w:firstColumn="1" w:lastColumn="0" w:noHBand="0" w:noVBand="1"/>
      </w:tblPr>
      <w:tblGrid>
        <w:gridCol w:w="2160"/>
        <w:gridCol w:w="4651"/>
        <w:gridCol w:w="6100"/>
      </w:tblGrid>
      <w:tr w:rsidR="00842FA7" w:rsidRPr="00266809" w:rsidTr="00F04EB4">
        <w:trPr>
          <w:trHeight w:val="300"/>
        </w:trPr>
        <w:tc>
          <w:tcPr>
            <w:tcW w:w="2160" w:type="dxa"/>
            <w:noWrap/>
            <w:hideMark/>
          </w:tcPr>
          <w:p w:rsidR="00842FA7" w:rsidRPr="00266809" w:rsidRDefault="00842FA7" w:rsidP="0052196B">
            <w:pPr>
              <w:jc w:val="both"/>
              <w:rPr>
                <w:sz w:val="24"/>
                <w:szCs w:val="24"/>
              </w:rPr>
            </w:pPr>
          </w:p>
        </w:tc>
        <w:tc>
          <w:tcPr>
            <w:tcW w:w="4651" w:type="dxa"/>
            <w:noWrap/>
            <w:vAlign w:val="center"/>
            <w:hideMark/>
          </w:tcPr>
          <w:p w:rsidR="00842FA7" w:rsidRPr="00F04EB4" w:rsidRDefault="00842FA7" w:rsidP="00F04EB4">
            <w:pPr>
              <w:jc w:val="center"/>
              <w:rPr>
                <w:b/>
                <w:sz w:val="24"/>
                <w:szCs w:val="24"/>
              </w:rPr>
            </w:pPr>
            <w:r w:rsidRPr="00F04EB4">
              <w:rPr>
                <w:b/>
                <w:sz w:val="24"/>
                <w:szCs w:val="24"/>
              </w:rPr>
              <w:t>Limitations of the current evidence</w:t>
            </w:r>
          </w:p>
        </w:tc>
        <w:tc>
          <w:tcPr>
            <w:tcW w:w="6100" w:type="dxa"/>
            <w:noWrap/>
            <w:vAlign w:val="center"/>
            <w:hideMark/>
          </w:tcPr>
          <w:p w:rsidR="00842FA7" w:rsidRPr="00F04EB4" w:rsidRDefault="00842FA7" w:rsidP="00F04EB4">
            <w:pPr>
              <w:jc w:val="center"/>
              <w:rPr>
                <w:b/>
                <w:sz w:val="24"/>
                <w:szCs w:val="24"/>
              </w:rPr>
            </w:pPr>
            <w:r w:rsidRPr="00F04EB4">
              <w:rPr>
                <w:b/>
                <w:sz w:val="24"/>
                <w:szCs w:val="24"/>
              </w:rPr>
              <w:t>Solution with the proposed analysis</w:t>
            </w:r>
          </w:p>
        </w:tc>
      </w:tr>
      <w:tr w:rsidR="00842FA7" w:rsidRPr="00266809" w:rsidTr="00081DC9">
        <w:trPr>
          <w:trHeight w:val="300"/>
        </w:trPr>
        <w:tc>
          <w:tcPr>
            <w:tcW w:w="2160" w:type="dxa"/>
            <w:vMerge w:val="restart"/>
            <w:noWrap/>
            <w:vAlign w:val="center"/>
            <w:hideMark/>
          </w:tcPr>
          <w:p w:rsidR="00842FA7" w:rsidRPr="00F04EB4" w:rsidRDefault="00842FA7" w:rsidP="00F04EB4">
            <w:pPr>
              <w:jc w:val="center"/>
              <w:rPr>
                <w:b/>
                <w:sz w:val="24"/>
                <w:szCs w:val="24"/>
              </w:rPr>
            </w:pPr>
            <w:r w:rsidRPr="00F04EB4">
              <w:rPr>
                <w:b/>
                <w:sz w:val="24"/>
                <w:szCs w:val="24"/>
              </w:rPr>
              <w:t>Existing cohort studies</w:t>
            </w:r>
          </w:p>
        </w:tc>
        <w:tc>
          <w:tcPr>
            <w:tcW w:w="4651" w:type="dxa"/>
            <w:noWrap/>
            <w:vAlign w:val="center"/>
            <w:hideMark/>
          </w:tcPr>
          <w:p w:rsidR="00842FA7" w:rsidRPr="00266809" w:rsidRDefault="00842FA7" w:rsidP="00081DC9">
            <w:pPr>
              <w:rPr>
                <w:sz w:val="24"/>
                <w:szCs w:val="24"/>
              </w:rPr>
            </w:pPr>
            <w:r w:rsidRPr="00266809">
              <w:rPr>
                <w:sz w:val="24"/>
                <w:szCs w:val="24"/>
              </w:rPr>
              <w:t>Considerable missing BMI data</w:t>
            </w:r>
          </w:p>
        </w:tc>
        <w:tc>
          <w:tcPr>
            <w:tcW w:w="6100" w:type="dxa"/>
            <w:noWrap/>
            <w:vAlign w:val="center"/>
            <w:hideMark/>
          </w:tcPr>
          <w:p w:rsidR="00842FA7" w:rsidRPr="00266809" w:rsidRDefault="00842FA7" w:rsidP="00081DC9">
            <w:pPr>
              <w:rPr>
                <w:sz w:val="24"/>
                <w:szCs w:val="24"/>
              </w:rPr>
            </w:pPr>
            <w:r w:rsidRPr="00266809">
              <w:rPr>
                <w:sz w:val="24"/>
                <w:szCs w:val="24"/>
              </w:rPr>
              <w:t>Less than 1% missing data on BMI</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Considerable missing covariates data</w:t>
            </w:r>
          </w:p>
        </w:tc>
        <w:tc>
          <w:tcPr>
            <w:tcW w:w="6100" w:type="dxa"/>
            <w:noWrap/>
            <w:vAlign w:val="center"/>
            <w:hideMark/>
          </w:tcPr>
          <w:p w:rsidR="00842FA7" w:rsidRPr="00266809" w:rsidRDefault="00842FA7" w:rsidP="00081DC9">
            <w:pPr>
              <w:rPr>
                <w:sz w:val="24"/>
                <w:szCs w:val="24"/>
              </w:rPr>
            </w:pPr>
            <w:r w:rsidRPr="00266809">
              <w:rPr>
                <w:sz w:val="24"/>
                <w:szCs w:val="24"/>
              </w:rPr>
              <w:t>Less than 1% missing data on important covariates</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In-hospital mortality only</w:t>
            </w:r>
          </w:p>
        </w:tc>
        <w:tc>
          <w:tcPr>
            <w:tcW w:w="6100" w:type="dxa"/>
            <w:noWrap/>
            <w:vAlign w:val="center"/>
            <w:hideMark/>
          </w:tcPr>
          <w:p w:rsidR="00842FA7" w:rsidRPr="00266809" w:rsidRDefault="00842FA7" w:rsidP="00081DC9">
            <w:pPr>
              <w:rPr>
                <w:sz w:val="24"/>
                <w:szCs w:val="24"/>
              </w:rPr>
            </w:pPr>
            <w:r w:rsidRPr="00266809">
              <w:rPr>
                <w:sz w:val="24"/>
                <w:szCs w:val="24"/>
              </w:rPr>
              <w:t>All participants have post-discharge follow-up, up to 12 months</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Loss to follow-up</w:t>
            </w:r>
          </w:p>
        </w:tc>
        <w:tc>
          <w:tcPr>
            <w:tcW w:w="6100" w:type="dxa"/>
            <w:noWrap/>
            <w:vAlign w:val="center"/>
            <w:hideMark/>
          </w:tcPr>
          <w:p w:rsidR="00842FA7" w:rsidRPr="00266809" w:rsidRDefault="00842FA7" w:rsidP="00081DC9">
            <w:pPr>
              <w:rPr>
                <w:sz w:val="24"/>
                <w:szCs w:val="24"/>
              </w:rPr>
            </w:pPr>
            <w:r w:rsidRPr="00266809">
              <w:rPr>
                <w:sz w:val="24"/>
                <w:szCs w:val="24"/>
              </w:rPr>
              <w:t>Low rate of loss to follow-up (</w:t>
            </w:r>
            <w:r w:rsidRPr="00266809">
              <w:rPr>
                <w:sz w:val="24"/>
                <w:szCs w:val="24"/>
                <w:lang w:val="en-CA"/>
              </w:rPr>
              <w:t xml:space="preserve">&lt; </w:t>
            </w:r>
            <w:r w:rsidRPr="00266809">
              <w:rPr>
                <w:sz w:val="24"/>
                <w:szCs w:val="24"/>
              </w:rPr>
              <w:t>1%)</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BMI analyzed as a continuous variable</w:t>
            </w:r>
          </w:p>
        </w:tc>
        <w:tc>
          <w:tcPr>
            <w:tcW w:w="6100" w:type="dxa"/>
            <w:noWrap/>
            <w:vAlign w:val="center"/>
            <w:hideMark/>
          </w:tcPr>
          <w:p w:rsidR="00842FA7" w:rsidRPr="00266809" w:rsidRDefault="00842FA7" w:rsidP="00081DC9">
            <w:pPr>
              <w:rPr>
                <w:sz w:val="24"/>
                <w:szCs w:val="24"/>
              </w:rPr>
            </w:pPr>
            <w:r w:rsidRPr="00266809">
              <w:rPr>
                <w:sz w:val="24"/>
                <w:szCs w:val="24"/>
              </w:rPr>
              <w:t>Consideration of the non-linear association  in the analysis</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Small event rate among BMI categories</w:t>
            </w:r>
          </w:p>
        </w:tc>
        <w:tc>
          <w:tcPr>
            <w:tcW w:w="6100" w:type="dxa"/>
            <w:noWrap/>
            <w:vAlign w:val="center"/>
            <w:hideMark/>
          </w:tcPr>
          <w:p w:rsidR="00842FA7" w:rsidRPr="00266809" w:rsidRDefault="00842FA7" w:rsidP="00081DC9">
            <w:pPr>
              <w:rPr>
                <w:sz w:val="24"/>
                <w:szCs w:val="24"/>
              </w:rPr>
            </w:pPr>
            <w:r w:rsidRPr="00266809">
              <w:rPr>
                <w:sz w:val="24"/>
                <w:szCs w:val="24"/>
              </w:rPr>
              <w:t>Enough number of all events of interest on each BMI category</w:t>
            </w:r>
          </w:p>
        </w:tc>
      </w:tr>
      <w:tr w:rsidR="00842FA7" w:rsidRPr="00266809" w:rsidTr="00081DC9">
        <w:trPr>
          <w:trHeight w:val="300"/>
        </w:trPr>
        <w:tc>
          <w:tcPr>
            <w:tcW w:w="2160" w:type="dxa"/>
            <w:vMerge/>
            <w:noWrap/>
            <w:vAlign w:val="center"/>
            <w:hideMark/>
          </w:tcPr>
          <w:p w:rsidR="00842FA7" w:rsidRPr="00F04EB4" w:rsidRDefault="00842FA7" w:rsidP="00F04EB4">
            <w:pPr>
              <w:jc w:val="center"/>
              <w:rPr>
                <w:b/>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Included mainly one ethnic group</w:t>
            </w:r>
          </w:p>
        </w:tc>
        <w:tc>
          <w:tcPr>
            <w:tcW w:w="6100" w:type="dxa"/>
            <w:noWrap/>
            <w:vAlign w:val="center"/>
            <w:hideMark/>
          </w:tcPr>
          <w:p w:rsidR="00842FA7" w:rsidRPr="00266809" w:rsidRDefault="00842FA7" w:rsidP="00081DC9">
            <w:pPr>
              <w:rPr>
                <w:sz w:val="24"/>
                <w:szCs w:val="24"/>
              </w:rPr>
            </w:pPr>
            <w:r w:rsidRPr="00266809">
              <w:rPr>
                <w:sz w:val="24"/>
                <w:szCs w:val="24"/>
              </w:rPr>
              <w:t>Includes ethnic groups from all habited continents</w:t>
            </w:r>
          </w:p>
        </w:tc>
      </w:tr>
      <w:tr w:rsidR="00842FA7" w:rsidRPr="00266809" w:rsidTr="00081DC9">
        <w:trPr>
          <w:trHeight w:val="300"/>
        </w:trPr>
        <w:tc>
          <w:tcPr>
            <w:tcW w:w="2160" w:type="dxa"/>
            <w:vMerge w:val="restart"/>
            <w:noWrap/>
            <w:vAlign w:val="center"/>
            <w:hideMark/>
          </w:tcPr>
          <w:p w:rsidR="00842FA7" w:rsidRPr="00F04EB4" w:rsidRDefault="00842FA7" w:rsidP="00F04EB4">
            <w:pPr>
              <w:jc w:val="center"/>
              <w:rPr>
                <w:b/>
                <w:sz w:val="24"/>
                <w:szCs w:val="24"/>
              </w:rPr>
            </w:pPr>
            <w:r w:rsidRPr="00F04EB4">
              <w:rPr>
                <w:b/>
                <w:sz w:val="24"/>
                <w:szCs w:val="24"/>
              </w:rPr>
              <w:t>Current meta-analysis</w:t>
            </w:r>
          </w:p>
        </w:tc>
        <w:tc>
          <w:tcPr>
            <w:tcW w:w="4651" w:type="dxa"/>
            <w:noWrap/>
            <w:vAlign w:val="center"/>
            <w:hideMark/>
          </w:tcPr>
          <w:p w:rsidR="00842FA7" w:rsidRPr="00266809" w:rsidRDefault="00842FA7" w:rsidP="00081DC9">
            <w:pPr>
              <w:rPr>
                <w:sz w:val="24"/>
                <w:szCs w:val="24"/>
              </w:rPr>
            </w:pPr>
            <w:r w:rsidRPr="00266809">
              <w:rPr>
                <w:sz w:val="24"/>
                <w:szCs w:val="24"/>
              </w:rPr>
              <w:t>Heterogeneity of BMI reporting</w:t>
            </w:r>
          </w:p>
        </w:tc>
        <w:tc>
          <w:tcPr>
            <w:tcW w:w="6100" w:type="dxa"/>
            <w:noWrap/>
            <w:vAlign w:val="center"/>
            <w:hideMark/>
          </w:tcPr>
          <w:p w:rsidR="00842FA7" w:rsidRPr="00266809" w:rsidRDefault="00842FA7" w:rsidP="00081DC9">
            <w:pPr>
              <w:rPr>
                <w:sz w:val="24"/>
                <w:szCs w:val="24"/>
              </w:rPr>
            </w:pPr>
            <w:r w:rsidRPr="00266809">
              <w:rPr>
                <w:sz w:val="24"/>
                <w:szCs w:val="24"/>
              </w:rPr>
              <w:t>Patient level BMI value available</w:t>
            </w:r>
          </w:p>
        </w:tc>
      </w:tr>
      <w:tr w:rsidR="00842FA7" w:rsidRPr="00266809" w:rsidTr="00081DC9">
        <w:trPr>
          <w:trHeight w:val="315"/>
        </w:trPr>
        <w:tc>
          <w:tcPr>
            <w:tcW w:w="2160" w:type="dxa"/>
            <w:vMerge/>
            <w:noWrap/>
            <w:hideMark/>
          </w:tcPr>
          <w:p w:rsidR="00842FA7" w:rsidRPr="00266809" w:rsidRDefault="00842FA7" w:rsidP="0052196B">
            <w:pPr>
              <w:jc w:val="both"/>
              <w:rPr>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Heterogeneity of statistical methods</w:t>
            </w:r>
          </w:p>
        </w:tc>
        <w:tc>
          <w:tcPr>
            <w:tcW w:w="6100" w:type="dxa"/>
            <w:noWrap/>
            <w:vAlign w:val="center"/>
            <w:hideMark/>
          </w:tcPr>
          <w:p w:rsidR="00842FA7" w:rsidRPr="00266809" w:rsidRDefault="00842FA7" w:rsidP="00081DC9">
            <w:pPr>
              <w:rPr>
                <w:sz w:val="24"/>
                <w:szCs w:val="24"/>
              </w:rPr>
            </w:pPr>
            <w:r w:rsidRPr="00266809">
              <w:rPr>
                <w:sz w:val="24"/>
                <w:szCs w:val="24"/>
              </w:rPr>
              <w:t>Statistical method homogenization</w:t>
            </w:r>
          </w:p>
        </w:tc>
      </w:tr>
      <w:tr w:rsidR="00842FA7" w:rsidRPr="00266809" w:rsidTr="00081DC9">
        <w:trPr>
          <w:trHeight w:val="300"/>
        </w:trPr>
        <w:tc>
          <w:tcPr>
            <w:tcW w:w="2160" w:type="dxa"/>
            <w:vMerge/>
            <w:noWrap/>
            <w:hideMark/>
          </w:tcPr>
          <w:p w:rsidR="00842FA7" w:rsidRPr="00266809" w:rsidRDefault="00842FA7" w:rsidP="0052196B">
            <w:pPr>
              <w:jc w:val="both"/>
              <w:rPr>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 xml:space="preserve">Heterogeneity of variables in </w:t>
            </w:r>
            <w:r>
              <w:rPr>
                <w:sz w:val="24"/>
                <w:szCs w:val="24"/>
              </w:rPr>
              <w:t>multivariable</w:t>
            </w:r>
            <w:r w:rsidRPr="00266809">
              <w:rPr>
                <w:sz w:val="24"/>
                <w:szCs w:val="24"/>
              </w:rPr>
              <w:t xml:space="preserve"> analysis</w:t>
            </w:r>
          </w:p>
        </w:tc>
        <w:tc>
          <w:tcPr>
            <w:tcW w:w="6100" w:type="dxa"/>
            <w:noWrap/>
            <w:vAlign w:val="center"/>
            <w:hideMark/>
          </w:tcPr>
          <w:p w:rsidR="00842FA7" w:rsidRPr="00266809" w:rsidRDefault="00842FA7" w:rsidP="00081DC9">
            <w:pPr>
              <w:rPr>
                <w:sz w:val="24"/>
                <w:szCs w:val="24"/>
              </w:rPr>
            </w:pPr>
            <w:r>
              <w:rPr>
                <w:sz w:val="24"/>
                <w:szCs w:val="24"/>
              </w:rPr>
              <w:t>Multivariable</w:t>
            </w:r>
            <w:r w:rsidRPr="00266809">
              <w:rPr>
                <w:sz w:val="24"/>
                <w:szCs w:val="24"/>
              </w:rPr>
              <w:t xml:space="preserve"> analysis homogenization</w:t>
            </w:r>
          </w:p>
        </w:tc>
      </w:tr>
      <w:tr w:rsidR="00842FA7" w:rsidRPr="00266809" w:rsidTr="00081DC9">
        <w:trPr>
          <w:trHeight w:val="315"/>
        </w:trPr>
        <w:tc>
          <w:tcPr>
            <w:tcW w:w="2160" w:type="dxa"/>
            <w:vMerge/>
            <w:noWrap/>
            <w:hideMark/>
          </w:tcPr>
          <w:p w:rsidR="00842FA7" w:rsidRPr="00266809" w:rsidRDefault="00842FA7" w:rsidP="0052196B">
            <w:pPr>
              <w:jc w:val="both"/>
              <w:rPr>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Impossibility to analyze BMI as a continuous variable</w:t>
            </w:r>
          </w:p>
        </w:tc>
        <w:tc>
          <w:tcPr>
            <w:tcW w:w="6100" w:type="dxa"/>
            <w:noWrap/>
            <w:vAlign w:val="center"/>
            <w:hideMark/>
          </w:tcPr>
          <w:p w:rsidR="00842FA7" w:rsidRPr="00266809" w:rsidRDefault="00842FA7" w:rsidP="00081DC9">
            <w:pPr>
              <w:rPr>
                <w:sz w:val="24"/>
                <w:szCs w:val="24"/>
              </w:rPr>
            </w:pPr>
            <w:r w:rsidRPr="00266809">
              <w:rPr>
                <w:sz w:val="24"/>
                <w:szCs w:val="24"/>
              </w:rPr>
              <w:t>BMI analysis as a continuous variable feasible</w:t>
            </w:r>
          </w:p>
        </w:tc>
      </w:tr>
      <w:tr w:rsidR="00842FA7" w:rsidRPr="00266809" w:rsidTr="00081DC9">
        <w:trPr>
          <w:trHeight w:val="300"/>
        </w:trPr>
        <w:tc>
          <w:tcPr>
            <w:tcW w:w="2160" w:type="dxa"/>
            <w:vMerge/>
            <w:noWrap/>
            <w:hideMark/>
          </w:tcPr>
          <w:p w:rsidR="00842FA7" w:rsidRPr="00266809" w:rsidRDefault="00842FA7" w:rsidP="0052196B">
            <w:pPr>
              <w:jc w:val="both"/>
              <w:rPr>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Subgroup analysis only at study level features</w:t>
            </w:r>
          </w:p>
        </w:tc>
        <w:tc>
          <w:tcPr>
            <w:tcW w:w="6100" w:type="dxa"/>
            <w:noWrap/>
            <w:vAlign w:val="center"/>
            <w:hideMark/>
          </w:tcPr>
          <w:p w:rsidR="00842FA7" w:rsidRPr="00266809" w:rsidRDefault="00842FA7" w:rsidP="00081DC9">
            <w:pPr>
              <w:rPr>
                <w:sz w:val="24"/>
                <w:szCs w:val="24"/>
              </w:rPr>
            </w:pPr>
            <w:r w:rsidRPr="00266809">
              <w:rPr>
                <w:sz w:val="24"/>
                <w:szCs w:val="24"/>
              </w:rPr>
              <w:t>Patient level subgroup feasible</w:t>
            </w:r>
          </w:p>
        </w:tc>
      </w:tr>
      <w:tr w:rsidR="00842FA7" w:rsidRPr="00266809" w:rsidTr="00081DC9">
        <w:trPr>
          <w:trHeight w:val="315"/>
        </w:trPr>
        <w:tc>
          <w:tcPr>
            <w:tcW w:w="2160" w:type="dxa"/>
            <w:vMerge/>
            <w:noWrap/>
            <w:hideMark/>
          </w:tcPr>
          <w:p w:rsidR="00842FA7" w:rsidRPr="00266809" w:rsidRDefault="00842FA7" w:rsidP="0052196B">
            <w:pPr>
              <w:jc w:val="both"/>
              <w:rPr>
                <w:sz w:val="24"/>
                <w:szCs w:val="24"/>
              </w:rPr>
            </w:pPr>
          </w:p>
        </w:tc>
        <w:tc>
          <w:tcPr>
            <w:tcW w:w="4651" w:type="dxa"/>
            <w:noWrap/>
            <w:vAlign w:val="center"/>
            <w:hideMark/>
          </w:tcPr>
          <w:p w:rsidR="00842FA7" w:rsidRPr="00266809" w:rsidRDefault="00842FA7" w:rsidP="00081DC9">
            <w:pPr>
              <w:rPr>
                <w:sz w:val="24"/>
                <w:szCs w:val="24"/>
              </w:rPr>
            </w:pPr>
            <w:r w:rsidRPr="00266809">
              <w:rPr>
                <w:sz w:val="24"/>
                <w:szCs w:val="24"/>
              </w:rPr>
              <w:t>Sensitivity analysis only at study level features</w:t>
            </w:r>
          </w:p>
        </w:tc>
        <w:tc>
          <w:tcPr>
            <w:tcW w:w="6100" w:type="dxa"/>
            <w:noWrap/>
            <w:vAlign w:val="center"/>
            <w:hideMark/>
          </w:tcPr>
          <w:p w:rsidR="00842FA7" w:rsidRPr="00266809" w:rsidRDefault="00842FA7" w:rsidP="00081DC9">
            <w:pPr>
              <w:rPr>
                <w:sz w:val="24"/>
                <w:szCs w:val="24"/>
              </w:rPr>
            </w:pPr>
            <w:r w:rsidRPr="00266809">
              <w:rPr>
                <w:sz w:val="24"/>
                <w:szCs w:val="24"/>
              </w:rPr>
              <w:t>Patient level sensitivity analysis feasible</w:t>
            </w:r>
          </w:p>
        </w:tc>
      </w:tr>
    </w:tbl>
    <w:p w:rsidR="00842FA7" w:rsidRPr="00266809" w:rsidRDefault="00842FA7" w:rsidP="0052196B">
      <w:pPr>
        <w:jc w:val="both"/>
        <w:rPr>
          <w:sz w:val="24"/>
          <w:szCs w:val="24"/>
        </w:rPr>
      </w:pPr>
    </w:p>
    <w:p w:rsidR="00842FA7" w:rsidRPr="00266809" w:rsidRDefault="00F04EB4" w:rsidP="0052196B">
      <w:pPr>
        <w:jc w:val="both"/>
        <w:rPr>
          <w:sz w:val="24"/>
          <w:szCs w:val="24"/>
        </w:rPr>
        <w:sectPr w:rsidR="00842FA7" w:rsidRPr="00266809" w:rsidSect="00081DC9">
          <w:pgSz w:w="15840" w:h="12240" w:orient="landscape"/>
          <w:pgMar w:top="1440" w:right="1440" w:bottom="1440" w:left="1440" w:header="720" w:footer="720" w:gutter="0"/>
          <w:cols w:space="720"/>
          <w:docGrid w:linePitch="360"/>
        </w:sectPr>
      </w:pPr>
      <w:r>
        <w:rPr>
          <w:sz w:val="24"/>
          <w:szCs w:val="24"/>
        </w:rPr>
        <w:t>Notes</w:t>
      </w:r>
      <w:r w:rsidR="00842FA7" w:rsidRPr="00266809">
        <w:rPr>
          <w:sz w:val="24"/>
          <w:szCs w:val="24"/>
        </w:rPr>
        <w:t>: Limitations of the current evidence and the proposed advantages of the individual patient data meta-analysis from PHRI RCTs studies.</w:t>
      </w:r>
    </w:p>
    <w:p w:rsidR="00842FA7" w:rsidRPr="00266809" w:rsidRDefault="00842FA7" w:rsidP="0052196B">
      <w:pPr>
        <w:jc w:val="both"/>
        <w:rPr>
          <w:sz w:val="24"/>
          <w:szCs w:val="24"/>
        </w:rPr>
      </w:pPr>
      <w:r w:rsidRPr="00266809">
        <w:rPr>
          <w:sz w:val="24"/>
          <w:szCs w:val="24"/>
        </w:rPr>
        <w:lastRenderedPageBreak/>
        <w:t>Figure 1: Flow chart</w:t>
      </w:r>
    </w:p>
    <w:p w:rsidR="00842FA7" w:rsidRPr="00266809" w:rsidRDefault="00842FA7" w:rsidP="0052196B">
      <w:pPr>
        <w:jc w:val="both"/>
        <w:rPr>
          <w:sz w:val="24"/>
          <w:szCs w:val="24"/>
        </w:rPr>
      </w:pPr>
      <w:r w:rsidRPr="00266809">
        <w:rPr>
          <w:noProof/>
          <w:sz w:val="24"/>
          <w:szCs w:val="24"/>
        </w:rPr>
        <w:drawing>
          <wp:inline distT="0" distB="0" distL="0" distR="0" wp14:anchorId="435EC394" wp14:editId="2581E400">
            <wp:extent cx="5008807" cy="4654190"/>
            <wp:effectExtent l="0" t="0" r="190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iagram.png"/>
                    <pic:cNvPicPr/>
                  </pic:nvPicPr>
                  <pic:blipFill rotWithShape="1">
                    <a:blip r:embed="rId13">
                      <a:extLst>
                        <a:ext uri="{28A0092B-C50C-407E-A947-70E740481C1C}">
                          <a14:useLocalDpi xmlns:a14="http://schemas.microsoft.com/office/drawing/2010/main" val="0"/>
                        </a:ext>
                      </a:extLst>
                    </a:blip>
                    <a:srcRect t="-2081" b="-1"/>
                    <a:stretch/>
                  </pic:blipFill>
                  <pic:spPr bwMode="auto">
                    <a:xfrm>
                      <a:off x="0" y="0"/>
                      <a:ext cx="5014968" cy="4659915"/>
                    </a:xfrm>
                    <a:prstGeom prst="rect">
                      <a:avLst/>
                    </a:prstGeom>
                    <a:ln>
                      <a:noFill/>
                    </a:ln>
                    <a:extLst>
                      <a:ext uri="{53640926-AAD7-44D8-BBD7-CCE9431645EC}">
                        <a14:shadowObscured xmlns:a14="http://schemas.microsoft.com/office/drawing/2010/main"/>
                      </a:ext>
                    </a:extLst>
                  </pic:spPr>
                </pic:pic>
              </a:graphicData>
            </a:graphic>
          </wp:inline>
        </w:drawing>
      </w:r>
    </w:p>
    <w:p w:rsidR="00842FA7" w:rsidRPr="00266809" w:rsidRDefault="00842FA7" w:rsidP="0052196B">
      <w:pPr>
        <w:jc w:val="both"/>
        <w:rPr>
          <w:sz w:val="24"/>
          <w:szCs w:val="24"/>
        </w:rPr>
      </w:pPr>
    </w:p>
    <w:p w:rsidR="00842FA7" w:rsidRPr="00266809" w:rsidRDefault="00F04EB4" w:rsidP="0052196B">
      <w:pPr>
        <w:jc w:val="both"/>
        <w:rPr>
          <w:sz w:val="24"/>
          <w:szCs w:val="24"/>
        </w:rPr>
      </w:pPr>
      <w:r>
        <w:rPr>
          <w:sz w:val="24"/>
          <w:szCs w:val="24"/>
        </w:rPr>
        <w:t>Notes</w:t>
      </w:r>
      <w:r w:rsidR="00842FA7" w:rsidRPr="00266809">
        <w:rPr>
          <w:sz w:val="24"/>
          <w:szCs w:val="24"/>
        </w:rPr>
        <w:t>: Flow chart. MI: Myocardial infarction.</w:t>
      </w:r>
    </w:p>
    <w:p w:rsidR="00842FA7" w:rsidRPr="00266809" w:rsidRDefault="00842FA7" w:rsidP="0052196B">
      <w:pPr>
        <w:jc w:val="both"/>
        <w:rPr>
          <w:sz w:val="24"/>
          <w:szCs w:val="24"/>
        </w:rPr>
      </w:pPr>
      <w:r w:rsidRPr="00266809">
        <w:rPr>
          <w:sz w:val="24"/>
          <w:szCs w:val="24"/>
        </w:rPr>
        <w:br w:type="page"/>
      </w:r>
    </w:p>
    <w:p w:rsidR="00842FA7" w:rsidRPr="00266809" w:rsidRDefault="00842FA7" w:rsidP="00081DC9">
      <w:pPr>
        <w:rPr>
          <w:sz w:val="24"/>
          <w:szCs w:val="24"/>
        </w:rPr>
      </w:pPr>
      <w:r w:rsidRPr="00266809">
        <w:rPr>
          <w:sz w:val="24"/>
          <w:szCs w:val="24"/>
        </w:rPr>
        <w:lastRenderedPageBreak/>
        <w:t xml:space="preserve">Figure 2A: </w:t>
      </w:r>
      <w:r w:rsidRPr="00266809">
        <w:rPr>
          <w:noProof/>
          <w:sz w:val="24"/>
          <w:szCs w:val="24"/>
        </w:rPr>
        <w:drawing>
          <wp:inline distT="0" distB="0" distL="0" distR="0" wp14:anchorId="0314A8AC" wp14:editId="4A978BB3">
            <wp:extent cx="5943600" cy="440880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primario.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08805"/>
                    </a:xfrm>
                    <a:prstGeom prst="rect">
                      <a:avLst/>
                    </a:prstGeom>
                  </pic:spPr>
                </pic:pic>
              </a:graphicData>
            </a:graphic>
          </wp:inline>
        </w:drawing>
      </w:r>
    </w:p>
    <w:p w:rsidR="00842FA7" w:rsidRPr="00266809" w:rsidRDefault="00842FA7" w:rsidP="0052196B">
      <w:pPr>
        <w:jc w:val="both"/>
        <w:rPr>
          <w:sz w:val="24"/>
          <w:szCs w:val="24"/>
        </w:rPr>
      </w:pP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w:t>
      </w:r>
      <w:r w:rsidR="00842FA7" w:rsidRPr="00266809">
        <w:rPr>
          <w:noProof/>
          <w:sz w:val="24"/>
          <w:szCs w:val="24"/>
        </w:rPr>
        <w:t>analysis</w:t>
      </w:r>
      <w:r w:rsidR="00842FA7" w:rsidRPr="00266809">
        <w:rPr>
          <w:sz w:val="24"/>
          <w:szCs w:val="24"/>
        </w:rPr>
        <w:t xml:space="preserve"> performed (HR or OR).</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2B:</w:t>
      </w:r>
    </w:p>
    <w:p w:rsidR="00842FA7" w:rsidRPr="00266809" w:rsidRDefault="00842FA7" w:rsidP="0052196B">
      <w:pPr>
        <w:jc w:val="both"/>
        <w:rPr>
          <w:sz w:val="24"/>
          <w:szCs w:val="24"/>
        </w:rPr>
      </w:pPr>
      <w:r w:rsidRPr="00266809">
        <w:rPr>
          <w:noProof/>
          <w:sz w:val="24"/>
          <w:szCs w:val="24"/>
        </w:rPr>
        <w:drawing>
          <wp:inline distT="0" distB="0" distL="0" distR="0" wp14:anchorId="32D73B3B" wp14:editId="060811D1">
            <wp:extent cx="5943600" cy="4813300"/>
            <wp:effectExtent l="0" t="0" r="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ese vs nw.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813300"/>
                    </a:xfrm>
                    <a:prstGeom prst="rect">
                      <a:avLst/>
                    </a:prstGeom>
                  </pic:spPr>
                </pic:pic>
              </a:graphicData>
            </a:graphic>
          </wp:inline>
        </w:drawing>
      </w:r>
    </w:p>
    <w:p w:rsidR="00842FA7" w:rsidRPr="00266809" w:rsidRDefault="00842FA7" w:rsidP="0052196B">
      <w:pPr>
        <w:jc w:val="both"/>
        <w:rPr>
          <w:sz w:val="24"/>
          <w:szCs w:val="24"/>
        </w:rPr>
      </w:pPr>
    </w:p>
    <w:p w:rsidR="00842FA7" w:rsidRPr="00266809" w:rsidRDefault="00F04EB4" w:rsidP="00F04EB4">
      <w:pPr>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w:t>
      </w:r>
      <w:r w:rsidR="00842FA7" w:rsidRPr="00266809">
        <w:rPr>
          <w:noProof/>
          <w:sz w:val="24"/>
          <w:szCs w:val="24"/>
        </w:rPr>
        <w:t>analysis</w:t>
      </w:r>
      <w:r w:rsidR="00842FA7" w:rsidRPr="00266809">
        <w:rPr>
          <w:sz w:val="24"/>
          <w:szCs w:val="24"/>
        </w:rPr>
        <w:t xml:space="preserve"> performed (HR or OR).</w:t>
      </w:r>
    </w:p>
    <w:p w:rsidR="00842FA7" w:rsidRPr="00266809" w:rsidRDefault="00842FA7" w:rsidP="0052196B">
      <w:pPr>
        <w:jc w:val="both"/>
        <w:rPr>
          <w:sz w:val="24"/>
          <w:szCs w:val="24"/>
        </w:rPr>
        <w:sectPr w:rsidR="00842FA7" w:rsidRPr="00266809" w:rsidSect="00081DC9">
          <w:pgSz w:w="12240" w:h="15840"/>
          <w:pgMar w:top="1440" w:right="1440" w:bottom="1440" w:left="1440" w:header="720" w:footer="720" w:gutter="0"/>
          <w:cols w:space="720"/>
          <w:docGrid w:linePitch="360"/>
        </w:sectPr>
      </w:pPr>
    </w:p>
    <w:p w:rsidR="00842FA7" w:rsidRPr="00266809" w:rsidRDefault="00842FA7" w:rsidP="0052196B">
      <w:pPr>
        <w:jc w:val="both"/>
        <w:rPr>
          <w:sz w:val="24"/>
          <w:szCs w:val="24"/>
        </w:rPr>
      </w:pPr>
      <w:r w:rsidRPr="00266809">
        <w:rPr>
          <w:sz w:val="24"/>
          <w:szCs w:val="24"/>
        </w:rPr>
        <w:lastRenderedPageBreak/>
        <w:t>Figure 3A:</w:t>
      </w:r>
    </w:p>
    <w:p w:rsidR="00842FA7" w:rsidRPr="00266809" w:rsidRDefault="00842FA7" w:rsidP="0052196B">
      <w:pPr>
        <w:jc w:val="both"/>
        <w:rPr>
          <w:sz w:val="24"/>
          <w:szCs w:val="24"/>
        </w:rPr>
      </w:pPr>
      <w:r w:rsidRPr="00266809">
        <w:rPr>
          <w:noProof/>
          <w:sz w:val="24"/>
          <w:szCs w:val="24"/>
        </w:rPr>
        <w:drawing>
          <wp:inline distT="0" distB="0" distL="0" distR="0" wp14:anchorId="4AE295DD" wp14:editId="719C2B54">
            <wp:extent cx="5943600" cy="482092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v acs type.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20920"/>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ACS subtype. STEMI: ST-segment elevation myocardial infarction, AMI: Acute myocardial infarction (STEMI or </w:t>
      </w:r>
      <w:r w:rsidR="00842FA7" w:rsidRPr="00266809">
        <w:rPr>
          <w:noProof/>
          <w:sz w:val="24"/>
          <w:szCs w:val="24"/>
        </w:rPr>
        <w:t>non</w:t>
      </w:r>
      <w:r w:rsidR="00842FA7" w:rsidRPr="00266809">
        <w:rPr>
          <w:sz w:val="24"/>
          <w:szCs w:val="24"/>
        </w:rPr>
        <w:t xml:space="preserve">-STEMI), ACS: Any acute coronary syndrome (STEMI, </w:t>
      </w:r>
      <w:r w:rsidR="00842FA7" w:rsidRPr="00266809">
        <w:rPr>
          <w:noProof/>
          <w:sz w:val="24"/>
          <w:szCs w:val="24"/>
        </w:rPr>
        <w:t>non</w:t>
      </w:r>
      <w:r w:rsidR="00842FA7" w:rsidRPr="00266809">
        <w:rPr>
          <w:sz w:val="24"/>
          <w:szCs w:val="24"/>
        </w:rPr>
        <w:t>-STEMI or unstable angina).</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3B:</w:t>
      </w:r>
    </w:p>
    <w:p w:rsidR="00842FA7" w:rsidRPr="00266809" w:rsidRDefault="00842FA7" w:rsidP="0052196B">
      <w:pPr>
        <w:jc w:val="both"/>
        <w:rPr>
          <w:sz w:val="24"/>
          <w:szCs w:val="24"/>
        </w:rPr>
      </w:pPr>
      <w:r w:rsidRPr="00266809">
        <w:rPr>
          <w:noProof/>
          <w:sz w:val="24"/>
          <w:szCs w:val="24"/>
        </w:rPr>
        <w:drawing>
          <wp:inline distT="0" distB="0" distL="0" distR="0" wp14:anchorId="016EB947" wp14:editId="0FC68441">
            <wp:extent cx="5943600" cy="5096510"/>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 acs typ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096510"/>
                    </a:xfrm>
                    <a:prstGeom prst="rect">
                      <a:avLst/>
                    </a:prstGeom>
                  </pic:spPr>
                </pic:pic>
              </a:graphicData>
            </a:graphic>
          </wp:inline>
        </w:drawing>
      </w:r>
    </w:p>
    <w:p w:rsidR="00842FA7" w:rsidRPr="00266809" w:rsidRDefault="00F04EB4" w:rsidP="0052196B">
      <w:pPr>
        <w:jc w:val="both"/>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ACS subtype. STEMI: ST-segment elevation myocardial infarction, AMI: Acute myocardial infarction (STEMI or </w:t>
      </w:r>
      <w:r w:rsidR="00842FA7" w:rsidRPr="00266809">
        <w:rPr>
          <w:noProof/>
          <w:sz w:val="24"/>
          <w:szCs w:val="24"/>
        </w:rPr>
        <w:t>non</w:t>
      </w:r>
      <w:r w:rsidR="00842FA7" w:rsidRPr="00266809">
        <w:rPr>
          <w:sz w:val="24"/>
          <w:szCs w:val="24"/>
        </w:rPr>
        <w:t xml:space="preserve">-STEMI), ACS: Any acute coronary syndrome (STEMI, </w:t>
      </w:r>
      <w:r w:rsidR="00842FA7" w:rsidRPr="00266809">
        <w:rPr>
          <w:noProof/>
          <w:sz w:val="24"/>
          <w:szCs w:val="24"/>
        </w:rPr>
        <w:t>non</w:t>
      </w:r>
      <w:r w:rsidR="00842FA7" w:rsidRPr="00266809">
        <w:rPr>
          <w:sz w:val="24"/>
          <w:szCs w:val="24"/>
        </w:rPr>
        <w:t>-STEMI or unstable angina).</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4A:</w:t>
      </w:r>
    </w:p>
    <w:p w:rsidR="00842FA7" w:rsidRPr="00266809" w:rsidRDefault="00842FA7" w:rsidP="0052196B">
      <w:pPr>
        <w:jc w:val="both"/>
        <w:rPr>
          <w:sz w:val="24"/>
          <w:szCs w:val="24"/>
        </w:rPr>
      </w:pPr>
      <w:r w:rsidRPr="00266809">
        <w:rPr>
          <w:noProof/>
          <w:sz w:val="24"/>
          <w:szCs w:val="24"/>
        </w:rPr>
        <w:drawing>
          <wp:inline distT="0" distB="0" distL="0" distR="0" wp14:anchorId="2D72C5B3" wp14:editId="27173D1E">
            <wp:extent cx="5943600" cy="5534660"/>
            <wp:effectExtent l="0" t="0" r="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v geograf.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534660"/>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geographic region. One study </w:t>
      </w:r>
      <w:r w:rsidR="00842FA7" w:rsidRPr="00266809">
        <w:rPr>
          <w:noProof/>
          <w:sz w:val="24"/>
          <w:szCs w:val="24"/>
        </w:rPr>
        <w:t>was excluded</w:t>
      </w:r>
      <w:r w:rsidR="00842FA7" w:rsidRPr="00266809">
        <w:rPr>
          <w:sz w:val="24"/>
          <w:szCs w:val="24"/>
        </w:rPr>
        <w:t xml:space="preserve"> for including participants from more than one continent. </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4B:</w:t>
      </w:r>
    </w:p>
    <w:p w:rsidR="00842FA7" w:rsidRPr="00266809" w:rsidRDefault="00842FA7" w:rsidP="0052196B">
      <w:pPr>
        <w:jc w:val="both"/>
        <w:rPr>
          <w:sz w:val="24"/>
          <w:szCs w:val="24"/>
        </w:rPr>
      </w:pPr>
      <w:r w:rsidRPr="00266809">
        <w:rPr>
          <w:noProof/>
          <w:sz w:val="24"/>
          <w:szCs w:val="24"/>
        </w:rPr>
        <w:drawing>
          <wp:inline distT="0" distB="0" distL="0" distR="0" wp14:anchorId="1CE2F162" wp14:editId="49530163">
            <wp:extent cx="5943600" cy="571817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 geograf.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718175"/>
                    </a:xfrm>
                    <a:prstGeom prst="rect">
                      <a:avLst/>
                    </a:prstGeom>
                  </pic:spPr>
                </pic:pic>
              </a:graphicData>
            </a:graphic>
          </wp:inline>
        </w:drawing>
      </w:r>
    </w:p>
    <w:p w:rsidR="00842FA7" w:rsidRPr="00266809" w:rsidRDefault="00F04EB4" w:rsidP="0052196B">
      <w:pPr>
        <w:jc w:val="both"/>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geographic region. One study </w:t>
      </w:r>
      <w:r w:rsidR="00842FA7" w:rsidRPr="00266809">
        <w:rPr>
          <w:noProof/>
          <w:sz w:val="24"/>
          <w:szCs w:val="24"/>
        </w:rPr>
        <w:t>was excluded</w:t>
      </w:r>
      <w:r w:rsidR="00842FA7" w:rsidRPr="00266809">
        <w:rPr>
          <w:sz w:val="24"/>
          <w:szCs w:val="24"/>
        </w:rPr>
        <w:t xml:space="preserve"> for including participants from more than one continent. </w:t>
      </w:r>
    </w:p>
    <w:p w:rsidR="00842FA7" w:rsidRPr="00266809" w:rsidRDefault="00842FA7" w:rsidP="0052196B">
      <w:pPr>
        <w:jc w:val="both"/>
        <w:rPr>
          <w:sz w:val="24"/>
          <w:szCs w:val="24"/>
        </w:rPr>
      </w:pP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5A:</w:t>
      </w:r>
    </w:p>
    <w:p w:rsidR="00842FA7" w:rsidRPr="00266809" w:rsidRDefault="00842FA7" w:rsidP="0052196B">
      <w:pPr>
        <w:jc w:val="both"/>
        <w:rPr>
          <w:sz w:val="24"/>
          <w:szCs w:val="24"/>
        </w:rPr>
      </w:pPr>
      <w:r w:rsidRPr="00266809">
        <w:rPr>
          <w:noProof/>
          <w:sz w:val="24"/>
          <w:szCs w:val="24"/>
        </w:rPr>
        <w:drawing>
          <wp:inline distT="0" distB="0" distL="0" distR="0" wp14:anchorId="6EF91448" wp14:editId="648BFC60">
            <wp:extent cx="5943600" cy="4946650"/>
            <wp:effectExtent l="0" t="0" r="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v fu.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946650"/>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follow-up time. Studies were categorized as in-hospital, discharge to 12 months and more than 12 months.</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5B:</w:t>
      </w:r>
    </w:p>
    <w:p w:rsidR="00842FA7" w:rsidRPr="00266809" w:rsidRDefault="00842FA7" w:rsidP="0052196B">
      <w:pPr>
        <w:jc w:val="both"/>
        <w:rPr>
          <w:sz w:val="24"/>
          <w:szCs w:val="24"/>
        </w:rPr>
      </w:pPr>
      <w:r w:rsidRPr="00266809">
        <w:rPr>
          <w:noProof/>
          <w:sz w:val="24"/>
          <w:szCs w:val="24"/>
        </w:rPr>
        <w:drawing>
          <wp:inline distT="0" distB="0" distL="0" distR="0" wp14:anchorId="73E94D24" wp14:editId="5841416F">
            <wp:extent cx="5943600" cy="522097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 fu.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220970"/>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follow-up time. Studies were categorized as in-hospital, discharge to 12 months and more than 12 months.</w:t>
      </w:r>
    </w:p>
    <w:p w:rsidR="00842FA7" w:rsidRPr="00266809" w:rsidRDefault="00842FA7" w:rsidP="0052196B">
      <w:pPr>
        <w:jc w:val="both"/>
        <w:rPr>
          <w:sz w:val="24"/>
          <w:szCs w:val="24"/>
        </w:rPr>
      </w:pP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 xml:space="preserve">Figure 6A: </w:t>
      </w:r>
    </w:p>
    <w:p w:rsidR="00842FA7" w:rsidRPr="00266809" w:rsidRDefault="00842FA7" w:rsidP="0052196B">
      <w:pPr>
        <w:jc w:val="both"/>
        <w:rPr>
          <w:sz w:val="24"/>
          <w:szCs w:val="24"/>
        </w:rPr>
      </w:pPr>
      <w:r w:rsidRPr="00266809">
        <w:rPr>
          <w:noProof/>
          <w:sz w:val="24"/>
          <w:szCs w:val="24"/>
        </w:rPr>
        <w:drawing>
          <wp:inline distT="0" distB="0" distL="0" distR="0" wp14:anchorId="0CD211EC" wp14:editId="7206378A">
            <wp:extent cx="5943600" cy="421830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v quality.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218305"/>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study quality assessed by the </w:t>
      </w:r>
      <w:r w:rsidR="00842FA7" w:rsidRPr="00266809">
        <w:rPr>
          <w:noProof/>
          <w:sz w:val="24"/>
          <w:szCs w:val="24"/>
        </w:rPr>
        <w:t>Newcastle Ottawa</w:t>
      </w:r>
      <w:r w:rsidR="00842FA7" w:rsidRPr="00266809">
        <w:rPr>
          <w:sz w:val="24"/>
          <w:szCs w:val="24"/>
        </w:rPr>
        <w:t xml:space="preserve"> Scale </w:t>
      </w:r>
      <w:proofErr w:type="spellStart"/>
      <w:r w:rsidR="00842FA7" w:rsidRPr="00266809">
        <w:rPr>
          <w:sz w:val="24"/>
          <w:szCs w:val="24"/>
        </w:rPr>
        <w:t>scale</w:t>
      </w:r>
      <w:proofErr w:type="spellEnd"/>
      <w:r w:rsidR="00842FA7" w:rsidRPr="00266809">
        <w:rPr>
          <w:sz w:val="24"/>
          <w:szCs w:val="24"/>
        </w:rPr>
        <w:t xml:space="preserve">. Studies were considered “high quality” if it had at least 3 stars in </w:t>
      </w:r>
      <w:r w:rsidR="00842FA7" w:rsidRPr="00266809">
        <w:rPr>
          <w:noProof/>
          <w:sz w:val="24"/>
          <w:szCs w:val="24"/>
        </w:rPr>
        <w:t>selection</w:t>
      </w:r>
      <w:r w:rsidR="00842FA7" w:rsidRPr="00266809">
        <w:rPr>
          <w:sz w:val="24"/>
          <w:szCs w:val="24"/>
        </w:rPr>
        <w:t xml:space="preserve">, 2 stars in comparability and at least two stars in </w:t>
      </w:r>
      <w:r w:rsidR="00842FA7" w:rsidRPr="00266809">
        <w:rPr>
          <w:noProof/>
          <w:sz w:val="24"/>
          <w:szCs w:val="24"/>
        </w:rPr>
        <w:t>outcome</w:t>
      </w:r>
      <w:r w:rsidR="00842FA7" w:rsidRPr="00266809">
        <w:rPr>
          <w:sz w:val="24"/>
          <w:szCs w:val="24"/>
        </w:rPr>
        <w:t>.</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6B:</w:t>
      </w:r>
    </w:p>
    <w:p w:rsidR="00842FA7" w:rsidRPr="00266809" w:rsidRDefault="00842FA7" w:rsidP="0052196B">
      <w:pPr>
        <w:jc w:val="both"/>
        <w:rPr>
          <w:sz w:val="24"/>
          <w:szCs w:val="24"/>
        </w:rPr>
      </w:pPr>
      <w:r w:rsidRPr="00266809">
        <w:rPr>
          <w:noProof/>
          <w:sz w:val="24"/>
          <w:szCs w:val="24"/>
        </w:rPr>
        <w:drawing>
          <wp:inline distT="0" distB="0" distL="0" distR="0" wp14:anchorId="7ABF5557" wp14:editId="1939EDF5">
            <wp:extent cx="5943600" cy="459930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 quality.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study quality assessed by the </w:t>
      </w:r>
      <w:r w:rsidR="00842FA7" w:rsidRPr="00266809">
        <w:rPr>
          <w:noProof/>
          <w:sz w:val="24"/>
          <w:szCs w:val="24"/>
        </w:rPr>
        <w:t>Newcastle Ottawa</w:t>
      </w:r>
      <w:r w:rsidR="00842FA7" w:rsidRPr="00266809">
        <w:rPr>
          <w:sz w:val="24"/>
          <w:szCs w:val="24"/>
        </w:rPr>
        <w:t xml:space="preserve"> Scale </w:t>
      </w:r>
      <w:proofErr w:type="spellStart"/>
      <w:r w:rsidR="00842FA7" w:rsidRPr="00266809">
        <w:rPr>
          <w:sz w:val="24"/>
          <w:szCs w:val="24"/>
        </w:rPr>
        <w:t>scale</w:t>
      </w:r>
      <w:proofErr w:type="spellEnd"/>
      <w:r w:rsidR="00842FA7" w:rsidRPr="00266809">
        <w:rPr>
          <w:sz w:val="24"/>
          <w:szCs w:val="24"/>
        </w:rPr>
        <w:t xml:space="preserve">. Studies were considered “high quality” if it had at least 3 stars in </w:t>
      </w:r>
      <w:r w:rsidR="00842FA7" w:rsidRPr="00266809">
        <w:rPr>
          <w:noProof/>
          <w:sz w:val="24"/>
          <w:szCs w:val="24"/>
        </w:rPr>
        <w:t>selection</w:t>
      </w:r>
      <w:r w:rsidR="00842FA7" w:rsidRPr="00266809">
        <w:rPr>
          <w:sz w:val="24"/>
          <w:szCs w:val="24"/>
        </w:rPr>
        <w:t xml:space="preserve">, 2 stars in comparability and at least two stars in </w:t>
      </w:r>
      <w:r w:rsidR="00842FA7" w:rsidRPr="00266809">
        <w:rPr>
          <w:noProof/>
          <w:sz w:val="24"/>
          <w:szCs w:val="24"/>
        </w:rPr>
        <w:t>outcome</w:t>
      </w:r>
      <w:r w:rsidR="00842FA7" w:rsidRPr="00266809">
        <w:rPr>
          <w:sz w:val="24"/>
          <w:szCs w:val="24"/>
        </w:rPr>
        <w:t>.</w:t>
      </w: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7A:</w:t>
      </w:r>
    </w:p>
    <w:p w:rsidR="00842FA7" w:rsidRPr="00266809" w:rsidRDefault="00842FA7" w:rsidP="0052196B">
      <w:pPr>
        <w:jc w:val="both"/>
        <w:rPr>
          <w:sz w:val="24"/>
          <w:szCs w:val="24"/>
        </w:rPr>
      </w:pPr>
      <w:r w:rsidRPr="00266809">
        <w:rPr>
          <w:noProof/>
          <w:sz w:val="24"/>
          <w:szCs w:val="24"/>
        </w:rPr>
        <w:drawing>
          <wp:inline distT="0" distB="0" distL="0" distR="0" wp14:anchorId="1C9BEFDB" wp14:editId="254D7050">
            <wp:extent cx="5943600" cy="421830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v rct or not.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4218305"/>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Overweight </w:t>
      </w:r>
      <w:r w:rsidR="00842FA7" w:rsidRPr="00266809">
        <w:rPr>
          <w:noProof/>
          <w:sz w:val="24"/>
          <w:szCs w:val="24"/>
        </w:rPr>
        <w:t>vs</w:t>
      </w:r>
      <w:r w:rsidR="00842FA7" w:rsidRPr="00266809">
        <w:rPr>
          <w:sz w:val="24"/>
          <w:szCs w:val="24"/>
        </w:rPr>
        <w:t xml:space="preserve"> normal weight for all-cause mortality Forest plot, according to cohort study source (cohort study </w:t>
      </w:r>
      <w:r w:rsidR="00842FA7" w:rsidRPr="00266809">
        <w:rPr>
          <w:noProof/>
          <w:sz w:val="24"/>
          <w:szCs w:val="24"/>
        </w:rPr>
        <w:t>vs</w:t>
      </w:r>
      <w:r w:rsidR="00842FA7" w:rsidRPr="00266809">
        <w:rPr>
          <w:sz w:val="24"/>
          <w:szCs w:val="24"/>
        </w:rPr>
        <w:t xml:space="preserve"> RCT based cohort). RCT: Randomized controlled trial.</w:t>
      </w:r>
    </w:p>
    <w:p w:rsidR="00842FA7" w:rsidRPr="00266809" w:rsidRDefault="00842FA7" w:rsidP="0052196B">
      <w:pPr>
        <w:jc w:val="both"/>
        <w:rPr>
          <w:sz w:val="24"/>
          <w:szCs w:val="24"/>
        </w:rPr>
      </w:pPr>
    </w:p>
    <w:p w:rsidR="00842FA7" w:rsidRPr="00266809" w:rsidRDefault="00842FA7" w:rsidP="0052196B">
      <w:pPr>
        <w:jc w:val="both"/>
        <w:rPr>
          <w:sz w:val="24"/>
          <w:szCs w:val="24"/>
        </w:rPr>
      </w:pPr>
      <w:r w:rsidRPr="00266809">
        <w:rPr>
          <w:sz w:val="24"/>
          <w:szCs w:val="24"/>
        </w:rPr>
        <w:br w:type="page"/>
      </w:r>
    </w:p>
    <w:p w:rsidR="00842FA7" w:rsidRPr="00266809" w:rsidRDefault="00842FA7" w:rsidP="0052196B">
      <w:pPr>
        <w:jc w:val="both"/>
        <w:rPr>
          <w:sz w:val="24"/>
          <w:szCs w:val="24"/>
        </w:rPr>
      </w:pPr>
      <w:r w:rsidRPr="00266809">
        <w:rPr>
          <w:sz w:val="24"/>
          <w:szCs w:val="24"/>
        </w:rPr>
        <w:lastRenderedPageBreak/>
        <w:t>Figure 7B:</w:t>
      </w:r>
    </w:p>
    <w:p w:rsidR="00842FA7" w:rsidRPr="00266809" w:rsidRDefault="00842FA7" w:rsidP="0052196B">
      <w:pPr>
        <w:jc w:val="both"/>
        <w:rPr>
          <w:sz w:val="24"/>
          <w:szCs w:val="24"/>
        </w:rPr>
      </w:pPr>
      <w:r w:rsidRPr="00266809">
        <w:rPr>
          <w:noProof/>
          <w:sz w:val="24"/>
          <w:szCs w:val="24"/>
        </w:rPr>
        <w:drawing>
          <wp:inline distT="0" distB="0" distL="0" distR="0" wp14:anchorId="3CCA084E" wp14:editId="2DAD7074">
            <wp:extent cx="5943600" cy="459930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 ob rct or not.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inline>
        </w:drawing>
      </w:r>
    </w:p>
    <w:p w:rsidR="00842FA7" w:rsidRPr="00266809" w:rsidRDefault="00F04EB4" w:rsidP="00F04EB4">
      <w:pPr>
        <w:rPr>
          <w:sz w:val="24"/>
          <w:szCs w:val="24"/>
        </w:rPr>
      </w:pPr>
      <w:r>
        <w:rPr>
          <w:sz w:val="24"/>
          <w:szCs w:val="24"/>
        </w:rPr>
        <w:t>Notes:</w:t>
      </w:r>
      <w:r w:rsidR="00842FA7" w:rsidRPr="00266809">
        <w:rPr>
          <w:sz w:val="24"/>
          <w:szCs w:val="24"/>
        </w:rPr>
        <w:t xml:space="preserve"> Obese </w:t>
      </w:r>
      <w:r w:rsidR="00842FA7" w:rsidRPr="00266809">
        <w:rPr>
          <w:noProof/>
          <w:sz w:val="24"/>
          <w:szCs w:val="24"/>
        </w:rPr>
        <w:t>vs</w:t>
      </w:r>
      <w:r w:rsidR="00842FA7" w:rsidRPr="00266809">
        <w:rPr>
          <w:sz w:val="24"/>
          <w:szCs w:val="24"/>
        </w:rPr>
        <w:t xml:space="preserve"> normal weight for all-cause mortality Forest plot, according to cohort study source (cohort study </w:t>
      </w:r>
      <w:r w:rsidR="00842FA7" w:rsidRPr="00266809">
        <w:rPr>
          <w:noProof/>
          <w:sz w:val="24"/>
          <w:szCs w:val="24"/>
        </w:rPr>
        <w:t>vs</w:t>
      </w:r>
      <w:r w:rsidR="00842FA7" w:rsidRPr="00266809">
        <w:rPr>
          <w:sz w:val="24"/>
          <w:szCs w:val="24"/>
        </w:rPr>
        <w:t xml:space="preserve"> RCT based cohort). RCT: Randomized controlled trial.</w:t>
      </w:r>
    </w:p>
    <w:p w:rsidR="00842FA7" w:rsidRPr="00266809" w:rsidRDefault="00842FA7" w:rsidP="0052196B">
      <w:pPr>
        <w:jc w:val="both"/>
        <w:rPr>
          <w:sz w:val="24"/>
          <w:szCs w:val="24"/>
        </w:rPr>
        <w:sectPr w:rsidR="00842FA7" w:rsidRPr="00266809" w:rsidSect="00081DC9">
          <w:pgSz w:w="12240" w:h="15840"/>
          <w:pgMar w:top="1440" w:right="1440" w:bottom="1440" w:left="1440" w:header="720" w:footer="720" w:gutter="0"/>
          <w:cols w:space="720"/>
          <w:docGrid w:linePitch="360"/>
        </w:sectPr>
      </w:pPr>
    </w:p>
    <w:p w:rsidR="00842FA7" w:rsidRPr="00266809" w:rsidRDefault="00842FA7" w:rsidP="0052196B">
      <w:pPr>
        <w:jc w:val="both"/>
        <w:rPr>
          <w:sz w:val="24"/>
          <w:szCs w:val="24"/>
        </w:rPr>
      </w:pPr>
      <w:r w:rsidRPr="00266809">
        <w:rPr>
          <w:sz w:val="24"/>
          <w:szCs w:val="24"/>
        </w:rPr>
        <w:lastRenderedPageBreak/>
        <w:t>Figure 8:</w:t>
      </w:r>
    </w:p>
    <w:p w:rsidR="00842FA7" w:rsidRPr="00266809" w:rsidRDefault="00842FA7" w:rsidP="0052196B">
      <w:pPr>
        <w:jc w:val="both"/>
        <w:rPr>
          <w:sz w:val="24"/>
          <w:szCs w:val="24"/>
        </w:rPr>
      </w:pPr>
      <w:r w:rsidRPr="00266809">
        <w:rPr>
          <w:sz w:val="24"/>
          <w:szCs w:val="24"/>
        </w:rPr>
        <w:t>A)</w:t>
      </w:r>
      <w:r w:rsidRPr="00266809">
        <w:rPr>
          <w:sz w:val="24"/>
          <w:szCs w:val="24"/>
        </w:rPr>
        <w:tab/>
      </w:r>
      <w:r w:rsidRPr="00266809">
        <w:rPr>
          <w:sz w:val="24"/>
          <w:szCs w:val="24"/>
        </w:rPr>
        <w:tab/>
      </w:r>
      <w:r w:rsidRPr="00266809">
        <w:rPr>
          <w:sz w:val="24"/>
          <w:szCs w:val="24"/>
        </w:rPr>
        <w:tab/>
      </w:r>
      <w:r w:rsidRPr="00266809">
        <w:rPr>
          <w:sz w:val="24"/>
          <w:szCs w:val="24"/>
        </w:rPr>
        <w:tab/>
      </w:r>
      <w:r w:rsidRPr="00266809">
        <w:rPr>
          <w:sz w:val="24"/>
          <w:szCs w:val="24"/>
        </w:rPr>
        <w:tab/>
      </w:r>
      <w:r w:rsidRPr="00266809">
        <w:rPr>
          <w:sz w:val="24"/>
          <w:szCs w:val="24"/>
        </w:rPr>
        <w:tab/>
      </w:r>
      <w:r w:rsidRPr="00266809">
        <w:rPr>
          <w:sz w:val="24"/>
          <w:szCs w:val="24"/>
        </w:rPr>
        <w:tab/>
      </w:r>
      <w:r w:rsidRPr="00266809">
        <w:rPr>
          <w:sz w:val="24"/>
          <w:szCs w:val="24"/>
        </w:rPr>
        <w:tab/>
        <w:t xml:space="preserve">     B)</w:t>
      </w:r>
    </w:p>
    <w:p w:rsidR="00842FA7" w:rsidRPr="00266809" w:rsidRDefault="00842FA7" w:rsidP="0052196B">
      <w:pPr>
        <w:jc w:val="both"/>
        <w:rPr>
          <w:sz w:val="24"/>
          <w:szCs w:val="24"/>
        </w:rPr>
      </w:pPr>
      <w:r w:rsidRPr="00266809">
        <w:rPr>
          <w:noProof/>
          <w:sz w:val="24"/>
          <w:szCs w:val="24"/>
        </w:rPr>
        <w:drawing>
          <wp:anchor distT="0" distB="0" distL="114300" distR="114300" simplePos="0" relativeHeight="251649024" behindDoc="0" locked="0" layoutInCell="1" allowOverlap="1" wp14:anchorId="25E1A234" wp14:editId="5C1864BA">
            <wp:simplePos x="0" y="0"/>
            <wp:positionH relativeFrom="column">
              <wp:posOffset>3924300</wp:posOffset>
            </wp:positionH>
            <wp:positionV relativeFrom="paragraph">
              <wp:posOffset>-2540</wp:posOffset>
            </wp:positionV>
            <wp:extent cx="3609975" cy="2406650"/>
            <wp:effectExtent l="0" t="0" r="952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 OB.png"/>
                    <pic:cNvPicPr/>
                  </pic:nvPicPr>
                  <pic:blipFill>
                    <a:blip r:embed="rId26">
                      <a:extLst>
                        <a:ext uri="{28A0092B-C50C-407E-A947-70E740481C1C}">
                          <a14:useLocalDpi xmlns:a14="http://schemas.microsoft.com/office/drawing/2010/main" val="0"/>
                        </a:ext>
                      </a:extLst>
                    </a:blip>
                    <a:stretch>
                      <a:fillRect/>
                    </a:stretch>
                  </pic:blipFill>
                  <pic:spPr>
                    <a:xfrm>
                      <a:off x="0" y="0"/>
                      <a:ext cx="3609975" cy="2406650"/>
                    </a:xfrm>
                    <a:prstGeom prst="rect">
                      <a:avLst/>
                    </a:prstGeom>
                  </pic:spPr>
                </pic:pic>
              </a:graphicData>
            </a:graphic>
            <wp14:sizeRelH relativeFrom="page">
              <wp14:pctWidth>0</wp14:pctWidth>
            </wp14:sizeRelH>
            <wp14:sizeRelV relativeFrom="page">
              <wp14:pctHeight>0</wp14:pctHeight>
            </wp14:sizeRelV>
          </wp:anchor>
        </w:drawing>
      </w:r>
      <w:r w:rsidRPr="00266809">
        <w:rPr>
          <w:noProof/>
          <w:sz w:val="24"/>
          <w:szCs w:val="24"/>
        </w:rPr>
        <w:drawing>
          <wp:anchor distT="0" distB="0" distL="114300" distR="114300" simplePos="0" relativeHeight="251648000" behindDoc="0" locked="0" layoutInCell="1" allowOverlap="1" wp14:anchorId="2EDD2A7C" wp14:editId="75B394A3">
            <wp:simplePos x="0" y="0"/>
            <wp:positionH relativeFrom="column">
              <wp:posOffset>0</wp:posOffset>
            </wp:positionH>
            <wp:positionV relativeFrom="paragraph">
              <wp:posOffset>-2540</wp:posOffset>
            </wp:positionV>
            <wp:extent cx="3600450" cy="2400300"/>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plot OW.png"/>
                    <pic:cNvPicPr/>
                  </pic:nvPicPr>
                  <pic:blipFill>
                    <a:blip r:embed="rId27">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14:sizeRelH relativeFrom="page">
              <wp14:pctWidth>0</wp14:pctWidth>
            </wp14:sizeRelH>
            <wp14:sizeRelV relativeFrom="page">
              <wp14:pctHeight>0</wp14:pctHeight>
            </wp14:sizeRelV>
          </wp:anchor>
        </w:drawing>
      </w: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52196B">
      <w:pPr>
        <w:jc w:val="both"/>
        <w:rPr>
          <w:sz w:val="24"/>
          <w:szCs w:val="24"/>
        </w:rPr>
      </w:pPr>
    </w:p>
    <w:p w:rsidR="00842FA7" w:rsidRPr="00266809" w:rsidRDefault="00842FA7" w:rsidP="00F04EB4">
      <w:pPr>
        <w:rPr>
          <w:sz w:val="24"/>
          <w:szCs w:val="24"/>
        </w:rPr>
      </w:pPr>
      <w:r w:rsidRPr="00266809">
        <w:rPr>
          <w:sz w:val="24"/>
          <w:szCs w:val="24"/>
        </w:rPr>
        <w:t>Notes: Funnel plot for the overweight (A) and obese (B) comparisons.</w:t>
      </w:r>
    </w:p>
    <w:p w:rsidR="00842FA7" w:rsidRPr="00266809" w:rsidRDefault="00842FA7" w:rsidP="0052196B">
      <w:pPr>
        <w:jc w:val="both"/>
        <w:rPr>
          <w:sz w:val="24"/>
          <w:szCs w:val="24"/>
        </w:rPr>
      </w:pPr>
    </w:p>
    <w:p w:rsidR="00842FA7" w:rsidRPr="00266809" w:rsidRDefault="00842FA7" w:rsidP="0052196B">
      <w:pPr>
        <w:jc w:val="both"/>
        <w:rPr>
          <w:sz w:val="24"/>
          <w:szCs w:val="24"/>
        </w:rPr>
        <w:sectPr w:rsidR="00842FA7" w:rsidRPr="00266809" w:rsidSect="00081DC9">
          <w:pgSz w:w="15840" w:h="12240" w:orient="landscape"/>
          <w:pgMar w:top="1440" w:right="1440" w:bottom="1440" w:left="1440" w:header="720" w:footer="720" w:gutter="0"/>
          <w:cols w:space="720"/>
          <w:docGrid w:linePitch="360"/>
        </w:sectPr>
      </w:pPr>
    </w:p>
    <w:p w:rsidR="00842FA7" w:rsidRPr="00F04EB4" w:rsidRDefault="00842FA7" w:rsidP="0052196B">
      <w:pPr>
        <w:jc w:val="both"/>
        <w:rPr>
          <w:b/>
          <w:sz w:val="24"/>
          <w:szCs w:val="24"/>
        </w:rPr>
      </w:pPr>
      <w:r w:rsidRPr="00F04EB4">
        <w:rPr>
          <w:b/>
          <w:sz w:val="24"/>
          <w:szCs w:val="24"/>
        </w:rPr>
        <w:lastRenderedPageBreak/>
        <w:t xml:space="preserve">Ovid MEDLINE </w:t>
      </w:r>
      <w:r w:rsidRPr="00F04EB4">
        <w:rPr>
          <w:b/>
          <w:noProof/>
          <w:sz w:val="24"/>
          <w:szCs w:val="24"/>
        </w:rPr>
        <w:t>search</w:t>
      </w:r>
      <w:r w:rsidRPr="00F04EB4">
        <w:rPr>
          <w:b/>
          <w:sz w:val="24"/>
          <w:szCs w:val="24"/>
        </w:rPr>
        <w:t xml:space="preserve"> strategy:</w:t>
      </w:r>
    </w:p>
    <w:p w:rsidR="00842FA7" w:rsidRPr="00266809" w:rsidRDefault="00842FA7" w:rsidP="0052196B">
      <w:pPr>
        <w:jc w:val="both"/>
        <w:rPr>
          <w:sz w:val="24"/>
          <w:szCs w:val="24"/>
        </w:rPr>
      </w:pPr>
      <w:r w:rsidRPr="00266809">
        <w:rPr>
          <w:sz w:val="24"/>
          <w:szCs w:val="24"/>
        </w:rPr>
        <w:t xml:space="preserve">1. </w:t>
      </w:r>
      <w:proofErr w:type="gramStart"/>
      <w:r w:rsidRPr="00266809">
        <w:rPr>
          <w:sz w:val="24"/>
          <w:szCs w:val="24"/>
        </w:rPr>
        <w:t>body</w:t>
      </w:r>
      <w:proofErr w:type="gramEnd"/>
      <w:r w:rsidRPr="00266809">
        <w:rPr>
          <w:sz w:val="24"/>
          <w:szCs w:val="24"/>
        </w:rPr>
        <w:t xml:space="preserve"> mass index.mp. </w:t>
      </w:r>
      <w:r w:rsidRPr="00266809">
        <w:rPr>
          <w:noProof/>
          <w:sz w:val="24"/>
          <w:szCs w:val="24"/>
        </w:rPr>
        <w:t>or BMI</w:t>
      </w:r>
      <w:r w:rsidRPr="00266809">
        <w:rPr>
          <w:sz w:val="24"/>
          <w:szCs w:val="24"/>
        </w:rPr>
        <w:t xml:space="preserve"> or Body Mass Index/</w:t>
      </w:r>
    </w:p>
    <w:p w:rsidR="00842FA7" w:rsidRPr="00266809" w:rsidRDefault="00842FA7" w:rsidP="0052196B">
      <w:pPr>
        <w:jc w:val="both"/>
        <w:rPr>
          <w:sz w:val="24"/>
          <w:szCs w:val="24"/>
        </w:rPr>
      </w:pPr>
      <w:r w:rsidRPr="00266809">
        <w:rPr>
          <w:sz w:val="24"/>
          <w:szCs w:val="24"/>
        </w:rPr>
        <w:t xml:space="preserve">2. </w:t>
      </w:r>
      <w:proofErr w:type="gramStart"/>
      <w:r w:rsidRPr="00266809">
        <w:rPr>
          <w:sz w:val="24"/>
          <w:szCs w:val="24"/>
        </w:rPr>
        <w:t>obesity.mp</w:t>
      </w:r>
      <w:proofErr w:type="gramEnd"/>
      <w:r w:rsidRPr="00266809">
        <w:rPr>
          <w:sz w:val="24"/>
          <w:szCs w:val="24"/>
        </w:rPr>
        <w:t xml:space="preserve">. </w:t>
      </w:r>
      <w:r w:rsidRPr="00266809">
        <w:rPr>
          <w:noProof/>
          <w:sz w:val="24"/>
          <w:szCs w:val="24"/>
        </w:rPr>
        <w:t>or exp</w:t>
      </w:r>
      <w:r w:rsidRPr="00266809">
        <w:rPr>
          <w:sz w:val="24"/>
          <w:szCs w:val="24"/>
        </w:rPr>
        <w:t xml:space="preserve"> Obesity/ or </w:t>
      </w:r>
      <w:r w:rsidRPr="00266809">
        <w:rPr>
          <w:noProof/>
          <w:sz w:val="24"/>
          <w:szCs w:val="24"/>
        </w:rPr>
        <w:t>exp</w:t>
      </w:r>
      <w:r w:rsidRPr="00266809">
        <w:rPr>
          <w:sz w:val="24"/>
          <w:szCs w:val="24"/>
        </w:rPr>
        <w:t xml:space="preserve"> Obesity, Abdominal/</w:t>
      </w:r>
    </w:p>
    <w:p w:rsidR="00842FA7" w:rsidRPr="00266809" w:rsidRDefault="00842FA7" w:rsidP="0052196B">
      <w:pPr>
        <w:jc w:val="both"/>
        <w:rPr>
          <w:sz w:val="24"/>
          <w:szCs w:val="24"/>
        </w:rPr>
      </w:pPr>
      <w:r w:rsidRPr="00266809">
        <w:rPr>
          <w:sz w:val="24"/>
          <w:szCs w:val="24"/>
        </w:rPr>
        <w:t>3. (</w:t>
      </w:r>
      <w:proofErr w:type="gramStart"/>
      <w:r w:rsidRPr="00266809">
        <w:rPr>
          <w:sz w:val="24"/>
          <w:szCs w:val="24"/>
        </w:rPr>
        <w:t>obesity</w:t>
      </w:r>
      <w:proofErr w:type="gramEnd"/>
      <w:r w:rsidRPr="00266809">
        <w:rPr>
          <w:sz w:val="24"/>
          <w:szCs w:val="24"/>
        </w:rPr>
        <w:t xml:space="preserve"> paradox or BMI paradox).</w:t>
      </w:r>
      <w:proofErr w:type="spellStart"/>
      <w:r w:rsidRPr="00266809">
        <w:rPr>
          <w:sz w:val="24"/>
          <w:szCs w:val="24"/>
        </w:rPr>
        <w:t>mp</w:t>
      </w:r>
      <w:proofErr w:type="spellEnd"/>
      <w:r w:rsidRPr="00266809">
        <w:rPr>
          <w:sz w:val="24"/>
          <w:szCs w:val="24"/>
        </w:rPr>
        <w:t xml:space="preserve">. </w:t>
      </w:r>
    </w:p>
    <w:p w:rsidR="00842FA7" w:rsidRPr="00266809" w:rsidRDefault="00842FA7" w:rsidP="0052196B">
      <w:pPr>
        <w:jc w:val="both"/>
        <w:rPr>
          <w:sz w:val="24"/>
          <w:szCs w:val="24"/>
        </w:rPr>
      </w:pPr>
      <w:r w:rsidRPr="00266809">
        <w:rPr>
          <w:sz w:val="24"/>
          <w:szCs w:val="24"/>
        </w:rPr>
        <w:t xml:space="preserve">4. </w:t>
      </w:r>
      <w:proofErr w:type="gramStart"/>
      <w:r w:rsidRPr="00266809">
        <w:rPr>
          <w:sz w:val="24"/>
          <w:szCs w:val="24"/>
        </w:rPr>
        <w:t>body</w:t>
      </w:r>
      <w:proofErr w:type="gramEnd"/>
      <w:r w:rsidRPr="00266809">
        <w:rPr>
          <w:sz w:val="24"/>
          <w:szCs w:val="24"/>
        </w:rPr>
        <w:t xml:space="preserve"> weight.mp. </w:t>
      </w:r>
      <w:r w:rsidRPr="00266809">
        <w:rPr>
          <w:noProof/>
          <w:sz w:val="24"/>
          <w:szCs w:val="24"/>
        </w:rPr>
        <w:t>or Body</w:t>
      </w:r>
      <w:r w:rsidRPr="00266809">
        <w:rPr>
          <w:sz w:val="24"/>
          <w:szCs w:val="24"/>
        </w:rPr>
        <w:t xml:space="preserve"> Weight/</w:t>
      </w:r>
    </w:p>
    <w:p w:rsidR="00842FA7" w:rsidRPr="00266809" w:rsidRDefault="00842FA7" w:rsidP="0052196B">
      <w:pPr>
        <w:jc w:val="both"/>
        <w:rPr>
          <w:sz w:val="24"/>
          <w:szCs w:val="24"/>
        </w:rPr>
      </w:pPr>
      <w:r w:rsidRPr="00266809">
        <w:rPr>
          <w:sz w:val="24"/>
          <w:szCs w:val="24"/>
        </w:rPr>
        <w:t xml:space="preserve">5. Adipose Tissue/ or </w:t>
      </w:r>
      <w:proofErr w:type="spellStart"/>
      <w:r w:rsidRPr="00266809">
        <w:rPr>
          <w:sz w:val="24"/>
          <w:szCs w:val="24"/>
        </w:rPr>
        <w:t>adipos</w:t>
      </w:r>
      <w:proofErr w:type="spellEnd"/>
      <w:r w:rsidRPr="00266809">
        <w:rPr>
          <w:sz w:val="24"/>
          <w:szCs w:val="24"/>
        </w:rPr>
        <w:t>*.</w:t>
      </w:r>
      <w:proofErr w:type="spellStart"/>
      <w:r w:rsidRPr="00266809">
        <w:rPr>
          <w:sz w:val="24"/>
          <w:szCs w:val="24"/>
        </w:rPr>
        <w:t>mp</w:t>
      </w:r>
      <w:proofErr w:type="spellEnd"/>
      <w:r w:rsidRPr="00266809">
        <w:rPr>
          <w:sz w:val="24"/>
          <w:szCs w:val="24"/>
        </w:rPr>
        <w:t>.</w:t>
      </w:r>
    </w:p>
    <w:p w:rsidR="00842FA7" w:rsidRPr="00266809" w:rsidRDefault="00842FA7" w:rsidP="0052196B">
      <w:pPr>
        <w:jc w:val="both"/>
        <w:rPr>
          <w:sz w:val="24"/>
          <w:szCs w:val="24"/>
        </w:rPr>
      </w:pPr>
      <w:r w:rsidRPr="00266809">
        <w:rPr>
          <w:sz w:val="24"/>
          <w:szCs w:val="24"/>
        </w:rPr>
        <w:t>6. (</w:t>
      </w:r>
      <w:proofErr w:type="gramStart"/>
      <w:r w:rsidRPr="00266809">
        <w:rPr>
          <w:sz w:val="24"/>
          <w:szCs w:val="24"/>
        </w:rPr>
        <w:t>overweight</w:t>
      </w:r>
      <w:proofErr w:type="gramEnd"/>
      <w:r w:rsidRPr="00266809">
        <w:rPr>
          <w:sz w:val="24"/>
          <w:szCs w:val="24"/>
        </w:rPr>
        <w:t xml:space="preserve"> or </w:t>
      </w:r>
      <w:r w:rsidRPr="00266809">
        <w:rPr>
          <w:noProof/>
          <w:sz w:val="24"/>
          <w:szCs w:val="24"/>
        </w:rPr>
        <w:t>over weight</w:t>
      </w:r>
      <w:r w:rsidRPr="00266809">
        <w:rPr>
          <w:sz w:val="24"/>
          <w:szCs w:val="24"/>
        </w:rPr>
        <w:t>).</w:t>
      </w:r>
      <w:proofErr w:type="spellStart"/>
      <w:r w:rsidRPr="00266809">
        <w:rPr>
          <w:sz w:val="24"/>
          <w:szCs w:val="24"/>
        </w:rPr>
        <w:t>mp</w:t>
      </w:r>
      <w:proofErr w:type="spellEnd"/>
      <w:r w:rsidRPr="00266809">
        <w:rPr>
          <w:sz w:val="24"/>
          <w:szCs w:val="24"/>
        </w:rPr>
        <w:t>.</w:t>
      </w:r>
    </w:p>
    <w:p w:rsidR="00842FA7" w:rsidRPr="00266809" w:rsidRDefault="00842FA7" w:rsidP="0052196B">
      <w:pPr>
        <w:jc w:val="both"/>
        <w:rPr>
          <w:sz w:val="24"/>
          <w:szCs w:val="24"/>
        </w:rPr>
      </w:pPr>
      <w:r w:rsidRPr="00266809">
        <w:rPr>
          <w:sz w:val="24"/>
          <w:szCs w:val="24"/>
        </w:rPr>
        <w:t>7. 1 to 6</w:t>
      </w:r>
    </w:p>
    <w:p w:rsidR="00842FA7" w:rsidRPr="00266809" w:rsidRDefault="00842FA7" w:rsidP="0052196B">
      <w:pPr>
        <w:jc w:val="both"/>
        <w:rPr>
          <w:sz w:val="24"/>
          <w:szCs w:val="24"/>
        </w:rPr>
      </w:pPr>
      <w:r w:rsidRPr="00266809">
        <w:rPr>
          <w:sz w:val="24"/>
          <w:szCs w:val="24"/>
        </w:rPr>
        <w:t>8. Myocardial Infarction/ or Angina, Unstable/ or Acute Coronary Syndrome/ or acute coronary syndrome*.</w:t>
      </w:r>
      <w:proofErr w:type="spellStart"/>
      <w:r w:rsidRPr="00266809">
        <w:rPr>
          <w:sz w:val="24"/>
          <w:szCs w:val="24"/>
        </w:rPr>
        <w:t>mp</w:t>
      </w:r>
      <w:proofErr w:type="spellEnd"/>
      <w:r w:rsidRPr="00266809">
        <w:rPr>
          <w:sz w:val="24"/>
          <w:szCs w:val="24"/>
        </w:rPr>
        <w:t>.</w:t>
      </w:r>
    </w:p>
    <w:p w:rsidR="00842FA7" w:rsidRPr="00266809" w:rsidRDefault="00842FA7" w:rsidP="0052196B">
      <w:pPr>
        <w:jc w:val="both"/>
        <w:rPr>
          <w:sz w:val="24"/>
          <w:szCs w:val="24"/>
        </w:rPr>
      </w:pPr>
      <w:r w:rsidRPr="00266809">
        <w:rPr>
          <w:sz w:val="24"/>
          <w:szCs w:val="24"/>
        </w:rPr>
        <w:t xml:space="preserve">9. </w:t>
      </w:r>
      <w:proofErr w:type="gramStart"/>
      <w:r w:rsidRPr="00266809">
        <w:rPr>
          <w:sz w:val="24"/>
          <w:szCs w:val="24"/>
        </w:rPr>
        <w:t>angina.tw</w:t>
      </w:r>
      <w:proofErr w:type="gramEnd"/>
      <w:r w:rsidRPr="00266809">
        <w:rPr>
          <w:sz w:val="24"/>
          <w:szCs w:val="24"/>
        </w:rPr>
        <w:t>.</w:t>
      </w:r>
    </w:p>
    <w:p w:rsidR="00842FA7" w:rsidRPr="00266809" w:rsidRDefault="00842FA7" w:rsidP="0052196B">
      <w:pPr>
        <w:jc w:val="both"/>
        <w:rPr>
          <w:sz w:val="24"/>
          <w:szCs w:val="24"/>
        </w:rPr>
      </w:pPr>
      <w:r w:rsidRPr="00266809">
        <w:rPr>
          <w:sz w:val="24"/>
          <w:szCs w:val="24"/>
        </w:rPr>
        <w:t xml:space="preserve">10. </w:t>
      </w:r>
      <w:proofErr w:type="gramStart"/>
      <w:r w:rsidRPr="00266809">
        <w:rPr>
          <w:sz w:val="24"/>
          <w:szCs w:val="24"/>
        </w:rPr>
        <w:t>coronary</w:t>
      </w:r>
      <w:proofErr w:type="gramEnd"/>
      <w:r w:rsidRPr="00266809">
        <w:rPr>
          <w:sz w:val="24"/>
          <w:szCs w:val="24"/>
        </w:rPr>
        <w:t xml:space="preserve"> syndrome$.tw.</w:t>
      </w:r>
    </w:p>
    <w:p w:rsidR="00842FA7" w:rsidRPr="00266809" w:rsidRDefault="00842FA7" w:rsidP="0052196B">
      <w:pPr>
        <w:jc w:val="both"/>
        <w:rPr>
          <w:sz w:val="24"/>
          <w:szCs w:val="24"/>
        </w:rPr>
      </w:pPr>
      <w:r w:rsidRPr="00266809">
        <w:rPr>
          <w:sz w:val="24"/>
          <w:szCs w:val="24"/>
        </w:rPr>
        <w:t xml:space="preserve">11. </w:t>
      </w:r>
      <w:proofErr w:type="gramStart"/>
      <w:r w:rsidRPr="00266809">
        <w:rPr>
          <w:sz w:val="24"/>
          <w:szCs w:val="24"/>
        </w:rPr>
        <w:t>myocardial</w:t>
      </w:r>
      <w:proofErr w:type="gramEnd"/>
      <w:r w:rsidRPr="00266809">
        <w:rPr>
          <w:sz w:val="24"/>
          <w:szCs w:val="24"/>
        </w:rPr>
        <w:t xml:space="preserve"> infarction.tw.</w:t>
      </w:r>
    </w:p>
    <w:p w:rsidR="00842FA7" w:rsidRPr="00266809" w:rsidRDefault="00842FA7" w:rsidP="0052196B">
      <w:pPr>
        <w:jc w:val="both"/>
        <w:rPr>
          <w:sz w:val="24"/>
          <w:szCs w:val="24"/>
        </w:rPr>
      </w:pPr>
      <w:r w:rsidRPr="00266809">
        <w:rPr>
          <w:sz w:val="24"/>
          <w:szCs w:val="24"/>
        </w:rPr>
        <w:t>12. (NSTEMI or STEMI).</w:t>
      </w:r>
      <w:proofErr w:type="spellStart"/>
      <w:r w:rsidRPr="00266809">
        <w:rPr>
          <w:sz w:val="24"/>
          <w:szCs w:val="24"/>
        </w:rPr>
        <w:t>mp</w:t>
      </w:r>
      <w:proofErr w:type="spellEnd"/>
      <w:r w:rsidRPr="00266809">
        <w:rPr>
          <w:sz w:val="24"/>
          <w:szCs w:val="24"/>
        </w:rPr>
        <w:t xml:space="preserve">. </w:t>
      </w:r>
    </w:p>
    <w:p w:rsidR="00842FA7" w:rsidRPr="00266809" w:rsidRDefault="00842FA7" w:rsidP="0052196B">
      <w:pPr>
        <w:jc w:val="both"/>
        <w:rPr>
          <w:sz w:val="24"/>
          <w:szCs w:val="24"/>
        </w:rPr>
      </w:pPr>
      <w:r w:rsidRPr="00266809">
        <w:rPr>
          <w:sz w:val="24"/>
          <w:szCs w:val="24"/>
        </w:rPr>
        <w:t xml:space="preserve">13. Coronary Thrombosis.mp. </w:t>
      </w:r>
      <w:r w:rsidRPr="00266809">
        <w:rPr>
          <w:noProof/>
          <w:sz w:val="24"/>
          <w:szCs w:val="24"/>
        </w:rPr>
        <w:t>or Coronary</w:t>
      </w:r>
      <w:r w:rsidRPr="00266809">
        <w:rPr>
          <w:sz w:val="24"/>
          <w:szCs w:val="24"/>
        </w:rPr>
        <w:t xml:space="preserve"> Thrombosis/</w:t>
      </w:r>
    </w:p>
    <w:p w:rsidR="00842FA7" w:rsidRPr="00266809" w:rsidRDefault="00842FA7" w:rsidP="0052196B">
      <w:pPr>
        <w:jc w:val="both"/>
        <w:rPr>
          <w:sz w:val="24"/>
          <w:szCs w:val="24"/>
        </w:rPr>
      </w:pPr>
      <w:r w:rsidRPr="00266809">
        <w:rPr>
          <w:sz w:val="24"/>
          <w:szCs w:val="24"/>
        </w:rPr>
        <w:t xml:space="preserve">14. </w:t>
      </w:r>
      <w:proofErr w:type="gramStart"/>
      <w:r w:rsidRPr="00266809">
        <w:rPr>
          <w:sz w:val="24"/>
          <w:szCs w:val="24"/>
        </w:rPr>
        <w:t>acute</w:t>
      </w:r>
      <w:proofErr w:type="gramEnd"/>
      <w:r w:rsidRPr="00266809">
        <w:rPr>
          <w:sz w:val="24"/>
          <w:szCs w:val="24"/>
        </w:rPr>
        <w:t xml:space="preserve"> coronary.tw.</w:t>
      </w:r>
    </w:p>
    <w:p w:rsidR="00842FA7" w:rsidRPr="00266809" w:rsidRDefault="00842FA7" w:rsidP="0052196B">
      <w:pPr>
        <w:jc w:val="both"/>
        <w:rPr>
          <w:sz w:val="24"/>
          <w:szCs w:val="24"/>
        </w:rPr>
      </w:pPr>
      <w:r w:rsidRPr="00266809">
        <w:rPr>
          <w:sz w:val="24"/>
          <w:szCs w:val="24"/>
        </w:rPr>
        <w:t>15. 8 to 14</w:t>
      </w:r>
    </w:p>
    <w:p w:rsidR="00842FA7" w:rsidRPr="00266809" w:rsidRDefault="00842FA7" w:rsidP="0052196B">
      <w:pPr>
        <w:jc w:val="both"/>
        <w:rPr>
          <w:sz w:val="24"/>
          <w:szCs w:val="24"/>
        </w:rPr>
      </w:pPr>
      <w:r w:rsidRPr="00266809">
        <w:rPr>
          <w:sz w:val="24"/>
          <w:szCs w:val="24"/>
        </w:rPr>
        <w:t>16. 7 and 15</w:t>
      </w:r>
    </w:p>
    <w:p w:rsidR="00842FA7" w:rsidRPr="00266809" w:rsidRDefault="00842FA7" w:rsidP="0052196B">
      <w:pPr>
        <w:jc w:val="both"/>
        <w:rPr>
          <w:sz w:val="24"/>
          <w:szCs w:val="24"/>
        </w:rPr>
      </w:pPr>
      <w:r w:rsidRPr="00266809">
        <w:rPr>
          <w:sz w:val="24"/>
          <w:szCs w:val="24"/>
        </w:rPr>
        <w:t xml:space="preserve">17. </w:t>
      </w:r>
      <w:proofErr w:type="gramStart"/>
      <w:r w:rsidRPr="00266809">
        <w:rPr>
          <w:sz w:val="24"/>
          <w:szCs w:val="24"/>
        </w:rPr>
        <w:t>limit</w:t>
      </w:r>
      <w:proofErr w:type="gramEnd"/>
      <w:r w:rsidRPr="00266809">
        <w:rPr>
          <w:sz w:val="24"/>
          <w:szCs w:val="24"/>
        </w:rPr>
        <w:t xml:space="preserve"> 16 to last year</w:t>
      </w:r>
    </w:p>
    <w:p w:rsidR="00842FA7" w:rsidRPr="00266809" w:rsidRDefault="00842FA7" w:rsidP="0052196B">
      <w:pPr>
        <w:jc w:val="both"/>
        <w:rPr>
          <w:sz w:val="24"/>
          <w:szCs w:val="24"/>
        </w:rPr>
      </w:pPr>
    </w:p>
    <w:p w:rsidR="00842FA7" w:rsidRPr="00266809" w:rsidRDefault="00842FA7" w:rsidP="0052196B">
      <w:pPr>
        <w:jc w:val="both"/>
        <w:rPr>
          <w:sz w:val="24"/>
          <w:szCs w:val="24"/>
        </w:rPr>
      </w:pPr>
      <w:r w:rsidRPr="00266809">
        <w:rPr>
          <w:sz w:val="24"/>
          <w:szCs w:val="24"/>
        </w:rPr>
        <w:t>Execution date: April 14</w:t>
      </w:r>
      <w:r w:rsidRPr="00266809">
        <w:rPr>
          <w:sz w:val="24"/>
          <w:szCs w:val="24"/>
          <w:vertAlign w:val="superscript"/>
        </w:rPr>
        <w:t>th</w:t>
      </w:r>
      <w:r w:rsidRPr="00266809">
        <w:rPr>
          <w:sz w:val="24"/>
          <w:szCs w:val="24"/>
        </w:rPr>
        <w:t xml:space="preserve"> 2015</w:t>
      </w:r>
    </w:p>
    <w:p w:rsidR="00842FA7" w:rsidRPr="00266809" w:rsidRDefault="00842FA7" w:rsidP="0052196B">
      <w:pPr>
        <w:jc w:val="both"/>
        <w:rPr>
          <w:sz w:val="24"/>
          <w:szCs w:val="24"/>
        </w:rPr>
      </w:pPr>
      <w:r w:rsidRPr="00266809">
        <w:rPr>
          <w:sz w:val="24"/>
          <w:szCs w:val="24"/>
        </w:rPr>
        <w:t>Retrieved results: 641</w:t>
      </w:r>
    </w:p>
    <w:p w:rsidR="00842FA7" w:rsidRPr="00763361" w:rsidRDefault="00842FA7" w:rsidP="0052196B">
      <w:pPr>
        <w:jc w:val="both"/>
        <w:rPr>
          <w:sz w:val="24"/>
          <w:szCs w:val="24"/>
        </w:rPr>
      </w:pPr>
      <w:r w:rsidRPr="00266809">
        <w:rPr>
          <w:sz w:val="24"/>
          <w:szCs w:val="24"/>
        </w:rPr>
        <w:t xml:space="preserve">A similar search strategy </w:t>
      </w:r>
      <w:r w:rsidRPr="00266809">
        <w:rPr>
          <w:noProof/>
          <w:sz w:val="24"/>
          <w:szCs w:val="24"/>
        </w:rPr>
        <w:t>was constructed</w:t>
      </w:r>
      <w:r w:rsidRPr="00266809">
        <w:rPr>
          <w:sz w:val="24"/>
          <w:szCs w:val="24"/>
        </w:rPr>
        <w:t xml:space="preserve"> for Ovid EMBASE.</w:t>
      </w:r>
    </w:p>
    <w:p w:rsidR="00A917FF" w:rsidRDefault="00A917FF" w:rsidP="0052196B">
      <w:pPr>
        <w:jc w:val="both"/>
      </w:pPr>
      <w:r>
        <w:br w:type="page"/>
      </w:r>
    </w:p>
    <w:p w:rsidR="00A917FF" w:rsidRDefault="00A917FF" w:rsidP="0052196B">
      <w:pPr>
        <w:pStyle w:val="chapterstitles"/>
        <w:jc w:val="both"/>
      </w:pPr>
      <w:r>
        <w:lastRenderedPageBreak/>
        <w:t>CHAPTER 3: INDIVIDUAL PATIENT DATA META-ANALYSIS METHODS</w:t>
      </w:r>
    </w:p>
    <w:p w:rsidR="00A917FF" w:rsidRDefault="00A917FF" w:rsidP="0052196B">
      <w:pPr>
        <w:pStyle w:val="Sinespaciado"/>
        <w:spacing w:line="480" w:lineRule="auto"/>
        <w:jc w:val="both"/>
        <w:rPr>
          <w:b/>
          <w:sz w:val="24"/>
          <w:szCs w:val="24"/>
        </w:rPr>
      </w:pPr>
      <w:r>
        <w:rPr>
          <w:b/>
          <w:sz w:val="24"/>
          <w:szCs w:val="24"/>
        </w:rPr>
        <w:t>Review of individual patient data meta-analysis methodology</w:t>
      </w:r>
    </w:p>
    <w:p w:rsidR="00A917FF" w:rsidRDefault="00A917FF" w:rsidP="0052196B">
      <w:pPr>
        <w:pStyle w:val="Sinespaciado"/>
        <w:spacing w:line="480" w:lineRule="auto"/>
        <w:ind w:firstLine="720"/>
        <w:jc w:val="both"/>
        <w:rPr>
          <w:noProof/>
          <w:sz w:val="24"/>
          <w:szCs w:val="24"/>
        </w:rPr>
      </w:pPr>
      <w:r>
        <w:rPr>
          <w:noProof/>
          <w:sz w:val="24"/>
          <w:szCs w:val="24"/>
          <w:u w:val="single"/>
        </w:rPr>
        <w:t>Introduction:</w:t>
      </w:r>
      <w:r>
        <w:rPr>
          <w:noProof/>
          <w:sz w:val="24"/>
          <w:szCs w:val="24"/>
        </w:rPr>
        <w:t xml:space="preserve"> Meta-analysis refers to the process of combination and quantitative analysis from similar studies to produce results. Traditionally, the aggregate estimate of effect (eg. relative risk or odds ratio) and their uncertainty (eg. standard errors or confidence intervals) are extracted from the studies and pooled to generate a single estimate. A more powerful analysis can be done when individual patient data are available for analysis, called “individual patient data meta-analysis”. This methodology is becoming popular in the literature. Before the year 2000 there were less than 15 individual patient data meta-analyses published per year and this number has since increased to 15 to 30 between 2000 - 2004 and more than 40 from per year in 2005.</w:t>
      </w:r>
      <w:r>
        <w:rPr>
          <w:noProof/>
          <w:sz w:val="24"/>
          <w:szCs w:val="24"/>
          <w:vertAlign w:val="superscript"/>
        </w:rPr>
        <w:t>1</w:t>
      </w:r>
    </w:p>
    <w:p w:rsidR="00A917FF" w:rsidRDefault="00A917FF" w:rsidP="0052196B">
      <w:pPr>
        <w:pStyle w:val="Sinespaciado"/>
        <w:spacing w:line="480" w:lineRule="auto"/>
        <w:ind w:firstLine="720"/>
        <w:jc w:val="both"/>
        <w:rPr>
          <w:noProof/>
          <w:sz w:val="24"/>
          <w:szCs w:val="24"/>
        </w:rPr>
      </w:pPr>
      <w:r>
        <w:rPr>
          <w:noProof/>
          <w:sz w:val="24"/>
          <w:szCs w:val="24"/>
        </w:rPr>
        <w:t>Individual patient data meta-analysis provides several advantages over aggregate analysis, including: consistent inclusion and exclusion criteria, better missing data management, avoids duplicate patient sets, allows analysis of poorly reported outcomes, standardization of statistical analysis (including testing model assumptions), avoids ecological fallacy, and allows patient-level subgroup and sensitivity analyses.</w:t>
      </w:r>
      <w:r>
        <w:rPr>
          <w:noProof/>
          <w:sz w:val="24"/>
          <w:szCs w:val="24"/>
          <w:vertAlign w:val="superscript"/>
        </w:rPr>
        <w:t>1</w:t>
      </w:r>
      <w:r>
        <w:rPr>
          <w:noProof/>
          <w:sz w:val="24"/>
          <w:szCs w:val="24"/>
        </w:rPr>
        <w:t xml:space="preserve"> As a result, is not surprising that sometimes individual patient meta-analysis arrive at different conclusions compared to aggregate data meta-analysis.</w:t>
      </w:r>
      <w:r>
        <w:rPr>
          <w:noProof/>
          <w:sz w:val="24"/>
          <w:szCs w:val="24"/>
          <w:vertAlign w:val="superscript"/>
        </w:rPr>
        <w:t>2,3</w:t>
      </w:r>
      <w:r>
        <w:rPr>
          <w:noProof/>
          <w:sz w:val="24"/>
          <w:szCs w:val="24"/>
        </w:rPr>
        <w:t xml:space="preserve"> This is even more apparent if patient level characteristics interact with the treatment effect.</w:t>
      </w:r>
      <w:r>
        <w:rPr>
          <w:noProof/>
          <w:sz w:val="24"/>
          <w:szCs w:val="24"/>
          <w:vertAlign w:val="superscript"/>
        </w:rPr>
        <w:t>4</w:t>
      </w:r>
      <w:r>
        <w:rPr>
          <w:noProof/>
          <w:sz w:val="24"/>
          <w:szCs w:val="24"/>
        </w:rPr>
        <w:t xml:space="preserve"> A previous simulation study showed that power raised from 15% to 91% using individual patient meta-analysis when the treatment had interactions with participants baseline risk.</w:t>
      </w:r>
      <w:r>
        <w:rPr>
          <w:noProof/>
          <w:sz w:val="24"/>
          <w:szCs w:val="24"/>
          <w:vertAlign w:val="superscript"/>
        </w:rPr>
        <w:t>5</w:t>
      </w:r>
    </w:p>
    <w:p w:rsidR="00A917FF" w:rsidRDefault="00A917FF" w:rsidP="0052196B">
      <w:pPr>
        <w:pStyle w:val="Sinespaciado"/>
        <w:spacing w:line="480" w:lineRule="auto"/>
        <w:ind w:firstLine="720"/>
        <w:jc w:val="both"/>
        <w:rPr>
          <w:noProof/>
          <w:sz w:val="24"/>
          <w:szCs w:val="24"/>
        </w:rPr>
      </w:pPr>
      <w:r>
        <w:rPr>
          <w:noProof/>
          <w:sz w:val="24"/>
          <w:szCs w:val="24"/>
        </w:rPr>
        <w:lastRenderedPageBreak/>
        <w:t>The individual patient meta-analysis may play a major role in summarizing evidence of prognostic factors, such as BMI and outcomes after ACS. Usually, the quality, methodology and reporting of observational studies are markedly more heterogeneous than studies reporting interventions. Individual patient meta-analysis has been proposed as a potential solution to address this common limitation in epidemiological research.</w:t>
      </w:r>
      <w:r>
        <w:rPr>
          <w:noProof/>
          <w:sz w:val="24"/>
          <w:szCs w:val="24"/>
          <w:vertAlign w:val="superscript"/>
        </w:rPr>
        <w:t>6</w:t>
      </w:r>
    </w:p>
    <w:p w:rsidR="00A917FF" w:rsidRDefault="00A917FF" w:rsidP="0052196B">
      <w:pPr>
        <w:pStyle w:val="Sinespaciado"/>
        <w:spacing w:line="480" w:lineRule="auto"/>
        <w:ind w:firstLine="720"/>
        <w:jc w:val="both"/>
        <w:rPr>
          <w:noProof/>
          <w:sz w:val="24"/>
          <w:szCs w:val="24"/>
        </w:rPr>
      </w:pPr>
      <w:r>
        <w:rPr>
          <w:noProof/>
          <w:sz w:val="24"/>
          <w:szCs w:val="24"/>
          <w:u w:val="single"/>
        </w:rPr>
        <w:t>Implications for analysis</w:t>
      </w:r>
      <w:r>
        <w:rPr>
          <w:noProof/>
          <w:sz w:val="24"/>
          <w:szCs w:val="24"/>
        </w:rPr>
        <w:t>: The main consideration of individual patient data meta-analysis is to contemplate study level cluster effects in the analysis since observations within studies tend to be correlated.</w:t>
      </w:r>
      <w:r>
        <w:rPr>
          <w:noProof/>
          <w:sz w:val="24"/>
          <w:szCs w:val="24"/>
          <w:vertAlign w:val="superscript"/>
        </w:rPr>
        <w:t>1</w:t>
      </w:r>
      <w:r>
        <w:rPr>
          <w:noProof/>
          <w:sz w:val="24"/>
          <w:szCs w:val="24"/>
        </w:rPr>
        <w:t xml:space="preserve"> This is secondary to differences in populations (e.g., inclusion and exclusion criteria, countries involved, etc.) and study execution (definitions, follow-up time, methodology, etc.) among the included studies. Ignoring the clustering effect generates biased estimates with artificially small confidence intervals, especially when the number of clusters or participants are small.</w:t>
      </w:r>
      <w:r>
        <w:rPr>
          <w:noProof/>
          <w:sz w:val="24"/>
          <w:szCs w:val="24"/>
          <w:vertAlign w:val="superscript"/>
        </w:rPr>
        <w:t>7</w:t>
      </w:r>
      <w:r>
        <w:rPr>
          <w:noProof/>
          <w:sz w:val="24"/>
          <w:szCs w:val="24"/>
        </w:rPr>
        <w:t xml:space="preserve"> For simplification purposes, only methodology related to multivariable analysis with binary outcomes is addressed.</w:t>
      </w:r>
    </w:p>
    <w:p w:rsidR="00A917FF" w:rsidRDefault="00A917FF" w:rsidP="0052196B">
      <w:pPr>
        <w:pStyle w:val="Sinespaciado"/>
        <w:spacing w:line="480" w:lineRule="auto"/>
        <w:ind w:firstLine="720"/>
        <w:jc w:val="both"/>
        <w:rPr>
          <w:rFonts w:eastAsiaTheme="minorEastAsia"/>
          <w:noProof/>
          <w:sz w:val="24"/>
          <w:szCs w:val="24"/>
        </w:rPr>
      </w:pPr>
      <w:r>
        <w:rPr>
          <w:noProof/>
          <w:sz w:val="24"/>
          <w:szCs w:val="24"/>
        </w:rPr>
        <w:t>There are two approaches for taking into account clustering for individual patient data analysis: one-step and two-step analysis:</w:t>
      </w:r>
      <w:r>
        <w:rPr>
          <w:noProof/>
          <w:sz w:val="24"/>
          <w:szCs w:val="24"/>
          <w:vertAlign w:val="superscript"/>
        </w:rPr>
        <w:t>8</w:t>
      </w:r>
    </w:p>
    <w:p w:rsidR="00A917FF" w:rsidRDefault="00A917FF" w:rsidP="0052196B">
      <w:pPr>
        <w:pStyle w:val="Sinespaciado"/>
        <w:spacing w:line="480" w:lineRule="auto"/>
        <w:ind w:firstLine="720"/>
        <w:jc w:val="both"/>
        <w:rPr>
          <w:noProof/>
          <w:sz w:val="24"/>
          <w:szCs w:val="24"/>
        </w:rPr>
      </w:pPr>
      <w:r>
        <w:rPr>
          <w:noProof/>
          <w:sz w:val="24"/>
          <w:szCs w:val="24"/>
        </w:rPr>
        <w:t>One-step analysis: This approach refers to calculate the estimates using a single analysis from a merged dataset, again using a model that accounts for clustering. If time-to-event is ignored (or not available), multivariable logistic regression adding “study” as a random effect is the preferred approach.</w:t>
      </w:r>
      <w:r>
        <w:rPr>
          <w:noProof/>
          <w:sz w:val="24"/>
          <w:szCs w:val="24"/>
          <w:vertAlign w:val="superscript"/>
        </w:rPr>
        <w:t>9</w:t>
      </w:r>
      <w:r>
        <w:rPr>
          <w:noProof/>
          <w:sz w:val="24"/>
          <w:szCs w:val="24"/>
        </w:rPr>
        <w:t xml:space="preserve"> This can be summarized in the following formula:</w:t>
      </w:r>
    </w:p>
    <w:p w:rsidR="00A917FF" w:rsidRDefault="00A917FF" w:rsidP="0052196B">
      <w:pPr>
        <w:pStyle w:val="Sinespaciado"/>
        <w:spacing w:line="480" w:lineRule="auto"/>
        <w:ind w:firstLine="720"/>
        <w:jc w:val="both"/>
        <w:rPr>
          <w:sz w:val="24"/>
          <w:lang w:val="es-ES"/>
        </w:rPr>
      </w:pPr>
      <m:oMathPara>
        <m:oMath>
          <m:r>
            <m:rPr>
              <m:sty m:val="p"/>
            </m:rPr>
            <w:rPr>
              <w:rFonts w:ascii="Cambria Math" w:hAnsi="Cambria Math"/>
              <w:sz w:val="24"/>
              <w:lang w:val="es-ES"/>
            </w:rPr>
            <m:t>logit</m:t>
          </m:r>
          <m:d>
            <m:dPr>
              <m:ctrlPr>
                <w:rPr>
                  <w:rFonts w:ascii="Cambria Math" w:eastAsiaTheme="minorEastAsia" w:hAnsi="Cambria Math"/>
                  <w:i/>
                  <w:noProof/>
                  <w:sz w:val="24"/>
                  <w:szCs w:val="24"/>
                </w:rPr>
              </m:ctrlPr>
            </m:dPr>
            <m:e>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p</m:t>
                  </m:r>
                </m:e>
                <m:sub>
                  <m:r>
                    <w:rPr>
                      <w:rFonts w:ascii="Cambria Math" w:eastAsiaTheme="minorEastAsia" w:hAnsi="Cambria Math"/>
                      <w:noProof/>
                      <w:sz w:val="24"/>
                      <w:szCs w:val="24"/>
                    </w:rPr>
                    <m:t>ik</m:t>
                  </m:r>
                </m:sub>
              </m:sSub>
            </m:e>
          </m:d>
          <m:r>
            <w:rPr>
              <w:rFonts w:ascii="Cambria Math" w:hAnsi="Cambria Math"/>
              <w:sz w:val="24"/>
              <w:lang w:val="es-ES"/>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α</m:t>
              </m:r>
            </m:e>
            <m:sub>
              <m:r>
                <w:rPr>
                  <w:rFonts w:ascii="Cambria Math" w:eastAsiaTheme="minorEastAsia" w:hAnsi="Cambria Math"/>
                  <w:noProof/>
                  <w:sz w:val="24"/>
                  <w:szCs w:val="24"/>
                </w:rPr>
                <m:t>i</m:t>
              </m:r>
            </m:sub>
          </m:sSub>
          <m:r>
            <w:rPr>
              <w:rFonts w:ascii="Cambria Math" w:hAnsi="Cambria Math"/>
              <w:sz w:val="24"/>
              <w:lang w:val="es-ES"/>
            </w:rPr>
            <m:t>+</m:t>
          </m:r>
          <m:r>
            <w:rPr>
              <w:rFonts w:ascii="Cambria Math" w:eastAsiaTheme="minorEastAsia" w:hAnsi="Cambria Math"/>
              <w:noProof/>
              <w:sz w:val="24"/>
              <w:szCs w:val="24"/>
            </w:rPr>
            <m:t>β</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x</m:t>
              </m:r>
            </m:e>
            <m:sub>
              <m:r>
                <w:rPr>
                  <w:rFonts w:ascii="Cambria Math" w:eastAsiaTheme="minorEastAsia" w:hAnsi="Cambria Math"/>
                  <w:noProof/>
                  <w:sz w:val="24"/>
                  <w:szCs w:val="24"/>
                </w:rPr>
                <m:t>ik</m:t>
              </m:r>
            </m:sub>
          </m:sSub>
          <m:r>
            <w:rPr>
              <w:rFonts w:ascii="Cambria Math" w:hAnsi="Cambria Math"/>
              <w:sz w:val="24"/>
              <w:lang w:val="es-ES"/>
            </w:rPr>
            <m:t>.</m:t>
          </m:r>
        </m:oMath>
      </m:oMathPara>
    </w:p>
    <w:p w:rsidR="00A917FF" w:rsidRDefault="00A917FF" w:rsidP="0052196B">
      <w:pPr>
        <w:pStyle w:val="Sinespaciado"/>
        <w:spacing w:line="480" w:lineRule="auto"/>
        <w:ind w:firstLine="720"/>
        <w:jc w:val="both"/>
        <w:rPr>
          <w:rFonts w:eastAsiaTheme="minorEastAsia"/>
          <w:noProof/>
          <w:sz w:val="24"/>
          <w:szCs w:val="24"/>
        </w:rPr>
      </w:pPr>
      <w:r>
        <w:rPr>
          <w:rFonts w:eastAsiaTheme="minorEastAsia"/>
          <w:noProof/>
          <w:sz w:val="24"/>
          <w:szCs w:val="24"/>
        </w:rPr>
        <w:t xml:space="preserve">Note that the intercept </w:t>
      </w:r>
      <m:oMath>
        <m:r>
          <w:rPr>
            <w:rFonts w:ascii="Cambria Math" w:eastAsiaTheme="minorEastAsia" w:hAnsi="Cambria Math"/>
            <w:noProof/>
            <w:sz w:val="24"/>
            <w:szCs w:val="24"/>
          </w:rPr>
          <m:t>α</m:t>
        </m:r>
      </m:oMath>
      <w:r>
        <w:rPr>
          <w:rFonts w:eastAsiaTheme="minorEastAsia"/>
          <w:noProof/>
          <w:sz w:val="24"/>
          <w:szCs w:val="24"/>
        </w:rPr>
        <w:t xml:space="preserve"> is not fixed. The term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α</m:t>
            </m:r>
          </m:e>
          <m:sub>
            <m:r>
              <w:rPr>
                <w:rFonts w:ascii="Cambria Math" w:eastAsiaTheme="minorEastAsia" w:hAnsi="Cambria Math"/>
                <w:noProof/>
                <w:sz w:val="24"/>
                <w:szCs w:val="24"/>
              </w:rPr>
              <m:t>i</m:t>
            </m:r>
          </m:sub>
        </m:sSub>
      </m:oMath>
      <w:r>
        <w:rPr>
          <w:rFonts w:eastAsiaTheme="minorEastAsia"/>
          <w:noProof/>
          <w:sz w:val="24"/>
          <w:szCs w:val="24"/>
        </w:rPr>
        <w:t xml:space="preserve"> denotes that each cluster </w:t>
      </w:r>
      <m:oMath>
        <m:r>
          <w:rPr>
            <w:rFonts w:ascii="Cambria Math" w:eastAsiaTheme="minorEastAsia" w:hAnsi="Cambria Math"/>
            <w:noProof/>
            <w:sz w:val="24"/>
            <w:szCs w:val="24"/>
          </w:rPr>
          <m:t>i</m:t>
        </m:r>
      </m:oMath>
      <w:r>
        <w:rPr>
          <w:rFonts w:eastAsiaTheme="minorEastAsia"/>
          <w:noProof/>
          <w:sz w:val="24"/>
          <w:szCs w:val="24"/>
        </w:rPr>
        <w:t xml:space="preserve"> (study) has their own baseline risk, more precisely the risk when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x</m:t>
            </m:r>
          </m:e>
          <m:sub>
            <m:r>
              <w:rPr>
                <w:rFonts w:ascii="Cambria Math" w:eastAsiaTheme="minorEastAsia" w:hAnsi="Cambria Math"/>
                <w:noProof/>
                <w:sz w:val="24"/>
                <w:szCs w:val="24"/>
              </w:rPr>
              <m:t>ik</m:t>
            </m:r>
          </m:sub>
        </m:sSub>
      </m:oMath>
      <w:r>
        <w:rPr>
          <w:rFonts w:eastAsiaTheme="minorEastAsia"/>
          <w:noProof/>
          <w:sz w:val="24"/>
          <w:szCs w:val="24"/>
        </w:rPr>
        <w:t xml:space="preserve"> equals zero in the </w:t>
      </w:r>
      <m:oMath>
        <m:r>
          <w:rPr>
            <w:rFonts w:ascii="Cambria Math" w:eastAsiaTheme="minorEastAsia" w:hAnsi="Cambria Math"/>
            <w:noProof/>
            <w:sz w:val="24"/>
            <w:szCs w:val="24"/>
          </w:rPr>
          <m:t>i</m:t>
        </m:r>
      </m:oMath>
      <w:r>
        <w:rPr>
          <w:rFonts w:eastAsiaTheme="minorEastAsia"/>
          <w:noProof/>
          <w:sz w:val="24"/>
          <w:szCs w:val="24"/>
        </w:rPr>
        <w:t xml:space="preserve">th cluster. This </w:t>
      </w:r>
      <w:r>
        <w:rPr>
          <w:rFonts w:eastAsiaTheme="minorEastAsia"/>
          <w:noProof/>
          <w:sz w:val="24"/>
          <w:szCs w:val="24"/>
        </w:rPr>
        <w:lastRenderedPageBreak/>
        <w:t xml:space="preserve">expression is for a fixed-effects meta-analysis given that </w:t>
      </w:r>
      <m:oMath>
        <m:r>
          <w:rPr>
            <w:rFonts w:ascii="Cambria Math" w:eastAsiaTheme="minorEastAsia" w:hAnsi="Cambria Math"/>
            <w:noProof/>
            <w:sz w:val="24"/>
            <w:szCs w:val="24"/>
          </w:rPr>
          <m:t>β</m:t>
        </m:r>
      </m:oMath>
      <w:r>
        <w:rPr>
          <w:rFonts w:eastAsiaTheme="minorEastAsia"/>
          <w:noProof/>
          <w:sz w:val="24"/>
          <w:szCs w:val="24"/>
        </w:rPr>
        <w:t xml:space="preserve"> is assumed to be equal among studies.  </w:t>
      </w:r>
    </w:p>
    <w:p w:rsidR="00A917FF" w:rsidRDefault="00A917FF" w:rsidP="0052196B">
      <w:pPr>
        <w:pStyle w:val="Sinespaciado"/>
        <w:spacing w:line="480" w:lineRule="auto"/>
        <w:ind w:firstLine="720"/>
        <w:jc w:val="both"/>
        <w:rPr>
          <w:rFonts w:eastAsiaTheme="minorEastAsia"/>
          <w:noProof/>
          <w:sz w:val="24"/>
          <w:szCs w:val="24"/>
        </w:rPr>
      </w:pPr>
      <w:r>
        <w:rPr>
          <w:rFonts w:eastAsiaTheme="minorEastAsia"/>
          <w:noProof/>
          <w:sz w:val="24"/>
          <w:szCs w:val="24"/>
        </w:rPr>
        <w:t>If time-to-event data is available and is considered for analysis, a shared frailty model is a popular approach. Two previous analysis including real-life and simulations examples concluded that the shared frailty model provided the least biased results when analyzing clustered survival data.</w:t>
      </w:r>
      <w:r>
        <w:rPr>
          <w:rFonts w:eastAsiaTheme="minorEastAsia"/>
          <w:noProof/>
          <w:sz w:val="24"/>
          <w:szCs w:val="24"/>
          <w:vertAlign w:val="superscript"/>
        </w:rPr>
        <w:t>10,11</w:t>
      </w:r>
      <w:r>
        <w:rPr>
          <w:rFonts w:eastAsiaTheme="minorEastAsia"/>
          <w:noProof/>
          <w:sz w:val="24"/>
          <w:szCs w:val="24"/>
        </w:rPr>
        <w:t xml:space="preserve"> This model accounts for a multiplicative factor in the hazard function, in addition to the regressors in the model. The hazard rate of the </w:t>
      </w:r>
      <m:oMath>
        <m:r>
          <w:rPr>
            <w:rFonts w:ascii="Cambria Math" w:eastAsiaTheme="minorEastAsia" w:hAnsi="Cambria Math"/>
            <w:noProof/>
            <w:sz w:val="24"/>
            <w:szCs w:val="24"/>
          </w:rPr>
          <m:t>j</m:t>
        </m:r>
      </m:oMath>
      <w:r>
        <w:rPr>
          <w:rFonts w:eastAsiaTheme="minorEastAsia"/>
          <w:noProof/>
          <w:sz w:val="24"/>
          <w:szCs w:val="24"/>
        </w:rPr>
        <w:t xml:space="preserve">th individual in the </w:t>
      </w:r>
      <m:oMath>
        <m:r>
          <w:rPr>
            <w:rFonts w:ascii="Cambria Math" w:eastAsiaTheme="minorEastAsia" w:hAnsi="Cambria Math"/>
            <w:noProof/>
            <w:sz w:val="24"/>
            <w:szCs w:val="24"/>
          </w:rPr>
          <m:t>i</m:t>
        </m:r>
      </m:oMath>
      <w:r>
        <w:rPr>
          <w:rFonts w:eastAsiaTheme="minorEastAsia"/>
          <w:noProof/>
          <w:sz w:val="24"/>
          <w:szCs w:val="24"/>
        </w:rPr>
        <w:t>th cluster is</w:t>
      </w:r>
    </w:p>
    <w:p w:rsidR="00A917FF" w:rsidRDefault="0052012C" w:rsidP="00E47006">
      <w:pPr>
        <w:pStyle w:val="Sinespaciado"/>
        <w:spacing w:line="480" w:lineRule="auto"/>
        <w:ind w:firstLine="720"/>
        <w:jc w:val="center"/>
        <w:rPr>
          <w:rFonts w:eastAsiaTheme="minorEastAsia"/>
          <w:noProof/>
          <w:sz w:val="24"/>
          <w:szCs w:val="24"/>
        </w:rPr>
      </w:pP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λ</m:t>
            </m:r>
          </m:e>
          <m:sub>
            <m:r>
              <w:rPr>
                <w:rFonts w:ascii="Cambria Math" w:eastAsiaTheme="minorEastAsia" w:hAnsi="Cambria Math"/>
                <w:noProof/>
                <w:sz w:val="24"/>
                <w:szCs w:val="24"/>
              </w:rPr>
              <m:t>ij</m:t>
            </m:r>
          </m:sub>
        </m:sSub>
        <m:d>
          <m:dPr>
            <m:ctrlPr>
              <w:rPr>
                <w:rFonts w:ascii="Cambria Math" w:eastAsiaTheme="minorEastAsia" w:hAnsi="Cambria Math"/>
                <w:i/>
                <w:noProof/>
                <w:sz w:val="24"/>
                <w:szCs w:val="24"/>
              </w:rPr>
            </m:ctrlPr>
          </m:dPr>
          <m:e>
            <m:r>
              <w:rPr>
                <w:rFonts w:ascii="Cambria Math" w:eastAsiaTheme="minorEastAsia" w:hAnsi="Cambria Math"/>
                <w:noProof/>
                <w:sz w:val="24"/>
                <w:szCs w:val="24"/>
              </w:rPr>
              <m:t>t</m:t>
            </m:r>
          </m:e>
        </m:d>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λ</m:t>
            </m:r>
          </m:e>
          <m:sub>
            <m:r>
              <w:rPr>
                <w:rFonts w:ascii="Cambria Math" w:eastAsiaTheme="minorEastAsia" w:hAnsi="Cambria Math"/>
                <w:noProof/>
                <w:sz w:val="24"/>
                <w:szCs w:val="24"/>
              </w:rPr>
              <m:t>o</m:t>
            </m:r>
          </m:sub>
        </m:sSub>
        <m:r>
          <w:rPr>
            <w:rFonts w:ascii="Cambria Math" w:eastAsiaTheme="minorEastAsia" w:hAnsi="Cambria Math"/>
            <w:noProof/>
            <w:sz w:val="24"/>
            <w:szCs w:val="24"/>
          </w:rPr>
          <m:t>(t)</m:t>
        </m:r>
        <m:sSup>
          <m:sSupPr>
            <m:ctrlPr>
              <w:rPr>
                <w:rFonts w:ascii="Cambria Math" w:eastAsiaTheme="minorEastAsia" w:hAnsi="Cambria Math"/>
                <w:i/>
                <w:noProof/>
                <w:sz w:val="24"/>
                <w:szCs w:val="24"/>
              </w:rPr>
            </m:ctrlPr>
          </m:sSupPr>
          <m:e>
            <m:r>
              <w:rPr>
                <w:rFonts w:ascii="Cambria Math" w:eastAsiaTheme="minorEastAsia" w:hAnsi="Cambria Math"/>
                <w:noProof/>
                <w:sz w:val="24"/>
                <w:szCs w:val="24"/>
              </w:rPr>
              <m:t>e</m:t>
            </m:r>
          </m:e>
          <m:sup>
            <m:r>
              <m:rPr>
                <m:sty m:val="bi"/>
              </m:rPr>
              <w:rPr>
                <w:rFonts w:ascii="Cambria Math" w:eastAsiaTheme="minorEastAsia" w:hAnsi="Cambria Math"/>
                <w:noProof/>
                <w:sz w:val="24"/>
                <w:szCs w:val="24"/>
              </w:rPr>
              <m:t>β</m:t>
            </m:r>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m:rPr>
                    <m:sty m:val="bi"/>
                  </m:rPr>
                  <w:rPr>
                    <w:rFonts w:ascii="Cambria Math" w:eastAsiaTheme="minorEastAsia" w:hAnsi="Cambria Math"/>
                    <w:noProof/>
                    <w:sz w:val="24"/>
                    <w:szCs w:val="24"/>
                  </w:rPr>
                  <m:t>Z</m:t>
                </m:r>
              </m:e>
              <m:sub>
                <m:r>
                  <w:rPr>
                    <w:rFonts w:ascii="Cambria Math" w:eastAsiaTheme="minorEastAsia" w:hAnsi="Cambria Math"/>
                    <w:noProof/>
                    <w:sz w:val="24"/>
                    <w:szCs w:val="24"/>
                  </w:rPr>
                  <m:t>ij</m:t>
                </m:r>
              </m:sub>
            </m:sSub>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i</m:t>
                </m:r>
              </m:sub>
            </m:sSub>
          </m:sup>
        </m:sSup>
      </m:oMath>
      <w:r w:rsidR="00A917FF">
        <w:rPr>
          <w:rFonts w:eastAsiaTheme="minorEastAsia"/>
          <w:noProof/>
          <w:sz w:val="24"/>
          <w:szCs w:val="24"/>
        </w:rPr>
        <w:t>,</w:t>
      </w:r>
    </w:p>
    <w:p w:rsidR="00A917FF" w:rsidRDefault="00A917FF" w:rsidP="0052196B">
      <w:pPr>
        <w:pStyle w:val="Sinespaciado"/>
        <w:spacing w:line="480" w:lineRule="auto"/>
        <w:jc w:val="both"/>
        <w:rPr>
          <w:rFonts w:eastAsiaTheme="minorEastAsia"/>
          <w:noProof/>
          <w:sz w:val="24"/>
          <w:szCs w:val="24"/>
        </w:rPr>
      </w:pPr>
      <w:r>
        <w:rPr>
          <w:rFonts w:eastAsiaTheme="minorEastAsia"/>
          <w:noProof/>
          <w:sz w:val="24"/>
          <w:szCs w:val="24"/>
        </w:rPr>
        <w:t xml:space="preserve">where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λ</m:t>
            </m:r>
          </m:e>
          <m:sub>
            <m:r>
              <w:rPr>
                <w:rFonts w:ascii="Cambria Math" w:eastAsiaTheme="minorEastAsia" w:hAnsi="Cambria Math"/>
                <w:noProof/>
                <w:sz w:val="24"/>
                <w:szCs w:val="24"/>
              </w:rPr>
              <m:t>o</m:t>
            </m:r>
          </m:sub>
        </m:sSub>
        <m:d>
          <m:dPr>
            <m:ctrlPr>
              <w:rPr>
                <w:rFonts w:ascii="Cambria Math" w:eastAsiaTheme="minorEastAsia" w:hAnsi="Cambria Math"/>
                <w:i/>
                <w:noProof/>
                <w:sz w:val="24"/>
                <w:szCs w:val="24"/>
              </w:rPr>
            </m:ctrlPr>
          </m:dPr>
          <m:e>
            <m:r>
              <w:rPr>
                <w:rFonts w:ascii="Cambria Math" w:eastAsiaTheme="minorEastAsia" w:hAnsi="Cambria Math"/>
                <w:noProof/>
                <w:sz w:val="24"/>
                <w:szCs w:val="24"/>
              </w:rPr>
              <m:t>t</m:t>
            </m:r>
          </m:e>
        </m:d>
      </m:oMath>
      <w:r>
        <w:rPr>
          <w:rFonts w:eastAsiaTheme="minorEastAsia"/>
          <w:noProof/>
          <w:sz w:val="24"/>
          <w:szCs w:val="24"/>
        </w:rPr>
        <w:t xml:space="preserve"> is an arbitrary ba</w:t>
      </w:r>
      <w:r w:rsidR="00E47006">
        <w:rPr>
          <w:rFonts w:eastAsiaTheme="minorEastAsia"/>
          <w:noProof/>
          <w:sz w:val="24"/>
          <w:szCs w:val="24"/>
        </w:rPr>
        <w:t>seline hazard rate,</w:t>
      </w:r>
      <m:oMath>
        <m:r>
          <w:rPr>
            <w:rFonts w:ascii="Cambria Math" w:eastAsiaTheme="minorEastAsia" w:hAnsi="Cambria Math"/>
            <w:noProof/>
            <w:sz w:val="24"/>
            <w:szCs w:val="24"/>
          </w:rPr>
          <m:t xml:space="preserve"> </m:t>
        </m:r>
        <m:sSub>
          <m:sSubPr>
            <m:ctrlPr>
              <w:rPr>
                <w:rFonts w:ascii="Cambria Math" w:eastAsiaTheme="minorEastAsia" w:hAnsi="Cambria Math"/>
                <w:i/>
                <w:noProof/>
                <w:sz w:val="24"/>
                <w:szCs w:val="24"/>
              </w:rPr>
            </m:ctrlPr>
          </m:sSubPr>
          <m:e>
            <m:r>
              <m:rPr>
                <m:sty m:val="bi"/>
              </m:rPr>
              <w:rPr>
                <w:rFonts w:ascii="Cambria Math" w:eastAsiaTheme="minorEastAsia" w:hAnsi="Cambria Math"/>
                <w:noProof/>
                <w:sz w:val="24"/>
                <w:szCs w:val="24"/>
              </w:rPr>
              <m:t>Z</m:t>
            </m:r>
          </m:e>
          <m:sub>
            <m:r>
              <w:rPr>
                <w:rFonts w:ascii="Cambria Math" w:eastAsiaTheme="minorEastAsia" w:hAnsi="Cambria Math"/>
                <w:noProof/>
                <w:sz w:val="24"/>
                <w:szCs w:val="24"/>
              </w:rPr>
              <m:t>ij</m:t>
            </m:r>
          </m:sub>
        </m:sSub>
      </m:oMath>
      <w:r w:rsidR="00E47006">
        <w:rPr>
          <w:rFonts w:eastAsiaTheme="minorEastAsia"/>
          <w:noProof/>
          <w:sz w:val="24"/>
          <w:szCs w:val="24"/>
        </w:rPr>
        <w:t xml:space="preserve"> </w:t>
      </w:r>
      <w:r>
        <w:rPr>
          <w:rFonts w:eastAsiaTheme="minorEastAsia"/>
          <w:noProof/>
          <w:sz w:val="24"/>
          <w:szCs w:val="24"/>
        </w:rPr>
        <w:t xml:space="preserve">is the vector of (fixed-effects) covariates, </w:t>
      </w:r>
      <m:oMath>
        <m:r>
          <m:rPr>
            <m:sty m:val="bi"/>
          </m:rPr>
          <w:rPr>
            <w:rFonts w:ascii="Cambria Math" w:eastAsiaTheme="minorEastAsia" w:hAnsi="Cambria Math"/>
            <w:noProof/>
            <w:sz w:val="24"/>
            <w:szCs w:val="24"/>
          </w:rPr>
          <m:t>β</m:t>
        </m:r>
      </m:oMath>
      <w:r>
        <w:rPr>
          <w:rFonts w:eastAsiaTheme="minorEastAsia"/>
          <w:noProof/>
          <w:sz w:val="24"/>
          <w:szCs w:val="24"/>
        </w:rPr>
        <w:t xml:space="preserve"> is the vector of regression coefficients, and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i</m:t>
            </m:r>
          </m:sub>
        </m:sSub>
      </m:oMath>
      <w:r>
        <w:rPr>
          <w:rFonts w:eastAsiaTheme="minorEastAsia"/>
          <w:noProof/>
          <w:sz w:val="24"/>
          <w:szCs w:val="24"/>
        </w:rPr>
        <w:t xml:space="preserve"> is the random effect for cluster </w:t>
      </w:r>
      <m:oMath>
        <m:r>
          <w:rPr>
            <w:rFonts w:ascii="Cambria Math" w:eastAsiaTheme="minorEastAsia" w:hAnsi="Cambria Math"/>
            <w:noProof/>
            <w:sz w:val="24"/>
            <w:szCs w:val="24"/>
          </w:rPr>
          <m:t>i</m:t>
        </m:r>
      </m:oMath>
      <w:r>
        <w:rPr>
          <w:rFonts w:eastAsiaTheme="minorEastAsia"/>
          <w:noProof/>
          <w:sz w:val="24"/>
          <w:szCs w:val="24"/>
        </w:rPr>
        <w:t xml:space="preserve">. The random components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i</m:t>
            </m:r>
          </m:sub>
        </m:sSub>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s</m:t>
            </m:r>
          </m:sub>
        </m:sSub>
      </m:oMath>
      <w:r>
        <w:rPr>
          <w:rFonts w:eastAsiaTheme="minorEastAsia"/>
          <w:noProof/>
          <w:sz w:val="24"/>
          <w:szCs w:val="24"/>
        </w:rPr>
        <w:t xml:space="preserve"> are assumed to be independent and distributed as a normal random variable with mean 0 and an unknown variance </w:t>
      </w:r>
      <m:oMath>
        <m:r>
          <w:rPr>
            <w:rFonts w:ascii="Cambria Math" w:eastAsiaTheme="minorEastAsia" w:hAnsi="Cambria Math"/>
            <w:noProof/>
            <w:sz w:val="24"/>
            <w:szCs w:val="24"/>
          </w:rPr>
          <m:t>θ</m:t>
        </m:r>
      </m:oMath>
      <w:r>
        <w:rPr>
          <w:rFonts w:eastAsiaTheme="minorEastAsia"/>
          <w:noProof/>
          <w:sz w:val="24"/>
          <w:szCs w:val="24"/>
        </w:rPr>
        <w:t>.</w:t>
      </w:r>
      <w:r>
        <w:rPr>
          <w:rFonts w:eastAsiaTheme="minorEastAsia"/>
          <w:noProof/>
          <w:sz w:val="24"/>
          <w:szCs w:val="24"/>
          <w:vertAlign w:val="superscript"/>
        </w:rPr>
        <w:t>12</w:t>
      </w:r>
      <w:r>
        <w:rPr>
          <w:rFonts w:eastAsiaTheme="minorEastAsia"/>
          <w:noProof/>
          <w:sz w:val="24"/>
          <w:szCs w:val="24"/>
        </w:rPr>
        <w:t xml:space="preserve"> Note that without the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i</m:t>
            </m:r>
          </m:sub>
        </m:sSub>
      </m:oMath>
      <w:r>
        <w:rPr>
          <w:rFonts w:eastAsiaTheme="minorEastAsia"/>
          <w:noProof/>
          <w:sz w:val="24"/>
          <w:szCs w:val="24"/>
        </w:rPr>
        <w:t xml:space="preserve"> component this function is equivalent to the Cox proportional hazards equation. Then, frailties factors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s</m:t>
            </m:r>
          </m:sub>
        </m:sSub>
      </m:oMath>
      <w:r>
        <w:rPr>
          <w:rFonts w:eastAsiaTheme="minorEastAsia"/>
          <w:noProof/>
          <w:sz w:val="24"/>
          <w:szCs w:val="24"/>
        </w:rPr>
        <w:t xml:space="preserve">, given by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y</m:t>
            </m:r>
          </m:e>
          <m:sub>
            <m:r>
              <w:rPr>
                <w:rFonts w:ascii="Cambria Math" w:eastAsiaTheme="minorEastAsia" w:hAnsi="Cambria Math"/>
                <w:noProof/>
                <w:sz w:val="24"/>
                <w:szCs w:val="24"/>
              </w:rPr>
              <m:t>i</m:t>
            </m:r>
          </m:sub>
        </m:sSub>
        <m:r>
          <w:rPr>
            <w:rFonts w:ascii="Cambria Math" w:eastAsiaTheme="minorEastAsia" w:hAnsi="Cambria Math"/>
            <w:noProof/>
            <w:sz w:val="24"/>
            <w:szCs w:val="24"/>
          </w:rPr>
          <m:t>=</m:t>
        </m:r>
        <m:r>
          <m:rPr>
            <m:sty m:val="p"/>
          </m:rPr>
          <w:rPr>
            <w:rFonts w:ascii="Cambria Math" w:eastAsiaTheme="minorEastAsia" w:hAnsi="Cambria Math"/>
            <w:noProof/>
            <w:sz w:val="24"/>
            <w:szCs w:val="24"/>
          </w:rPr>
          <m:t>log(</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r>
          <m:rPr>
            <m:sty m:val="p"/>
          </m:rPr>
          <w:rPr>
            <w:rFonts w:ascii="Cambria Math" w:eastAsiaTheme="minorEastAsia" w:hAnsi="Cambria Math"/>
            <w:noProof/>
            <w:sz w:val="24"/>
            <w:szCs w:val="24"/>
          </w:rPr>
          <m:t>)</m:t>
        </m:r>
      </m:oMath>
      <w:r>
        <w:rPr>
          <w:rFonts w:eastAsiaTheme="minorEastAsia"/>
          <w:noProof/>
          <w:sz w:val="24"/>
          <w:szCs w:val="24"/>
        </w:rPr>
        <w:t>, are estimated by the following model:</w:t>
      </w:r>
    </w:p>
    <w:p w:rsidR="00A917FF" w:rsidRDefault="0052012C" w:rsidP="00E47006">
      <w:pPr>
        <w:pStyle w:val="Sinespaciado"/>
        <w:spacing w:line="480" w:lineRule="auto"/>
        <w:ind w:firstLine="720"/>
        <w:jc w:val="center"/>
        <w:rPr>
          <w:rFonts w:eastAsiaTheme="minorEastAsia"/>
          <w:noProof/>
          <w:sz w:val="24"/>
          <w:szCs w:val="24"/>
        </w:rPr>
      </w:pP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λ</m:t>
            </m:r>
          </m:e>
          <m:sub>
            <m:r>
              <w:rPr>
                <w:rFonts w:ascii="Cambria Math" w:eastAsiaTheme="minorEastAsia" w:hAnsi="Cambria Math"/>
                <w:noProof/>
                <w:sz w:val="24"/>
                <w:szCs w:val="24"/>
              </w:rPr>
              <m:t>ij</m:t>
            </m:r>
          </m:sub>
        </m:sSub>
        <m:d>
          <m:dPr>
            <m:ctrlPr>
              <w:rPr>
                <w:rFonts w:ascii="Cambria Math" w:eastAsiaTheme="minorEastAsia" w:hAnsi="Cambria Math"/>
                <w:i/>
                <w:noProof/>
                <w:sz w:val="24"/>
                <w:szCs w:val="24"/>
              </w:rPr>
            </m:ctrlPr>
          </m:dPr>
          <m:e>
            <m:r>
              <w:rPr>
                <w:rFonts w:ascii="Cambria Math" w:eastAsiaTheme="minorEastAsia" w:hAnsi="Cambria Math"/>
                <w:noProof/>
                <w:sz w:val="24"/>
                <w:szCs w:val="24"/>
              </w:rPr>
              <m:t>t</m:t>
            </m:r>
          </m:e>
        </m:d>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λ</m:t>
            </m:r>
          </m:e>
          <m:sub>
            <m:r>
              <w:rPr>
                <w:rFonts w:ascii="Cambria Math" w:eastAsiaTheme="minorEastAsia" w:hAnsi="Cambria Math"/>
                <w:noProof/>
                <w:sz w:val="24"/>
                <w:szCs w:val="24"/>
              </w:rPr>
              <m:t>o</m:t>
            </m:r>
          </m:sub>
        </m:sSub>
        <m:r>
          <w:rPr>
            <w:rFonts w:ascii="Cambria Math" w:eastAsiaTheme="minorEastAsia" w:hAnsi="Cambria Math"/>
            <w:noProof/>
            <w:sz w:val="24"/>
            <w:szCs w:val="24"/>
          </w:rPr>
          <m:t>(t)</m:t>
        </m:r>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sSup>
          <m:sSupPr>
            <m:ctrlPr>
              <w:rPr>
                <w:rFonts w:ascii="Cambria Math" w:eastAsiaTheme="minorEastAsia" w:hAnsi="Cambria Math"/>
                <w:i/>
                <w:noProof/>
                <w:sz w:val="24"/>
                <w:szCs w:val="24"/>
              </w:rPr>
            </m:ctrlPr>
          </m:sSupPr>
          <m:e>
            <m:r>
              <w:rPr>
                <w:rFonts w:ascii="Cambria Math" w:eastAsiaTheme="minorEastAsia" w:hAnsi="Cambria Math"/>
                <w:noProof/>
                <w:sz w:val="24"/>
                <w:szCs w:val="24"/>
              </w:rPr>
              <m:t>e</m:t>
            </m:r>
          </m:e>
          <m:sup>
            <m:r>
              <m:rPr>
                <m:sty m:val="bi"/>
              </m:rPr>
              <w:rPr>
                <w:rFonts w:ascii="Cambria Math" w:eastAsiaTheme="minorEastAsia" w:hAnsi="Cambria Math"/>
                <w:noProof/>
                <w:sz w:val="24"/>
                <w:szCs w:val="24"/>
              </w:rPr>
              <m:t>β</m:t>
            </m:r>
            <m:r>
              <w:rPr>
                <w:rFonts w:ascii="Cambria Math" w:eastAsiaTheme="minorEastAsia" w:hAnsi="Cambria Math"/>
                <w:noProof/>
                <w:sz w:val="24"/>
                <w:szCs w:val="24"/>
              </w:rPr>
              <m:t>´</m:t>
            </m:r>
            <m:sSub>
              <m:sSubPr>
                <m:ctrlPr>
                  <w:rPr>
                    <w:rFonts w:ascii="Cambria Math" w:eastAsiaTheme="minorEastAsia" w:hAnsi="Cambria Math"/>
                    <w:i/>
                    <w:noProof/>
                    <w:sz w:val="24"/>
                    <w:szCs w:val="24"/>
                  </w:rPr>
                </m:ctrlPr>
              </m:sSubPr>
              <m:e>
                <m:r>
                  <m:rPr>
                    <m:sty m:val="bi"/>
                  </m:rPr>
                  <w:rPr>
                    <w:rFonts w:ascii="Cambria Math" w:eastAsiaTheme="minorEastAsia" w:hAnsi="Cambria Math"/>
                    <w:noProof/>
                    <w:sz w:val="24"/>
                    <w:szCs w:val="24"/>
                  </w:rPr>
                  <m:t>Z</m:t>
                </m:r>
              </m:e>
              <m:sub>
                <m:r>
                  <w:rPr>
                    <w:rFonts w:ascii="Cambria Math" w:eastAsiaTheme="minorEastAsia" w:hAnsi="Cambria Math"/>
                    <w:noProof/>
                    <w:sz w:val="24"/>
                    <w:szCs w:val="24"/>
                  </w:rPr>
                  <m:t>ij</m:t>
                </m:r>
              </m:sub>
            </m:sSub>
          </m:sup>
        </m:sSup>
      </m:oMath>
      <w:r w:rsidR="00A917FF">
        <w:rPr>
          <w:rFonts w:eastAsiaTheme="minorEastAsia"/>
          <w:noProof/>
          <w:sz w:val="24"/>
          <w:szCs w:val="24"/>
        </w:rPr>
        <w:t>.</w:t>
      </w:r>
    </w:p>
    <w:p w:rsidR="00A917FF" w:rsidRDefault="00A917FF" w:rsidP="0052196B">
      <w:pPr>
        <w:pStyle w:val="Sinespaciado"/>
        <w:spacing w:line="480" w:lineRule="auto"/>
        <w:jc w:val="both"/>
        <w:rPr>
          <w:rFonts w:eastAsiaTheme="minorEastAsia"/>
          <w:noProof/>
          <w:sz w:val="24"/>
          <w:szCs w:val="24"/>
        </w:rPr>
      </w:pPr>
      <w:r>
        <w:rPr>
          <w:rFonts w:eastAsiaTheme="minorEastAsia"/>
          <w:noProof/>
          <w:sz w:val="24"/>
          <w:szCs w:val="24"/>
        </w:rPr>
        <w:t xml:space="preserve">Therefore, the frailty factor has a lognormal (or gamma) distribution with a median of 1, and all the participants belonging to the same </w:t>
      </w:r>
      <m:oMath>
        <m:r>
          <w:rPr>
            <w:rFonts w:ascii="Cambria Math" w:eastAsiaTheme="minorEastAsia" w:hAnsi="Cambria Math"/>
            <w:noProof/>
            <w:sz w:val="24"/>
            <w:szCs w:val="24"/>
          </w:rPr>
          <m:t>i</m:t>
        </m:r>
      </m:oMath>
      <w:r>
        <w:rPr>
          <w:rFonts w:eastAsiaTheme="minorEastAsia"/>
          <w:noProof/>
          <w:sz w:val="24"/>
          <w:szCs w:val="24"/>
        </w:rPr>
        <w:t xml:space="preserve">th cluster will share the same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oMath>
      <w:r>
        <w:rPr>
          <w:rFonts w:eastAsiaTheme="minorEastAsia"/>
          <w:noProof/>
          <w:sz w:val="24"/>
          <w:szCs w:val="24"/>
        </w:rPr>
        <w:t xml:space="preserve">. Since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oMath>
      <w:r>
        <w:rPr>
          <w:rFonts w:eastAsiaTheme="minorEastAsia"/>
          <w:noProof/>
          <w:sz w:val="24"/>
          <w:szCs w:val="24"/>
        </w:rPr>
        <w:t xml:space="preserve"> is applied as a multiplicative coefficient, if </w:t>
      </w:r>
      <m:oMath>
        <m:sSub>
          <m:sSubPr>
            <m:ctrlPr>
              <w:rPr>
                <w:rFonts w:ascii="Cambria Math" w:eastAsiaTheme="minorEastAsia" w:hAnsi="Cambria Math"/>
                <w:i/>
                <w:noProof/>
                <w:sz w:val="24"/>
                <w:szCs w:val="24"/>
              </w:rPr>
            </m:ctrlPr>
          </m:sSubPr>
          <m:e>
            <m:r>
              <w:rPr>
                <w:rFonts w:ascii="Cambria Math" w:eastAsiaTheme="minorEastAsia" w:hAnsi="Cambria Math"/>
                <w:noProof/>
                <w:sz w:val="24"/>
                <w:szCs w:val="24"/>
              </w:rPr>
              <m:t>u</m:t>
            </m:r>
          </m:e>
          <m:sub>
            <m:r>
              <w:rPr>
                <w:rFonts w:ascii="Cambria Math" w:eastAsiaTheme="minorEastAsia" w:hAnsi="Cambria Math"/>
                <w:noProof/>
                <w:sz w:val="24"/>
                <w:szCs w:val="24"/>
              </w:rPr>
              <m:t>i</m:t>
            </m:r>
          </m:sub>
        </m:sSub>
      </m:oMath>
      <w:r>
        <w:rPr>
          <w:rFonts w:eastAsiaTheme="minorEastAsia"/>
          <w:noProof/>
          <w:sz w:val="24"/>
          <w:szCs w:val="24"/>
        </w:rPr>
        <w:t xml:space="preserve"> is &gt; 1 means that the event of interest will happen at a faster rate, and if it is &lt; 1 at a lower rate. </w:t>
      </w:r>
    </w:p>
    <w:p w:rsidR="00A917FF" w:rsidRDefault="00A917FF" w:rsidP="0052196B">
      <w:pPr>
        <w:pStyle w:val="Sinespaciado"/>
        <w:spacing w:line="480" w:lineRule="auto"/>
        <w:ind w:firstLine="720"/>
        <w:jc w:val="both"/>
        <w:rPr>
          <w:noProof/>
          <w:sz w:val="24"/>
          <w:szCs w:val="24"/>
        </w:rPr>
      </w:pPr>
      <w:r>
        <w:rPr>
          <w:noProof/>
          <w:sz w:val="24"/>
          <w:szCs w:val="24"/>
        </w:rPr>
        <w:t xml:space="preserve">Two-step analysis: This approach refers to calculate study level estimates first and then pool them using fixed or random effects. Since the estimates are calculated separately, it </w:t>
      </w:r>
      <w:r>
        <w:rPr>
          <w:noProof/>
          <w:sz w:val="24"/>
          <w:szCs w:val="24"/>
        </w:rPr>
        <w:lastRenderedPageBreak/>
        <w:t>automatically considers the cluster effect of studies. The calculation of study level estimates are done using standard methods used for multivariable analysis in epidemiology (e.g., multivariable logistic regression or Cox proportional hazards). Then, the studies are combined using a generic inverse variance approach with random effects (DerSimonian and Laird method).</w:t>
      </w:r>
      <w:r>
        <w:rPr>
          <w:noProof/>
          <w:sz w:val="24"/>
          <w:szCs w:val="24"/>
          <w:vertAlign w:val="superscript"/>
        </w:rPr>
        <w:t>13</w:t>
      </w:r>
    </w:p>
    <w:p w:rsidR="00A917FF" w:rsidRDefault="00A917FF" w:rsidP="0052196B">
      <w:pPr>
        <w:pStyle w:val="Sinespaciado"/>
        <w:spacing w:line="480" w:lineRule="auto"/>
        <w:ind w:firstLine="720"/>
        <w:jc w:val="both"/>
        <w:rPr>
          <w:noProof/>
          <w:sz w:val="24"/>
          <w:szCs w:val="24"/>
        </w:rPr>
      </w:pPr>
      <w:r>
        <w:rPr>
          <w:noProof/>
          <w:sz w:val="24"/>
          <w:szCs w:val="24"/>
        </w:rPr>
        <w:t xml:space="preserve">Although some investigators claim that both approaches (one- or two-step) provide similar results, </w:t>
      </w:r>
      <w:r>
        <w:rPr>
          <w:noProof/>
          <w:sz w:val="24"/>
          <w:szCs w:val="24"/>
          <w:vertAlign w:val="superscript"/>
        </w:rPr>
        <w:t>14,15</w:t>
      </w:r>
      <w:r>
        <w:rPr>
          <w:noProof/>
          <w:sz w:val="24"/>
          <w:szCs w:val="24"/>
        </w:rPr>
        <w:t xml:space="preserve"> others described that they may arrive at different conclusions.</w:t>
      </w:r>
      <w:r>
        <w:rPr>
          <w:noProof/>
          <w:sz w:val="24"/>
          <w:szCs w:val="24"/>
          <w:vertAlign w:val="superscript"/>
        </w:rPr>
        <w:t>16</w:t>
      </w:r>
      <w:r>
        <w:rPr>
          <w:noProof/>
          <w:sz w:val="24"/>
          <w:szCs w:val="24"/>
        </w:rPr>
        <w:t xml:space="preserve"> Apparently, both approaches generate similar results when both the number of clusters and participants are high.</w:t>
      </w:r>
      <w:r>
        <w:rPr>
          <w:noProof/>
          <w:sz w:val="24"/>
          <w:szCs w:val="24"/>
          <w:vertAlign w:val="superscript"/>
        </w:rPr>
        <w:t>17</w:t>
      </w:r>
      <w:r>
        <w:rPr>
          <w:noProof/>
          <w:sz w:val="24"/>
          <w:szCs w:val="24"/>
        </w:rPr>
        <w:t xml:space="preserve"> Otherwise, the one-step approach provides advantages over the two-step, such as using the exact binomial distribution, accounts for within-study correlations, more flexibility in the model selection and avoids continuity corrections.</w:t>
      </w:r>
      <w:r>
        <w:rPr>
          <w:noProof/>
          <w:sz w:val="24"/>
          <w:szCs w:val="24"/>
          <w:vertAlign w:val="superscript"/>
        </w:rPr>
        <w:t>16</w:t>
      </w:r>
      <w:r>
        <w:rPr>
          <w:noProof/>
          <w:sz w:val="24"/>
          <w:szCs w:val="24"/>
        </w:rPr>
        <w:t xml:space="preserve"> From the operational point of view, the one-step approach requires dataset merging (which can be extremely laborious) and requires more statistical expertise. On the other hand, the two-step approach does not require database merging and statistical methods are more standard. For these reasons, Stewart et al. concluded that the one-step approach efforts may outweigh the benefits compared to the two-step approach when summarizing evidence from several large studies.</w:t>
      </w:r>
      <w:r>
        <w:rPr>
          <w:noProof/>
          <w:sz w:val="24"/>
          <w:szCs w:val="24"/>
          <w:vertAlign w:val="superscript"/>
        </w:rPr>
        <w:t>17</w:t>
      </w:r>
      <w:r>
        <w:rPr>
          <w:noProof/>
          <w:sz w:val="24"/>
          <w:szCs w:val="24"/>
        </w:rPr>
        <w:t xml:space="preserve"> However, even if several large studies are available, data merging allows exploring non-linear associations. </w:t>
      </w:r>
    </w:p>
    <w:p w:rsidR="00A917FF" w:rsidRDefault="00A917FF" w:rsidP="0052196B">
      <w:pPr>
        <w:pStyle w:val="Sinespaciado"/>
        <w:spacing w:line="480" w:lineRule="auto"/>
        <w:ind w:firstLine="720"/>
        <w:jc w:val="both"/>
        <w:rPr>
          <w:noProof/>
          <w:sz w:val="24"/>
          <w:szCs w:val="24"/>
        </w:rPr>
      </w:pPr>
      <w:r>
        <w:rPr>
          <w:noProof/>
          <w:sz w:val="24"/>
          <w:szCs w:val="24"/>
        </w:rPr>
        <w:t xml:space="preserve">In the next section we present the methods of our individual patient data meta-analysis of 81,553 participants from 8 different ACS randomized controlled trials coordinated and lead at the PHRI. </w:t>
      </w:r>
    </w:p>
    <w:p w:rsidR="00A917FF" w:rsidRDefault="00A917FF" w:rsidP="0052196B">
      <w:pPr>
        <w:pStyle w:val="Sinespaciado"/>
        <w:spacing w:line="480" w:lineRule="auto"/>
        <w:jc w:val="both"/>
        <w:rPr>
          <w:sz w:val="24"/>
          <w:szCs w:val="24"/>
        </w:rPr>
      </w:pPr>
    </w:p>
    <w:p w:rsidR="00A917FF" w:rsidRDefault="00A917FF" w:rsidP="0052196B">
      <w:pPr>
        <w:pStyle w:val="Sinespaciado"/>
        <w:spacing w:line="480" w:lineRule="auto"/>
        <w:jc w:val="both"/>
        <w:rPr>
          <w:b/>
          <w:sz w:val="24"/>
          <w:szCs w:val="24"/>
        </w:rPr>
      </w:pPr>
    </w:p>
    <w:p w:rsidR="00A917FF" w:rsidRDefault="00A917FF" w:rsidP="0052196B">
      <w:pPr>
        <w:pStyle w:val="Sinespaciado"/>
        <w:spacing w:line="480" w:lineRule="auto"/>
        <w:jc w:val="both"/>
        <w:rPr>
          <w:b/>
          <w:sz w:val="24"/>
        </w:rPr>
      </w:pPr>
    </w:p>
    <w:p w:rsidR="00A917FF" w:rsidRDefault="00A917FF" w:rsidP="0052196B">
      <w:pPr>
        <w:pStyle w:val="Sinespaciado"/>
        <w:spacing w:line="480" w:lineRule="auto"/>
        <w:jc w:val="both"/>
        <w:rPr>
          <w:b/>
          <w:sz w:val="24"/>
          <w:szCs w:val="24"/>
        </w:rPr>
      </w:pPr>
      <w:r>
        <w:rPr>
          <w:b/>
          <w:sz w:val="24"/>
          <w:szCs w:val="24"/>
        </w:rPr>
        <w:t>Individual patient data meta-analysis methods</w:t>
      </w:r>
    </w:p>
    <w:p w:rsidR="00A917FF" w:rsidRDefault="00A917FF" w:rsidP="0052196B">
      <w:pPr>
        <w:pStyle w:val="Sinespaciado"/>
        <w:spacing w:line="480" w:lineRule="auto"/>
        <w:jc w:val="both"/>
        <w:rPr>
          <w:b/>
          <w:sz w:val="24"/>
          <w:szCs w:val="24"/>
        </w:rPr>
      </w:pPr>
      <w:r>
        <w:rPr>
          <w:b/>
          <w:sz w:val="24"/>
          <w:szCs w:val="24"/>
        </w:rPr>
        <w:t xml:space="preserve">Population and studies characteristics </w:t>
      </w:r>
    </w:p>
    <w:p w:rsidR="00A917FF" w:rsidRDefault="00A917FF" w:rsidP="0052196B">
      <w:pPr>
        <w:pStyle w:val="Sinespaciado"/>
        <w:spacing w:line="480" w:lineRule="auto"/>
        <w:ind w:firstLine="720"/>
        <w:jc w:val="both"/>
        <w:rPr>
          <w:sz w:val="24"/>
          <w:szCs w:val="24"/>
        </w:rPr>
      </w:pPr>
      <w:r>
        <w:rPr>
          <w:sz w:val="24"/>
          <w:szCs w:val="24"/>
        </w:rPr>
        <w:t xml:space="preserve">The population of interest is adults (&gt; 18 years old) that have suffered an ACS requiring admission to hospital (UA, NSTEMI or STEMI). </w:t>
      </w:r>
      <w:r>
        <w:rPr>
          <w:noProof/>
          <w:sz w:val="24"/>
          <w:szCs w:val="24"/>
        </w:rPr>
        <w:t>The PHRI coordinated 9 large-scale ACS randomized trials from 1998 to present.</w:t>
      </w:r>
      <w:r>
        <w:rPr>
          <w:sz w:val="24"/>
          <w:szCs w:val="24"/>
        </w:rPr>
        <w:t xml:space="preserve"> All of them measured weight and height, </w:t>
      </w:r>
      <w:r>
        <w:rPr>
          <w:noProof/>
          <w:sz w:val="24"/>
          <w:szCs w:val="24"/>
        </w:rPr>
        <w:t>except</w:t>
      </w:r>
      <w:r>
        <w:rPr>
          <w:sz w:val="24"/>
          <w:szCs w:val="24"/>
        </w:rPr>
        <w:t xml:space="preserve"> </w:t>
      </w:r>
      <w:r>
        <w:rPr>
          <w:noProof/>
          <w:sz w:val="24"/>
          <w:szCs w:val="24"/>
        </w:rPr>
        <w:t>CREATE-ECLA</w:t>
      </w:r>
      <w:r>
        <w:rPr>
          <w:sz w:val="24"/>
          <w:szCs w:val="24"/>
        </w:rPr>
        <w:t xml:space="preserve"> (which </w:t>
      </w:r>
      <w:r>
        <w:rPr>
          <w:noProof/>
          <w:sz w:val="24"/>
          <w:szCs w:val="24"/>
        </w:rPr>
        <w:t>was excluded</w:t>
      </w:r>
      <w:r>
        <w:rPr>
          <w:sz w:val="24"/>
          <w:szCs w:val="24"/>
        </w:rPr>
        <w:t xml:space="preserve"> from the analysis). Details of the included studies </w:t>
      </w:r>
      <w:r>
        <w:rPr>
          <w:noProof/>
          <w:sz w:val="24"/>
          <w:szCs w:val="24"/>
        </w:rPr>
        <w:t>are detailed</w:t>
      </w:r>
      <w:r>
        <w:rPr>
          <w:sz w:val="24"/>
          <w:szCs w:val="24"/>
        </w:rPr>
        <w:t xml:space="preserve"> </w:t>
      </w:r>
      <w:r>
        <w:rPr>
          <w:noProof/>
          <w:sz w:val="24"/>
          <w:szCs w:val="24"/>
        </w:rPr>
        <w:t>in</w:t>
      </w:r>
      <w:r>
        <w:rPr>
          <w:sz w:val="24"/>
          <w:szCs w:val="24"/>
        </w:rPr>
        <w:t xml:space="preserve"> Table 1. </w:t>
      </w:r>
      <w:r>
        <w:rPr>
          <w:noProof/>
          <w:sz w:val="24"/>
          <w:szCs w:val="24"/>
        </w:rPr>
        <w:t>Two studies started as a sub-study: TIMACS as a sub-study of OASIS 5, sharing a total of 1,633 (54%) participants; and RIVAL as a sub-study of OASIS 7, sharing a total of 3,831(55%) participants.</w:t>
      </w:r>
      <w:r>
        <w:rPr>
          <w:sz w:val="24"/>
          <w:szCs w:val="24"/>
        </w:rPr>
        <w:t xml:space="preserve"> From this point forward, all the participants that shared two studies </w:t>
      </w:r>
      <w:r>
        <w:rPr>
          <w:noProof/>
          <w:sz w:val="24"/>
          <w:szCs w:val="24"/>
        </w:rPr>
        <w:t xml:space="preserve">are </w:t>
      </w:r>
      <w:r>
        <w:rPr>
          <w:sz w:val="24"/>
          <w:szCs w:val="24"/>
        </w:rPr>
        <w:t xml:space="preserve">considered belonging to the “mother” trial (OASIS5 or OASIS 7). TOTAL is the only ongoing study, which already analyzed and published the 6 months results and is currently finishing the </w:t>
      </w:r>
      <w:r>
        <w:rPr>
          <w:noProof/>
          <w:sz w:val="24"/>
          <w:szCs w:val="24"/>
        </w:rPr>
        <w:t>12-month</w:t>
      </w:r>
      <w:r>
        <w:rPr>
          <w:sz w:val="24"/>
          <w:szCs w:val="24"/>
        </w:rPr>
        <w:t xml:space="preserve"> follow-up. The data from all the studies </w:t>
      </w:r>
      <w:r>
        <w:rPr>
          <w:noProof/>
          <w:sz w:val="24"/>
          <w:szCs w:val="24"/>
        </w:rPr>
        <w:t>are stored</w:t>
      </w:r>
      <w:r>
        <w:rPr>
          <w:sz w:val="24"/>
          <w:szCs w:val="24"/>
        </w:rPr>
        <w:t xml:space="preserve"> </w:t>
      </w:r>
      <w:r>
        <w:rPr>
          <w:noProof/>
          <w:sz w:val="24"/>
          <w:szCs w:val="24"/>
        </w:rPr>
        <w:t>in</w:t>
      </w:r>
      <w:r>
        <w:rPr>
          <w:sz w:val="24"/>
          <w:szCs w:val="24"/>
        </w:rPr>
        <w:t xml:space="preserve"> a secure server at the PHRI </w:t>
      </w:r>
      <w:r>
        <w:rPr>
          <w:noProof/>
          <w:sz w:val="24"/>
          <w:szCs w:val="24"/>
        </w:rPr>
        <w:t>in</w:t>
      </w:r>
      <w:r>
        <w:rPr>
          <w:sz w:val="24"/>
          <w:szCs w:val="24"/>
        </w:rPr>
        <w:t xml:space="preserve"> SAS</w:t>
      </w:r>
      <w:r>
        <w:rPr>
          <w:rFonts w:ascii="Times New Roman" w:hAnsi="Times New Roman" w:cs="Times New Roman"/>
          <w:sz w:val="24"/>
          <w:szCs w:val="24"/>
          <w:vertAlign w:val="superscript"/>
        </w:rPr>
        <w:t>®</w:t>
      </w:r>
      <w:r>
        <w:rPr>
          <w:sz w:val="24"/>
          <w:szCs w:val="24"/>
        </w:rPr>
        <w:t xml:space="preserve"> format, in which each case report form has a single SAS</w:t>
      </w:r>
      <w:r>
        <w:rPr>
          <w:rFonts w:ascii="Times New Roman" w:hAnsi="Times New Roman" w:cs="Times New Roman"/>
          <w:sz w:val="24"/>
          <w:szCs w:val="24"/>
          <w:vertAlign w:val="superscript"/>
        </w:rPr>
        <w:t>®</w:t>
      </w:r>
      <w:r>
        <w:rPr>
          <w:sz w:val="24"/>
          <w:szCs w:val="24"/>
        </w:rPr>
        <w:t xml:space="preserve"> file. D</w:t>
      </w:r>
      <w:r>
        <w:rPr>
          <w:noProof/>
          <w:sz w:val="24"/>
          <w:szCs w:val="24"/>
        </w:rPr>
        <w:t>ata dictionaries and the variables included in it were available in all the studies.</w:t>
      </w:r>
    </w:p>
    <w:p w:rsidR="00A917FF" w:rsidRDefault="00A917FF" w:rsidP="0052196B">
      <w:pPr>
        <w:pStyle w:val="Sinespaciado"/>
        <w:spacing w:line="480" w:lineRule="auto"/>
        <w:ind w:firstLine="720"/>
        <w:jc w:val="both"/>
        <w:rPr>
          <w:sz w:val="24"/>
          <w:szCs w:val="24"/>
        </w:rPr>
      </w:pPr>
      <w:r>
        <w:rPr>
          <w:sz w:val="24"/>
          <w:szCs w:val="24"/>
        </w:rPr>
        <w:t xml:space="preserve">All the included participants had an ACS diagnosis on admission, including UA, </w:t>
      </w:r>
      <w:r>
        <w:rPr>
          <w:noProof/>
          <w:sz w:val="24"/>
          <w:szCs w:val="24"/>
        </w:rPr>
        <w:t>NSTEMI</w:t>
      </w:r>
      <w:r>
        <w:rPr>
          <w:sz w:val="24"/>
          <w:szCs w:val="24"/>
        </w:rPr>
        <w:t xml:space="preserve"> and STEMI. In general, those without </w:t>
      </w:r>
      <w:r>
        <w:rPr>
          <w:noProof/>
          <w:sz w:val="24"/>
          <w:szCs w:val="24"/>
        </w:rPr>
        <w:t>ST-segment</w:t>
      </w:r>
      <w:r>
        <w:rPr>
          <w:sz w:val="24"/>
          <w:szCs w:val="24"/>
        </w:rPr>
        <w:t xml:space="preserve"> elevation required other </w:t>
      </w:r>
      <w:r>
        <w:rPr>
          <w:noProof/>
          <w:sz w:val="24"/>
          <w:szCs w:val="24"/>
        </w:rPr>
        <w:t>high-risk</w:t>
      </w:r>
      <w:r>
        <w:rPr>
          <w:sz w:val="24"/>
          <w:szCs w:val="24"/>
        </w:rPr>
        <w:t xml:space="preserve"> markers, such as increased age, ischemic ECG changes or elevated biomarkers (Table S1). The exclusion criteria varied across studies. The OASIS trials systematically excluded patients at high risk of bleeding. The TOTAL study excluded patients with previous CABG surgery and RIVAL excluded those with prior CABG and a left internal mammary artery graft. The interventions delivered in a random fashion also were different across studies. The OASIS trials randomized interventions </w:t>
      </w:r>
      <w:r>
        <w:rPr>
          <w:sz w:val="24"/>
          <w:szCs w:val="24"/>
        </w:rPr>
        <w:lastRenderedPageBreak/>
        <w:t xml:space="preserve">related to antiplatelet or anticoagulation </w:t>
      </w:r>
      <w:r>
        <w:rPr>
          <w:noProof/>
          <w:sz w:val="24"/>
          <w:szCs w:val="24"/>
        </w:rPr>
        <w:t>therapy</w:t>
      </w:r>
      <w:r>
        <w:rPr>
          <w:sz w:val="24"/>
          <w:szCs w:val="24"/>
        </w:rPr>
        <w:t xml:space="preserve"> while the remaining three studies focused on different interventional cardiology therapeutic and diagnostic strategies. The follow-up duration ranged from 30 days to 12 months. </w:t>
      </w:r>
    </w:p>
    <w:p w:rsidR="00A917FF" w:rsidRDefault="00A917FF" w:rsidP="0052196B">
      <w:pPr>
        <w:pStyle w:val="Sinespaciado"/>
        <w:spacing w:line="480" w:lineRule="auto"/>
        <w:ind w:firstLine="720"/>
        <w:jc w:val="both"/>
        <w:rPr>
          <w:sz w:val="24"/>
          <w:szCs w:val="24"/>
        </w:rPr>
      </w:pPr>
      <w:r>
        <w:rPr>
          <w:sz w:val="24"/>
          <w:szCs w:val="24"/>
        </w:rPr>
        <w:t>Patient with</w:t>
      </w:r>
      <w:r>
        <w:rPr>
          <w:noProof/>
          <w:sz w:val="24"/>
          <w:szCs w:val="24"/>
        </w:rPr>
        <w:t xml:space="preserve"> implausible weight (</w:t>
      </w:r>
      <w:r>
        <w:rPr>
          <w:noProof/>
          <w:sz w:val="24"/>
          <w:szCs w:val="24"/>
          <w:lang w:val="en-CA"/>
        </w:rPr>
        <w:t xml:space="preserve">&lt; </w:t>
      </w:r>
      <w:r>
        <w:rPr>
          <w:noProof/>
          <w:sz w:val="24"/>
          <w:szCs w:val="24"/>
        </w:rPr>
        <w:t xml:space="preserve">30 kg or &gt; 250 kg) or height (&lt; 1.25 meters or &gt; 2.40 meters) values were excluded, as well as </w:t>
      </w:r>
      <w:r>
        <w:rPr>
          <w:sz w:val="24"/>
          <w:szCs w:val="24"/>
        </w:rPr>
        <w:t>participants with implausible BMI values (&lt; 10 kg/m</w:t>
      </w:r>
      <w:r>
        <w:rPr>
          <w:sz w:val="24"/>
          <w:szCs w:val="24"/>
          <w:vertAlign w:val="superscript"/>
        </w:rPr>
        <w:t>2</w:t>
      </w:r>
      <w:r>
        <w:rPr>
          <w:sz w:val="24"/>
          <w:szCs w:val="24"/>
        </w:rPr>
        <w:t xml:space="preserve"> or &gt; 80 kg/m</w:t>
      </w:r>
      <w:r>
        <w:rPr>
          <w:sz w:val="24"/>
          <w:szCs w:val="24"/>
          <w:vertAlign w:val="superscript"/>
        </w:rPr>
        <w:t>2</w:t>
      </w:r>
      <w:r>
        <w:rPr>
          <w:sz w:val="24"/>
          <w:szCs w:val="24"/>
        </w:rPr>
        <w:t xml:space="preserve">). All the studies checked diagnosis at hospital discharge and only participants with </w:t>
      </w:r>
      <w:r>
        <w:rPr>
          <w:noProof/>
          <w:sz w:val="24"/>
          <w:szCs w:val="24"/>
        </w:rPr>
        <w:t>discharge</w:t>
      </w:r>
      <w:r>
        <w:rPr>
          <w:sz w:val="24"/>
          <w:szCs w:val="24"/>
        </w:rPr>
        <w:t xml:space="preserve"> diagnosis of UA, NSTEMI or STEMI were included in the analysis. </w:t>
      </w:r>
    </w:p>
    <w:p w:rsidR="00A917FF" w:rsidRDefault="00A917FF" w:rsidP="0052196B">
      <w:pPr>
        <w:pStyle w:val="Sinespaciado"/>
        <w:spacing w:line="480" w:lineRule="auto"/>
        <w:jc w:val="both"/>
        <w:rPr>
          <w:sz w:val="24"/>
          <w:szCs w:val="24"/>
        </w:rPr>
      </w:pPr>
    </w:p>
    <w:p w:rsidR="00A917FF" w:rsidRDefault="00A917FF" w:rsidP="0052196B">
      <w:pPr>
        <w:pStyle w:val="Sinespaciado"/>
        <w:spacing w:line="480" w:lineRule="auto"/>
        <w:jc w:val="both"/>
        <w:rPr>
          <w:b/>
          <w:sz w:val="24"/>
          <w:szCs w:val="24"/>
        </w:rPr>
      </w:pPr>
      <w:r>
        <w:rPr>
          <w:b/>
          <w:sz w:val="24"/>
          <w:szCs w:val="24"/>
        </w:rPr>
        <w:t>Exposure considerations</w:t>
      </w:r>
    </w:p>
    <w:p w:rsidR="00A917FF" w:rsidRDefault="00A917FF" w:rsidP="0052196B">
      <w:pPr>
        <w:pStyle w:val="Sinespaciado"/>
        <w:spacing w:line="480" w:lineRule="auto"/>
        <w:ind w:firstLine="720"/>
        <w:jc w:val="both"/>
        <w:rPr>
          <w:sz w:val="24"/>
          <w:szCs w:val="24"/>
        </w:rPr>
      </w:pPr>
      <w:r>
        <w:rPr>
          <w:sz w:val="24"/>
          <w:szCs w:val="24"/>
        </w:rPr>
        <w:t xml:space="preserve">The exposure of interest (BMI) was calculated using the </w:t>
      </w:r>
      <w:proofErr w:type="spellStart"/>
      <w:r>
        <w:rPr>
          <w:sz w:val="24"/>
          <w:szCs w:val="24"/>
        </w:rPr>
        <w:t>Quetelet</w:t>
      </w:r>
      <w:proofErr w:type="spellEnd"/>
      <w:r>
        <w:rPr>
          <w:sz w:val="24"/>
          <w:szCs w:val="24"/>
        </w:rPr>
        <w:t xml:space="preserve"> formula: weight in kilograms divided by height in meters.</w:t>
      </w:r>
      <w:r>
        <w:rPr>
          <w:noProof/>
          <w:sz w:val="24"/>
          <w:szCs w:val="24"/>
          <w:vertAlign w:val="superscript"/>
        </w:rPr>
        <w:t>18</w:t>
      </w:r>
      <w:r>
        <w:rPr>
          <w:sz w:val="24"/>
          <w:szCs w:val="24"/>
        </w:rPr>
        <w:t xml:space="preserve"> </w:t>
      </w:r>
      <w:r>
        <w:rPr>
          <w:noProof/>
          <w:sz w:val="24"/>
          <w:szCs w:val="24"/>
        </w:rPr>
        <w:t>BMI was categorized using the following cut-off points: underweight &lt;18.50, normal range 18.5 - 24.9, overweight 25.0 - 29.9, obese class I 30.0 - 34.9, obese class II 35.00 - 39.9, and obese class III ≥40.0.</w:t>
      </w:r>
      <w:r>
        <w:rPr>
          <w:noProof/>
          <w:sz w:val="24"/>
          <w:szCs w:val="24"/>
          <w:vertAlign w:val="superscript"/>
        </w:rPr>
        <w:t>19</w:t>
      </w:r>
      <w:r>
        <w:rPr>
          <w:sz w:val="24"/>
          <w:szCs w:val="24"/>
        </w:rPr>
        <w:t xml:space="preserve"> </w:t>
      </w:r>
    </w:p>
    <w:p w:rsidR="00A917FF" w:rsidRDefault="00A917FF" w:rsidP="0052196B">
      <w:pPr>
        <w:pStyle w:val="Sinespaciado"/>
        <w:spacing w:line="480" w:lineRule="auto"/>
        <w:ind w:firstLine="720"/>
        <w:jc w:val="both"/>
        <w:rPr>
          <w:sz w:val="24"/>
          <w:szCs w:val="24"/>
        </w:rPr>
      </w:pPr>
      <w:r>
        <w:rPr>
          <w:sz w:val="24"/>
          <w:szCs w:val="24"/>
        </w:rPr>
        <w:t>Before variables were abstracted, an analytic framework of the association between BMI and mortality was created after a literature review (</w:t>
      </w:r>
      <w:r>
        <w:rPr>
          <w:noProof/>
          <w:sz w:val="24"/>
          <w:szCs w:val="24"/>
        </w:rPr>
        <w:t>Figure</w:t>
      </w:r>
      <w:r>
        <w:rPr>
          <w:sz w:val="24"/>
          <w:szCs w:val="24"/>
        </w:rPr>
        <w:t xml:space="preserve"> 1). Analytic frameworks help to conceptualize theoretical associations between variables and the effect of interest, providing guidance of which ones should </w:t>
      </w:r>
      <w:r>
        <w:rPr>
          <w:noProof/>
          <w:sz w:val="24"/>
          <w:szCs w:val="24"/>
        </w:rPr>
        <w:t>be considered</w:t>
      </w:r>
      <w:r>
        <w:rPr>
          <w:sz w:val="24"/>
          <w:szCs w:val="24"/>
        </w:rPr>
        <w:t xml:space="preserve"> for the analysis. Since extracting and merging all the measured variables from all the studies may be unnecessary and time-consuming, a limited set of variables </w:t>
      </w:r>
      <w:r>
        <w:rPr>
          <w:noProof/>
          <w:sz w:val="24"/>
          <w:szCs w:val="24"/>
        </w:rPr>
        <w:t>were considered</w:t>
      </w:r>
      <w:r>
        <w:rPr>
          <w:sz w:val="24"/>
          <w:szCs w:val="24"/>
        </w:rPr>
        <w:t xml:space="preserve"> for merging. The first angiogram and a maximum of 3 PCIs were abstracted per patient. Angiographic data included </w:t>
      </w:r>
      <w:r>
        <w:rPr>
          <w:noProof/>
          <w:sz w:val="24"/>
          <w:szCs w:val="24"/>
        </w:rPr>
        <w:t>date</w:t>
      </w:r>
      <w:r>
        <w:rPr>
          <w:sz w:val="24"/>
          <w:szCs w:val="24"/>
        </w:rPr>
        <w:t xml:space="preserve">, access site and coronary anatomy. Access site, treated vessel, treated lesion (with </w:t>
      </w:r>
      <w:r>
        <w:rPr>
          <w:noProof/>
          <w:sz w:val="24"/>
          <w:szCs w:val="24"/>
        </w:rPr>
        <w:t>exception</w:t>
      </w:r>
      <w:r>
        <w:rPr>
          <w:sz w:val="24"/>
          <w:szCs w:val="24"/>
        </w:rPr>
        <w:t xml:space="preserve"> of OASIS 4) and procedural </w:t>
      </w:r>
      <w:r>
        <w:rPr>
          <w:sz w:val="24"/>
          <w:szCs w:val="24"/>
        </w:rPr>
        <w:lastRenderedPageBreak/>
        <w:t xml:space="preserve">success </w:t>
      </w:r>
      <w:r>
        <w:rPr>
          <w:noProof/>
          <w:sz w:val="24"/>
          <w:szCs w:val="24"/>
        </w:rPr>
        <w:t>were recorded</w:t>
      </w:r>
      <w:r>
        <w:rPr>
          <w:sz w:val="24"/>
          <w:szCs w:val="24"/>
        </w:rPr>
        <w:t xml:space="preserve"> from each PCI. Creatinine clearance was estimated using the CKD-EPI equation.</w:t>
      </w:r>
      <w:r>
        <w:rPr>
          <w:noProof/>
          <w:sz w:val="24"/>
          <w:szCs w:val="24"/>
          <w:vertAlign w:val="superscript"/>
        </w:rPr>
        <w:t>20,21</w:t>
      </w:r>
      <w:r>
        <w:rPr>
          <w:sz w:val="24"/>
          <w:szCs w:val="24"/>
        </w:rPr>
        <w:t xml:space="preserve"> </w:t>
      </w:r>
    </w:p>
    <w:p w:rsidR="00A917FF" w:rsidRDefault="00A917FF" w:rsidP="0052196B">
      <w:pPr>
        <w:pStyle w:val="Sinespaciado"/>
        <w:spacing w:line="480" w:lineRule="auto"/>
        <w:ind w:firstLine="720"/>
        <w:jc w:val="both"/>
        <w:rPr>
          <w:sz w:val="24"/>
          <w:szCs w:val="24"/>
        </w:rPr>
      </w:pPr>
      <w:r>
        <w:rPr>
          <w:sz w:val="24"/>
          <w:szCs w:val="24"/>
        </w:rPr>
        <w:t xml:space="preserve">Some important variables </w:t>
      </w:r>
      <w:r>
        <w:rPr>
          <w:noProof/>
          <w:sz w:val="24"/>
          <w:szCs w:val="24"/>
        </w:rPr>
        <w:t>were not consistently measured</w:t>
      </w:r>
      <w:r>
        <w:rPr>
          <w:sz w:val="24"/>
          <w:szCs w:val="24"/>
        </w:rPr>
        <w:t xml:space="preserve"> in dedicated </w:t>
      </w:r>
      <w:r>
        <w:rPr>
          <w:noProof/>
          <w:sz w:val="24"/>
          <w:szCs w:val="24"/>
        </w:rPr>
        <w:t>fields,</w:t>
      </w:r>
      <w:r>
        <w:rPr>
          <w:sz w:val="24"/>
          <w:szCs w:val="24"/>
        </w:rPr>
        <w:t xml:space="preserve"> but they were included in “other conditions” at baseline </w:t>
      </w:r>
      <w:r>
        <w:rPr>
          <w:noProof/>
          <w:sz w:val="24"/>
          <w:szCs w:val="24"/>
        </w:rPr>
        <w:t>in</w:t>
      </w:r>
      <w:r>
        <w:rPr>
          <w:sz w:val="24"/>
          <w:szCs w:val="24"/>
        </w:rPr>
        <w:t xml:space="preserve"> text fields. This was the case for previous cancer, previous heart failure and hyperlipidemia in some studies. </w:t>
      </w:r>
      <w:r>
        <w:rPr>
          <w:noProof/>
          <w:sz w:val="24"/>
          <w:szCs w:val="24"/>
        </w:rPr>
        <w:t>To get information from text fields</w:t>
      </w:r>
      <w:r>
        <w:rPr>
          <w:sz w:val="24"/>
          <w:szCs w:val="24"/>
        </w:rPr>
        <w:t>, a “find” Excel</w:t>
      </w:r>
      <w:r>
        <w:rPr>
          <w:rFonts w:ascii="Times New Roman" w:hAnsi="Times New Roman" w:cs="Times New Roman"/>
          <w:sz w:val="24"/>
          <w:szCs w:val="24"/>
          <w:vertAlign w:val="superscript"/>
        </w:rPr>
        <w:t>®</w:t>
      </w:r>
      <w:r>
        <w:rPr>
          <w:sz w:val="24"/>
          <w:szCs w:val="24"/>
        </w:rPr>
        <w:t xml:space="preserve"> procedure using several keywords was utilized. Other categorical and continuous variables with implausible values were imputed missing data. A threshold of 0.2% of missing data in any variable included in primary or secondary multivariable models </w:t>
      </w:r>
      <w:r>
        <w:rPr>
          <w:noProof/>
          <w:sz w:val="24"/>
          <w:szCs w:val="24"/>
        </w:rPr>
        <w:t>was</w:t>
      </w:r>
      <w:r>
        <w:rPr>
          <w:sz w:val="24"/>
          <w:szCs w:val="24"/>
        </w:rPr>
        <w:t xml:space="preserve"> imputed using multiple </w:t>
      </w:r>
      <w:r>
        <w:rPr>
          <w:noProof/>
          <w:sz w:val="24"/>
          <w:szCs w:val="24"/>
        </w:rPr>
        <w:t>imputation</w:t>
      </w:r>
      <w:r>
        <w:rPr>
          <w:sz w:val="24"/>
          <w:szCs w:val="24"/>
        </w:rPr>
        <w:t xml:space="preserve">. Missing values pattern </w:t>
      </w:r>
      <w:r>
        <w:rPr>
          <w:noProof/>
          <w:sz w:val="24"/>
          <w:szCs w:val="24"/>
        </w:rPr>
        <w:t>were assessed</w:t>
      </w:r>
      <w:r>
        <w:rPr>
          <w:sz w:val="24"/>
          <w:szCs w:val="24"/>
        </w:rPr>
        <w:t xml:space="preserve"> through missing values pattern charts </w:t>
      </w:r>
      <w:r>
        <w:rPr>
          <w:noProof/>
          <w:sz w:val="24"/>
          <w:szCs w:val="24"/>
        </w:rPr>
        <w:t>in order to</w:t>
      </w:r>
      <w:r>
        <w:rPr>
          <w:sz w:val="24"/>
          <w:szCs w:val="24"/>
        </w:rPr>
        <w:t xml:space="preserve"> select the imputation method.    </w:t>
      </w:r>
    </w:p>
    <w:p w:rsidR="00A917FF" w:rsidRDefault="00A917FF" w:rsidP="0052196B">
      <w:pPr>
        <w:pStyle w:val="Sinespaciado"/>
        <w:spacing w:line="480" w:lineRule="auto"/>
        <w:ind w:firstLine="720"/>
        <w:jc w:val="both"/>
        <w:rPr>
          <w:sz w:val="24"/>
          <w:szCs w:val="24"/>
        </w:rPr>
      </w:pPr>
    </w:p>
    <w:p w:rsidR="00A917FF" w:rsidRDefault="00A917FF" w:rsidP="0052196B">
      <w:pPr>
        <w:pStyle w:val="Sinespaciado"/>
        <w:spacing w:line="480" w:lineRule="auto"/>
        <w:jc w:val="both"/>
        <w:rPr>
          <w:b/>
          <w:sz w:val="24"/>
          <w:szCs w:val="24"/>
        </w:rPr>
      </w:pPr>
      <w:r>
        <w:rPr>
          <w:b/>
          <w:sz w:val="24"/>
          <w:szCs w:val="24"/>
        </w:rPr>
        <w:t>Outcomes</w:t>
      </w:r>
    </w:p>
    <w:p w:rsidR="00A917FF" w:rsidRDefault="00A917FF" w:rsidP="0052196B">
      <w:pPr>
        <w:pStyle w:val="Sinespaciado"/>
        <w:spacing w:line="480" w:lineRule="auto"/>
        <w:ind w:firstLine="720"/>
        <w:jc w:val="both"/>
        <w:rPr>
          <w:sz w:val="24"/>
          <w:szCs w:val="24"/>
        </w:rPr>
      </w:pPr>
      <w:r>
        <w:rPr>
          <w:sz w:val="24"/>
          <w:szCs w:val="24"/>
        </w:rPr>
        <w:t xml:space="preserve">The primary outcome was all-cause mortality. Secondary outcomes </w:t>
      </w:r>
      <w:r>
        <w:rPr>
          <w:noProof/>
          <w:sz w:val="24"/>
          <w:szCs w:val="24"/>
        </w:rPr>
        <w:t>were designated</w:t>
      </w:r>
      <w:r>
        <w:rPr>
          <w:sz w:val="24"/>
          <w:szCs w:val="24"/>
        </w:rPr>
        <w:t xml:space="preserve"> according to the previously mentioned potential mechanisms of the “obesity paradox”, such as reduced heart failure related mortality, improved revascularization outcomes and bleeding risk. </w:t>
      </w:r>
      <w:r>
        <w:rPr>
          <w:noProof/>
          <w:sz w:val="24"/>
          <w:szCs w:val="24"/>
        </w:rPr>
        <w:t>As a result, the selected secondary outcomes were: cardiovascular mortality, heart failure hospitalization, heart failure related death, myocardial infarction (or reinfarction in case of STEMI or NSTEMI as index presentation), refractory angina, target vessel revascularization (TVR), target lesion revascularization (TLR), stent thrombosis,  stroke, major bleeding, and major or minor bleeding.</w:t>
      </w:r>
      <w:r>
        <w:rPr>
          <w:sz w:val="24"/>
          <w:szCs w:val="24"/>
        </w:rPr>
        <w:t xml:space="preserve"> </w:t>
      </w:r>
    </w:p>
    <w:p w:rsidR="00A917FF" w:rsidRDefault="00A917FF" w:rsidP="0052196B">
      <w:pPr>
        <w:pStyle w:val="Sinespaciado"/>
        <w:spacing w:line="480" w:lineRule="auto"/>
        <w:ind w:firstLine="720"/>
        <w:jc w:val="both"/>
        <w:rPr>
          <w:sz w:val="24"/>
          <w:szCs w:val="24"/>
        </w:rPr>
      </w:pPr>
      <w:r>
        <w:rPr>
          <w:sz w:val="24"/>
          <w:szCs w:val="24"/>
        </w:rPr>
        <w:t>With the exceptions of heart failure hospitalization and heart failure related death</w:t>
      </w:r>
      <w:r>
        <w:rPr>
          <w:noProof/>
          <w:sz w:val="24"/>
          <w:szCs w:val="24"/>
        </w:rPr>
        <w:t xml:space="preserve">, all the outcomes were centrally adjudicated by an independent committee as part of the original </w:t>
      </w:r>
      <w:r>
        <w:rPr>
          <w:noProof/>
          <w:sz w:val="24"/>
          <w:szCs w:val="24"/>
        </w:rPr>
        <w:lastRenderedPageBreak/>
        <w:t>RCTs (see published protocols for definitions and details)</w:t>
      </w:r>
      <w:r>
        <w:rPr>
          <w:sz w:val="24"/>
          <w:szCs w:val="24"/>
        </w:rPr>
        <w:t xml:space="preserve">. TVR </w:t>
      </w:r>
      <w:r>
        <w:rPr>
          <w:noProof/>
          <w:sz w:val="24"/>
          <w:szCs w:val="24"/>
        </w:rPr>
        <w:t>was defined</w:t>
      </w:r>
      <w:r>
        <w:rPr>
          <w:sz w:val="24"/>
          <w:szCs w:val="24"/>
        </w:rPr>
        <w:t xml:space="preserve"> as a PCI of a stented vessel or graft in the first PCI, and TLR as the same </w:t>
      </w:r>
      <w:r>
        <w:rPr>
          <w:noProof/>
          <w:sz w:val="24"/>
          <w:szCs w:val="24"/>
        </w:rPr>
        <w:t>vessel</w:t>
      </w:r>
      <w:r>
        <w:rPr>
          <w:sz w:val="24"/>
          <w:szCs w:val="24"/>
        </w:rPr>
        <w:t xml:space="preserve"> or graft segment.</w:t>
      </w:r>
      <w:r>
        <w:rPr>
          <w:noProof/>
          <w:sz w:val="24"/>
          <w:szCs w:val="24"/>
        </w:rPr>
        <w:t xml:space="preserve"> Participants with PCI as the first revascularization procedure that received CABG surgery during follow-up, were imputed as a TVR or TLR event. As a result, TVR and TLR secondary outcomes are presented as TVR or CABG and TLR or CABG, respectively. Follow-up was performed by face-to-face visits and telephone contact</w:t>
      </w:r>
      <w:r>
        <w:rPr>
          <w:sz w:val="24"/>
          <w:szCs w:val="24"/>
        </w:rPr>
        <w:t xml:space="preserve">. Patients were censored the death date or the last follow-up visit date. </w:t>
      </w:r>
    </w:p>
    <w:p w:rsidR="00A917FF" w:rsidRDefault="00A917FF" w:rsidP="0052196B">
      <w:pPr>
        <w:pStyle w:val="Sinespaciado"/>
        <w:spacing w:line="480" w:lineRule="auto"/>
        <w:ind w:firstLine="720"/>
        <w:jc w:val="both"/>
        <w:rPr>
          <w:sz w:val="24"/>
          <w:szCs w:val="24"/>
        </w:rPr>
      </w:pPr>
    </w:p>
    <w:p w:rsidR="00A917FF" w:rsidRDefault="00A917FF" w:rsidP="0052196B">
      <w:pPr>
        <w:pStyle w:val="Sinespaciado"/>
        <w:spacing w:line="480" w:lineRule="auto"/>
        <w:ind w:firstLine="720"/>
        <w:jc w:val="both"/>
        <w:rPr>
          <w:sz w:val="24"/>
          <w:szCs w:val="24"/>
        </w:rPr>
      </w:pPr>
    </w:p>
    <w:p w:rsidR="00A917FF" w:rsidRDefault="00A917FF" w:rsidP="0052196B">
      <w:pPr>
        <w:pStyle w:val="Sinespaciado"/>
        <w:spacing w:line="480" w:lineRule="auto"/>
        <w:jc w:val="both"/>
        <w:rPr>
          <w:b/>
          <w:sz w:val="24"/>
          <w:szCs w:val="24"/>
        </w:rPr>
      </w:pPr>
      <w:r>
        <w:rPr>
          <w:b/>
          <w:sz w:val="24"/>
          <w:szCs w:val="24"/>
        </w:rPr>
        <w:t>Statistical analysis</w:t>
      </w:r>
    </w:p>
    <w:p w:rsidR="00A917FF" w:rsidRDefault="00A917FF" w:rsidP="0052196B">
      <w:pPr>
        <w:pStyle w:val="Sinespaciado"/>
        <w:spacing w:line="480" w:lineRule="auto"/>
        <w:ind w:firstLine="720"/>
        <w:jc w:val="both"/>
        <w:rPr>
          <w:sz w:val="24"/>
          <w:szCs w:val="24"/>
        </w:rPr>
      </w:pPr>
      <w:r>
        <w:rPr>
          <w:sz w:val="24"/>
          <w:szCs w:val="24"/>
        </w:rPr>
        <w:t xml:space="preserve">Exploratory </w:t>
      </w:r>
      <w:r>
        <w:rPr>
          <w:noProof/>
          <w:sz w:val="24"/>
          <w:szCs w:val="24"/>
        </w:rPr>
        <w:t>analyzes</w:t>
      </w:r>
      <w:r>
        <w:rPr>
          <w:sz w:val="24"/>
          <w:szCs w:val="24"/>
        </w:rPr>
        <w:t xml:space="preserve"> of the association between baseline </w:t>
      </w:r>
      <w:r>
        <w:rPr>
          <w:noProof/>
          <w:sz w:val="24"/>
          <w:szCs w:val="24"/>
        </w:rPr>
        <w:t>characteristics and</w:t>
      </w:r>
      <w:r>
        <w:rPr>
          <w:sz w:val="24"/>
          <w:szCs w:val="24"/>
        </w:rPr>
        <w:t xml:space="preserve"> BMI </w:t>
      </w:r>
      <w:r>
        <w:rPr>
          <w:noProof/>
          <w:sz w:val="24"/>
          <w:szCs w:val="24"/>
        </w:rPr>
        <w:t>were performed</w:t>
      </w:r>
      <w:r>
        <w:rPr>
          <w:sz w:val="24"/>
          <w:szCs w:val="24"/>
        </w:rPr>
        <w:t xml:space="preserve">. Continuous variables </w:t>
      </w:r>
      <w:r>
        <w:rPr>
          <w:noProof/>
          <w:sz w:val="24"/>
          <w:szCs w:val="24"/>
        </w:rPr>
        <w:t>were presented</w:t>
      </w:r>
      <w:r>
        <w:rPr>
          <w:sz w:val="24"/>
          <w:szCs w:val="24"/>
        </w:rPr>
        <w:t xml:space="preserve"> as </w:t>
      </w:r>
      <w:r>
        <w:rPr>
          <w:noProof/>
          <w:sz w:val="24"/>
          <w:szCs w:val="24"/>
        </w:rPr>
        <w:t>mean</w:t>
      </w:r>
      <w:r>
        <w:rPr>
          <w:sz w:val="24"/>
          <w:szCs w:val="24"/>
        </w:rPr>
        <w:t xml:space="preserve"> and standard </w:t>
      </w:r>
      <w:r>
        <w:rPr>
          <w:noProof/>
          <w:sz w:val="24"/>
          <w:szCs w:val="24"/>
        </w:rPr>
        <w:t>deviation,</w:t>
      </w:r>
      <w:r>
        <w:rPr>
          <w:sz w:val="24"/>
          <w:szCs w:val="24"/>
        </w:rPr>
        <w:t xml:space="preserve"> and categorical variables as </w:t>
      </w:r>
      <w:r>
        <w:rPr>
          <w:noProof/>
          <w:sz w:val="24"/>
          <w:szCs w:val="24"/>
        </w:rPr>
        <w:t>percentages</w:t>
      </w:r>
      <w:r>
        <w:rPr>
          <w:sz w:val="24"/>
          <w:szCs w:val="24"/>
        </w:rPr>
        <w:t xml:space="preserve">. Continuous variables were analyzed using </w:t>
      </w:r>
      <w:r>
        <w:rPr>
          <w:noProof/>
          <w:sz w:val="24"/>
          <w:szCs w:val="24"/>
        </w:rPr>
        <w:t>Student</w:t>
      </w:r>
      <w:r>
        <w:rPr>
          <w:sz w:val="24"/>
          <w:szCs w:val="24"/>
        </w:rPr>
        <w:t xml:space="preserve"> </w:t>
      </w:r>
      <w:r>
        <w:rPr>
          <w:noProof/>
          <w:sz w:val="24"/>
          <w:szCs w:val="24"/>
        </w:rPr>
        <w:t>t-test</w:t>
      </w:r>
      <w:r>
        <w:rPr>
          <w:sz w:val="24"/>
          <w:szCs w:val="24"/>
        </w:rPr>
        <w:t xml:space="preserve"> and categorical variables though </w:t>
      </w:r>
      <w:r>
        <w:rPr>
          <w:noProof/>
          <w:sz w:val="24"/>
          <w:szCs w:val="24"/>
        </w:rPr>
        <w:t>Chi-square</w:t>
      </w:r>
      <w:r>
        <w:rPr>
          <w:sz w:val="24"/>
          <w:szCs w:val="24"/>
        </w:rPr>
        <w:t xml:space="preserve"> test. Table S2 summarizes the analysis plan. The primary analysis compared BMI in categories with all-cause mortality using a multivariable shared frailty model including </w:t>
      </w:r>
      <w:r>
        <w:rPr>
          <w:noProof/>
          <w:sz w:val="24"/>
          <w:szCs w:val="24"/>
        </w:rPr>
        <w:t>study</w:t>
      </w:r>
      <w:r>
        <w:rPr>
          <w:sz w:val="24"/>
          <w:szCs w:val="24"/>
        </w:rPr>
        <w:t xml:space="preserve"> as random effects with </w:t>
      </w:r>
      <w:r>
        <w:rPr>
          <w:noProof/>
          <w:sz w:val="24"/>
          <w:szCs w:val="24"/>
        </w:rPr>
        <w:t>gamma</w:t>
      </w:r>
      <w:r>
        <w:rPr>
          <w:sz w:val="24"/>
          <w:szCs w:val="24"/>
        </w:rPr>
        <w:t xml:space="preserve"> distribution. The </w:t>
      </w:r>
      <w:r>
        <w:rPr>
          <w:noProof/>
          <w:sz w:val="24"/>
          <w:szCs w:val="24"/>
        </w:rPr>
        <w:t>primary</w:t>
      </w:r>
      <w:r>
        <w:rPr>
          <w:sz w:val="24"/>
          <w:szCs w:val="24"/>
        </w:rPr>
        <w:t xml:space="preserve"> model included the following covariates: age, sex, geographic region, smoking status, previous CVD, previous cancer, heart failure on admission, discharge diagnosis (ACS presentation type) and creatinine clearance</w:t>
      </w:r>
      <w:r>
        <w:rPr>
          <w:noProof/>
          <w:sz w:val="24"/>
          <w:szCs w:val="24"/>
        </w:rPr>
        <w:t>.</w:t>
      </w:r>
      <w:r>
        <w:rPr>
          <w:sz w:val="24"/>
          <w:szCs w:val="24"/>
        </w:rPr>
        <w:t xml:space="preserve"> The primary model </w:t>
      </w:r>
      <w:r>
        <w:rPr>
          <w:noProof/>
          <w:sz w:val="24"/>
          <w:szCs w:val="24"/>
        </w:rPr>
        <w:t>was reproduced</w:t>
      </w:r>
      <w:r>
        <w:rPr>
          <w:sz w:val="24"/>
          <w:szCs w:val="24"/>
        </w:rPr>
        <w:t xml:space="preserve"> for all secondary outcomes. It is important to mention that diabetes, </w:t>
      </w:r>
      <w:r>
        <w:rPr>
          <w:noProof/>
          <w:sz w:val="24"/>
          <w:szCs w:val="24"/>
        </w:rPr>
        <w:t>hypertension</w:t>
      </w:r>
      <w:r>
        <w:rPr>
          <w:sz w:val="24"/>
          <w:szCs w:val="24"/>
        </w:rPr>
        <w:t xml:space="preserve"> and </w:t>
      </w:r>
      <w:r>
        <w:rPr>
          <w:noProof/>
          <w:sz w:val="24"/>
          <w:szCs w:val="24"/>
        </w:rPr>
        <w:t>dyslipidemia</w:t>
      </w:r>
      <w:r>
        <w:rPr>
          <w:sz w:val="24"/>
          <w:szCs w:val="24"/>
        </w:rPr>
        <w:t xml:space="preserve"> </w:t>
      </w:r>
      <w:r>
        <w:rPr>
          <w:noProof/>
          <w:sz w:val="24"/>
          <w:szCs w:val="24"/>
        </w:rPr>
        <w:t>were not included</w:t>
      </w:r>
      <w:r>
        <w:rPr>
          <w:sz w:val="24"/>
          <w:szCs w:val="24"/>
        </w:rPr>
        <w:t xml:space="preserve"> in the primary multivariable model. The reason is that these risk factors, as </w:t>
      </w:r>
      <w:r>
        <w:rPr>
          <w:noProof/>
          <w:sz w:val="24"/>
          <w:szCs w:val="24"/>
        </w:rPr>
        <w:t>it is shown</w:t>
      </w:r>
      <w:r>
        <w:rPr>
          <w:sz w:val="24"/>
          <w:szCs w:val="24"/>
        </w:rPr>
        <w:t xml:space="preserve"> in the analytic framework, may be on the putative causal pathway between the “increased body fat” and cardiovascular disease and mortality association. Adjustment of variables implicated </w:t>
      </w:r>
      <w:r>
        <w:rPr>
          <w:noProof/>
          <w:sz w:val="24"/>
          <w:szCs w:val="24"/>
        </w:rPr>
        <w:t>in</w:t>
      </w:r>
      <w:r>
        <w:rPr>
          <w:sz w:val="24"/>
          <w:szCs w:val="24"/>
        </w:rPr>
        <w:t xml:space="preserve"> the </w:t>
      </w:r>
      <w:r>
        <w:rPr>
          <w:sz w:val="24"/>
          <w:szCs w:val="24"/>
        </w:rPr>
        <w:lastRenderedPageBreak/>
        <w:t>putative causal pathway may bias the results.</w:t>
      </w:r>
      <w:r>
        <w:rPr>
          <w:noProof/>
          <w:sz w:val="24"/>
          <w:szCs w:val="24"/>
          <w:vertAlign w:val="superscript"/>
        </w:rPr>
        <w:t>22</w:t>
      </w:r>
      <w:r>
        <w:rPr>
          <w:sz w:val="24"/>
          <w:szCs w:val="24"/>
        </w:rPr>
        <w:t xml:space="preserve"> Models including these variables </w:t>
      </w:r>
      <w:r>
        <w:rPr>
          <w:noProof/>
          <w:sz w:val="24"/>
          <w:szCs w:val="24"/>
        </w:rPr>
        <w:t>are presented as</w:t>
      </w:r>
      <w:r>
        <w:rPr>
          <w:sz w:val="24"/>
          <w:szCs w:val="24"/>
        </w:rPr>
        <w:t xml:space="preserve"> </w:t>
      </w:r>
      <w:r>
        <w:rPr>
          <w:noProof/>
          <w:sz w:val="24"/>
          <w:szCs w:val="24"/>
        </w:rPr>
        <w:t>sensitivity</w:t>
      </w:r>
      <w:r>
        <w:rPr>
          <w:sz w:val="24"/>
          <w:szCs w:val="24"/>
        </w:rPr>
        <w:t xml:space="preserve"> analysis.</w:t>
      </w:r>
    </w:p>
    <w:p w:rsidR="00A917FF" w:rsidRDefault="00A917FF" w:rsidP="0052196B">
      <w:pPr>
        <w:pStyle w:val="Sinespaciado"/>
        <w:spacing w:line="480" w:lineRule="auto"/>
        <w:ind w:firstLine="720"/>
        <w:jc w:val="both"/>
        <w:rPr>
          <w:sz w:val="24"/>
          <w:szCs w:val="24"/>
        </w:rPr>
      </w:pPr>
      <w:r>
        <w:rPr>
          <w:sz w:val="24"/>
          <w:szCs w:val="24"/>
        </w:rPr>
        <w:t xml:space="preserve">Subgroup </w:t>
      </w:r>
      <w:r>
        <w:rPr>
          <w:noProof/>
          <w:sz w:val="24"/>
          <w:szCs w:val="24"/>
        </w:rPr>
        <w:t>analyses</w:t>
      </w:r>
      <w:r>
        <w:rPr>
          <w:sz w:val="24"/>
          <w:szCs w:val="24"/>
        </w:rPr>
        <w:t xml:space="preserve"> with interaction tests on all-cause mortality were performed using the primary model. The </w:t>
      </w:r>
      <w:r>
        <w:rPr>
          <w:i/>
          <w:sz w:val="24"/>
          <w:szCs w:val="24"/>
        </w:rPr>
        <w:t>a priori</w:t>
      </w:r>
      <w:r>
        <w:rPr>
          <w:sz w:val="24"/>
          <w:szCs w:val="24"/>
        </w:rPr>
        <w:t xml:space="preserve"> variables for subgroup analysis were: Age, sex, diabetes, ethnicity, previous history of CVD, discharge diagnosis, </w:t>
      </w:r>
      <w:r>
        <w:rPr>
          <w:noProof/>
          <w:sz w:val="24"/>
          <w:szCs w:val="24"/>
        </w:rPr>
        <w:t>heart failure on admission and chronic kidney disease.</w:t>
      </w:r>
      <w:r>
        <w:rPr>
          <w:sz w:val="24"/>
          <w:szCs w:val="24"/>
        </w:rPr>
        <w:t xml:space="preserve"> </w:t>
      </w:r>
      <w:r>
        <w:rPr>
          <w:noProof/>
          <w:sz w:val="24"/>
          <w:szCs w:val="24"/>
        </w:rPr>
        <w:t>Interaction</w:t>
      </w:r>
      <w:r>
        <w:rPr>
          <w:sz w:val="24"/>
          <w:szCs w:val="24"/>
        </w:rPr>
        <w:t xml:space="preserve"> was assessed by including interaction terms in the multivariable model.</w:t>
      </w:r>
      <w:r>
        <w:rPr>
          <w:noProof/>
          <w:sz w:val="24"/>
          <w:szCs w:val="24"/>
          <w:vertAlign w:val="superscript"/>
        </w:rPr>
        <w:t>23</w:t>
      </w:r>
      <w:r>
        <w:rPr>
          <w:sz w:val="24"/>
          <w:szCs w:val="24"/>
        </w:rPr>
        <w:t xml:space="preserve"> </w:t>
      </w:r>
    </w:p>
    <w:p w:rsidR="00A917FF" w:rsidRDefault="00A917FF" w:rsidP="0052196B">
      <w:pPr>
        <w:pStyle w:val="Sinespaciado"/>
        <w:spacing w:line="480" w:lineRule="auto"/>
        <w:ind w:firstLine="720"/>
        <w:jc w:val="both"/>
        <w:rPr>
          <w:noProof/>
          <w:sz w:val="24"/>
          <w:szCs w:val="24"/>
        </w:rPr>
      </w:pPr>
      <w:r>
        <w:rPr>
          <w:sz w:val="24"/>
          <w:szCs w:val="24"/>
        </w:rPr>
        <w:t xml:space="preserve">Sensitivity analysis </w:t>
      </w:r>
      <w:r>
        <w:rPr>
          <w:noProof/>
          <w:sz w:val="24"/>
          <w:szCs w:val="24"/>
        </w:rPr>
        <w:t>was</w:t>
      </w:r>
      <w:r>
        <w:rPr>
          <w:sz w:val="24"/>
          <w:szCs w:val="24"/>
        </w:rPr>
        <w:t xml:space="preserve"> planned to evaluate the results robustness. First, a </w:t>
      </w:r>
      <w:r>
        <w:rPr>
          <w:noProof/>
          <w:sz w:val="24"/>
          <w:szCs w:val="24"/>
        </w:rPr>
        <w:t>two-step</w:t>
      </w:r>
      <w:r>
        <w:rPr>
          <w:sz w:val="24"/>
          <w:szCs w:val="24"/>
        </w:rPr>
        <w:t xml:space="preserve"> individual patient data meta-analysis approach was performed. This was done executing the main model in each trial and then pooling the results using a random effects model. Second, the association between BMI as a continuous variable and all-cause mortality </w:t>
      </w:r>
      <w:r>
        <w:rPr>
          <w:noProof/>
          <w:sz w:val="24"/>
          <w:szCs w:val="24"/>
        </w:rPr>
        <w:t xml:space="preserve">was </w:t>
      </w:r>
      <w:r>
        <w:rPr>
          <w:sz w:val="24"/>
          <w:szCs w:val="24"/>
        </w:rPr>
        <w:t>plotted using restricted cubic spline analysis.</w:t>
      </w:r>
      <w:r>
        <w:rPr>
          <w:noProof/>
          <w:sz w:val="24"/>
          <w:szCs w:val="24"/>
          <w:vertAlign w:val="superscript"/>
        </w:rPr>
        <w:t>24</w:t>
      </w:r>
      <w:r>
        <w:rPr>
          <w:sz w:val="24"/>
          <w:szCs w:val="24"/>
        </w:rPr>
        <w:t xml:space="preserve"> </w:t>
      </w:r>
      <w:r>
        <w:rPr>
          <w:noProof/>
          <w:sz w:val="24"/>
          <w:szCs w:val="24"/>
        </w:rPr>
        <w:t>Third, different models for the primary outcomes were performed, (1) including variables such as diabetes, hypertension and hyperlipidemia, (2) other admission variables such as heart rate, blood pressure, hemoglobin levels, heart failure, intra-aortic balloon pump use and revascularization, (3) discharge medications, and (4) coronary anatomy.</w:t>
      </w:r>
      <w:r>
        <w:rPr>
          <w:sz w:val="24"/>
          <w:szCs w:val="24"/>
        </w:rPr>
        <w:t xml:space="preserve"> </w:t>
      </w:r>
      <w:r>
        <w:rPr>
          <w:noProof/>
          <w:sz w:val="24"/>
          <w:szCs w:val="24"/>
        </w:rPr>
        <w:t xml:space="preserve">Fourth, a restrictive strategy focused on reverse causality was implemented, excluding those patients with previous conditions that can reduce weight and be related with mortality, such as previous CVD (any form of CAD, heart failure, stroke or peripheral vascular disease), previous cancer, and severe renal failure (creatinine clearance </w:t>
      </w:r>
      <w:r>
        <w:rPr>
          <w:noProof/>
          <w:sz w:val="24"/>
          <w:szCs w:val="24"/>
          <w:lang w:val="en-CA"/>
        </w:rPr>
        <w:t>&lt; 30 ml/min</w:t>
      </w:r>
      <w:r>
        <w:rPr>
          <w:noProof/>
          <w:sz w:val="24"/>
          <w:szCs w:val="24"/>
        </w:rPr>
        <w:t>).</w:t>
      </w:r>
    </w:p>
    <w:p w:rsidR="00A917FF" w:rsidRDefault="00A917FF" w:rsidP="0052196B">
      <w:pPr>
        <w:pStyle w:val="Sinespaciado"/>
        <w:spacing w:line="480" w:lineRule="auto"/>
        <w:ind w:firstLine="720"/>
        <w:jc w:val="both"/>
        <w:rPr>
          <w:noProof/>
          <w:sz w:val="24"/>
          <w:szCs w:val="24"/>
        </w:rPr>
      </w:pPr>
      <w:r>
        <w:rPr>
          <w:noProof/>
          <w:sz w:val="24"/>
          <w:szCs w:val="24"/>
        </w:rPr>
        <w:t xml:space="preserve">Fifth, a separate analysis in OASIS 4 was done in order to assess the impact of including waist-to-hip ratio in the model. Sixth, three different propensity score approaches were performed (matching, stratification and adjustment) in those BMI categories with significant (p </w:t>
      </w:r>
      <w:r>
        <w:rPr>
          <w:noProof/>
          <w:sz w:val="24"/>
          <w:szCs w:val="24"/>
          <w:lang w:val="en-CA"/>
        </w:rPr>
        <w:lastRenderedPageBreak/>
        <w:t>&lt; 0.05</w:t>
      </w:r>
      <w:r>
        <w:rPr>
          <w:noProof/>
          <w:sz w:val="24"/>
          <w:szCs w:val="24"/>
        </w:rPr>
        <w:t>) results, compared to normal weight individuals. Matching was done using a greedy approach</w:t>
      </w:r>
      <w:r>
        <w:rPr>
          <w:sz w:val="24"/>
        </w:rPr>
        <w:t xml:space="preserve"> with no replacement, and with a cal</w:t>
      </w:r>
      <w:r>
        <w:rPr>
          <w:noProof/>
          <w:sz w:val="24"/>
          <w:szCs w:val="24"/>
        </w:rPr>
        <w:t xml:space="preserve">iper </w:t>
      </w:r>
      <w:r>
        <w:rPr>
          <w:sz w:val="24"/>
        </w:rPr>
        <w:t>width</w:t>
      </w:r>
      <w:r>
        <w:rPr>
          <w:noProof/>
          <w:sz w:val="24"/>
          <w:szCs w:val="24"/>
        </w:rPr>
        <w:t xml:space="preserve"> of 0.001. Balance was assessed by visual inspection and summary diagnostics provided by the SAS</w:t>
      </w:r>
      <w:r>
        <w:rPr>
          <w:rFonts w:ascii="Times New Roman" w:hAnsi="Times New Roman" w:cs="Times New Roman"/>
          <w:noProof/>
          <w:sz w:val="24"/>
          <w:szCs w:val="24"/>
          <w:vertAlign w:val="superscript"/>
        </w:rPr>
        <w:t>®</w:t>
      </w:r>
      <w:r>
        <w:rPr>
          <w:noProof/>
          <w:sz w:val="24"/>
          <w:szCs w:val="24"/>
        </w:rPr>
        <w:t xml:space="preserve"> macro by Hulbert et al.</w:t>
      </w:r>
      <w:r>
        <w:rPr>
          <w:noProof/>
          <w:sz w:val="24"/>
          <w:szCs w:val="24"/>
          <w:vertAlign w:val="superscript"/>
        </w:rPr>
        <w:t>25</w:t>
      </w:r>
      <w:r>
        <w:rPr>
          <w:noProof/>
          <w:sz w:val="24"/>
          <w:szCs w:val="24"/>
        </w:rPr>
        <w:t xml:space="preserve"> Cox-proportional hazards stratified by matched pair were performed to account for the matched nature of the data, and Kaplan-Meier survival curves for each matched cohort were generated. Propensity score statification analysis was performed through Cox-proportional hazards stratified by propensity score quintile. Propensity score adjusted analysis was done including propensity score as a covariate in the Cox-proportional hazards model. Finally, array and rule-out analysis to estimate the degree of unmeasured confounders to change the conclusions was done according to the proposed method by Schneeweiss et. al.</w:t>
      </w:r>
      <w:r>
        <w:rPr>
          <w:noProof/>
          <w:sz w:val="24"/>
          <w:szCs w:val="24"/>
          <w:vertAlign w:val="superscript"/>
        </w:rPr>
        <w:t>26</w:t>
      </w:r>
      <w:r>
        <w:rPr>
          <w:noProof/>
          <w:sz w:val="24"/>
          <w:szCs w:val="24"/>
        </w:rPr>
        <w:t xml:space="preserve"> </w:t>
      </w:r>
    </w:p>
    <w:p w:rsidR="00A917FF" w:rsidRDefault="00A917FF" w:rsidP="0052196B">
      <w:pPr>
        <w:pStyle w:val="Sinespaciado"/>
        <w:spacing w:line="480" w:lineRule="auto"/>
        <w:jc w:val="both"/>
        <w:rPr>
          <w:sz w:val="24"/>
          <w:szCs w:val="24"/>
        </w:rPr>
      </w:pPr>
    </w:p>
    <w:p w:rsidR="00A917FF" w:rsidRDefault="00A917FF" w:rsidP="0052196B">
      <w:pPr>
        <w:pStyle w:val="Sinespaciado"/>
        <w:spacing w:line="480" w:lineRule="auto"/>
        <w:jc w:val="both"/>
        <w:rPr>
          <w:b/>
          <w:sz w:val="24"/>
          <w:szCs w:val="24"/>
        </w:rPr>
      </w:pPr>
      <w:r>
        <w:rPr>
          <w:b/>
          <w:sz w:val="24"/>
          <w:szCs w:val="24"/>
        </w:rPr>
        <w:t>Ethical considerations and conflict of interests</w:t>
      </w:r>
    </w:p>
    <w:p w:rsidR="00A917FF" w:rsidRDefault="00A917FF" w:rsidP="0052196B">
      <w:pPr>
        <w:pStyle w:val="Sinespaciado"/>
        <w:spacing w:line="480" w:lineRule="auto"/>
        <w:ind w:firstLine="720"/>
        <w:jc w:val="both"/>
        <w:rPr>
          <w:sz w:val="24"/>
          <w:szCs w:val="24"/>
        </w:rPr>
      </w:pPr>
      <w:r>
        <w:rPr>
          <w:sz w:val="24"/>
          <w:szCs w:val="24"/>
        </w:rPr>
        <w:t xml:space="preserve">Permission for data access was obtained from the principal investigator of all the closed studies </w:t>
      </w:r>
      <w:r>
        <w:rPr>
          <w:noProof/>
          <w:sz w:val="24"/>
          <w:szCs w:val="24"/>
        </w:rPr>
        <w:t>and from</w:t>
      </w:r>
      <w:r>
        <w:rPr>
          <w:sz w:val="24"/>
          <w:szCs w:val="24"/>
        </w:rPr>
        <w:t xml:space="preserve"> the operational committee of the ongoing TOTAL trial. All Participants signed an informed consent in which they agreed to provide their data on anonymous fashion for research purposes. All the files accessed for analyses do not contain any personal identity information. I </w:t>
      </w:r>
      <w:r>
        <w:rPr>
          <w:noProof/>
          <w:sz w:val="24"/>
          <w:szCs w:val="24"/>
        </w:rPr>
        <w:t>do not</w:t>
      </w:r>
      <w:r>
        <w:rPr>
          <w:sz w:val="24"/>
          <w:szCs w:val="24"/>
        </w:rPr>
        <w:t xml:space="preserve"> have any conflict of interest related to the Thesis content, as well as all those involved in its preparation and supervision.</w:t>
      </w:r>
    </w:p>
    <w:p w:rsidR="00A917FF" w:rsidRDefault="00A917FF" w:rsidP="0052196B">
      <w:pPr>
        <w:spacing w:after="0" w:line="480" w:lineRule="auto"/>
        <w:jc w:val="both"/>
        <w:rPr>
          <w:sz w:val="24"/>
          <w:szCs w:val="24"/>
        </w:rPr>
        <w:sectPr w:rsidR="00A917FF">
          <w:pgSz w:w="12240" w:h="15840"/>
          <w:pgMar w:top="1440" w:right="1440" w:bottom="1440" w:left="1440" w:header="720" w:footer="720" w:gutter="0"/>
          <w:cols w:space="720"/>
        </w:sectPr>
      </w:pPr>
    </w:p>
    <w:p w:rsidR="00A917FF" w:rsidRDefault="00A917FF" w:rsidP="0052196B">
      <w:pPr>
        <w:pStyle w:val="Sinespaciado"/>
        <w:spacing w:line="480" w:lineRule="auto"/>
        <w:jc w:val="both"/>
        <w:rPr>
          <w:sz w:val="24"/>
          <w:szCs w:val="24"/>
        </w:rPr>
      </w:pPr>
      <w:r>
        <w:rPr>
          <w:b/>
          <w:sz w:val="24"/>
          <w:szCs w:val="24"/>
        </w:rPr>
        <w:lastRenderedPageBreak/>
        <w:t>References</w:t>
      </w:r>
      <w:r>
        <w:rPr>
          <w:sz w:val="24"/>
          <w:szCs w:val="24"/>
        </w:rPr>
        <w:t>:</w:t>
      </w:r>
    </w:p>
    <w:p w:rsidR="00A917FF" w:rsidRDefault="00A917FF" w:rsidP="0052196B">
      <w:pPr>
        <w:pStyle w:val="chapterstitles"/>
        <w:jc w:val="both"/>
        <w:rPr>
          <w:noProof/>
        </w:rPr>
      </w:pPr>
      <w:r>
        <w:rPr>
          <w:noProof/>
        </w:rPr>
        <w:t>1.</w:t>
      </w:r>
      <w:r>
        <w:rPr>
          <w:noProof/>
        </w:rPr>
        <w:tab/>
        <w:t>Riley RD, Lambert PC, Abo-Zaid G. Meta-analysis of individual participant data: rationale, conduct, and reporting. BMJ 2010;340:c221.</w:t>
      </w:r>
    </w:p>
    <w:p w:rsidR="00A917FF" w:rsidRDefault="00A917FF" w:rsidP="0052196B">
      <w:pPr>
        <w:pStyle w:val="chapterstitles"/>
        <w:jc w:val="both"/>
        <w:rPr>
          <w:noProof/>
        </w:rPr>
      </w:pPr>
      <w:r>
        <w:rPr>
          <w:noProof/>
        </w:rPr>
        <w:t>2.</w:t>
      </w:r>
      <w:r>
        <w:rPr>
          <w:noProof/>
        </w:rPr>
        <w:tab/>
        <w:t>McCormack K, Grant A, Scott N. Value of updating a systematic review in surgery using individual patient data. The British journal of surgery 2004;91:495-9.</w:t>
      </w:r>
    </w:p>
    <w:p w:rsidR="00A917FF" w:rsidRDefault="00A917FF" w:rsidP="0052196B">
      <w:pPr>
        <w:pStyle w:val="chapterstitles"/>
        <w:jc w:val="both"/>
        <w:rPr>
          <w:noProof/>
        </w:rPr>
      </w:pPr>
      <w:r>
        <w:rPr>
          <w:noProof/>
        </w:rPr>
        <w:t>3.</w:t>
      </w:r>
      <w:r>
        <w:rPr>
          <w:noProof/>
        </w:rPr>
        <w:tab/>
        <w:t>Jeng GT, Scott JR, Burmeister LF. A comparison of meta-analytic results using literature vs individual patient data. Paternal cell immunization for recurrent miscarriage. Jama 1995;274:830-6.</w:t>
      </w:r>
    </w:p>
    <w:p w:rsidR="00A917FF" w:rsidRDefault="00A917FF" w:rsidP="0052196B">
      <w:pPr>
        <w:pStyle w:val="chapterstitles"/>
        <w:jc w:val="both"/>
        <w:rPr>
          <w:noProof/>
        </w:rPr>
      </w:pPr>
      <w:r>
        <w:rPr>
          <w:noProof/>
        </w:rPr>
        <w:t>4.</w:t>
      </w:r>
      <w:r>
        <w:rPr>
          <w:noProof/>
        </w:rPr>
        <w:tab/>
        <w:t>Berlin JA, Santanna J, Schmid CH, Szczech LA, Feldman HI. Individual patient- versus group-level data meta-regressions for the investigation of treatment effect modifiers: ecological bias rears its ugly head. Statistics in medicine 2002;21:371-87.</w:t>
      </w:r>
    </w:p>
    <w:p w:rsidR="00A917FF" w:rsidRDefault="00A917FF" w:rsidP="0052196B">
      <w:pPr>
        <w:pStyle w:val="chapterstitles"/>
        <w:jc w:val="both"/>
        <w:rPr>
          <w:noProof/>
        </w:rPr>
      </w:pPr>
      <w:r>
        <w:rPr>
          <w:noProof/>
        </w:rPr>
        <w:t>5.</w:t>
      </w:r>
      <w:r>
        <w:rPr>
          <w:noProof/>
        </w:rPr>
        <w:tab/>
        <w:t>Lambert PC, Sutton AJ, Abrams KR, Jones DR. A comparison of summary patient-level covariates in meta-regression with individual patient data meta-analysis. Journal of clinical epidemiology 2002;55:86-94.</w:t>
      </w:r>
    </w:p>
    <w:p w:rsidR="00A917FF" w:rsidRDefault="00A917FF" w:rsidP="0052196B">
      <w:pPr>
        <w:pStyle w:val="chapterstitles"/>
        <w:jc w:val="both"/>
        <w:rPr>
          <w:noProof/>
        </w:rPr>
      </w:pPr>
      <w:r>
        <w:rPr>
          <w:noProof/>
        </w:rPr>
        <w:t>6.</w:t>
      </w:r>
      <w:r>
        <w:rPr>
          <w:noProof/>
        </w:rPr>
        <w:tab/>
        <w:t>Abo-Zaid G, Sauerbrei W, Riley RD. Individual participant data meta-analysis of prognostic factor studies: state of the art? BMC medical research methodology 2012;12:56.</w:t>
      </w:r>
    </w:p>
    <w:p w:rsidR="00A917FF" w:rsidRDefault="00A917FF" w:rsidP="0052196B">
      <w:pPr>
        <w:pStyle w:val="chapterstitles"/>
        <w:jc w:val="both"/>
        <w:rPr>
          <w:noProof/>
        </w:rPr>
      </w:pPr>
      <w:r>
        <w:rPr>
          <w:noProof/>
        </w:rPr>
        <w:t>7.</w:t>
      </w:r>
      <w:r>
        <w:rPr>
          <w:noProof/>
        </w:rPr>
        <w:tab/>
        <w:t>Abo-Zaid G, Guo B, Deeks JJ, et al. Individual participant data meta-analyses should not ignore clustering. Journal of clinical epidemiology 2013;66:865-73 e4.</w:t>
      </w:r>
    </w:p>
    <w:p w:rsidR="00A917FF" w:rsidRDefault="00A917FF" w:rsidP="0052196B">
      <w:pPr>
        <w:pStyle w:val="chapterstitles"/>
        <w:jc w:val="both"/>
        <w:rPr>
          <w:noProof/>
        </w:rPr>
      </w:pPr>
      <w:r>
        <w:rPr>
          <w:noProof/>
        </w:rPr>
        <w:lastRenderedPageBreak/>
        <w:t>8.</w:t>
      </w:r>
      <w:r>
        <w:rPr>
          <w:noProof/>
        </w:rPr>
        <w:tab/>
        <w:t>Simmonds MC, Higgins JP, Stewart LA, Tierney JF, Clarke MJ, Thompson SG. Meta-analysis of individual patient data from randomized trials: a review of methods used in practice. Clin Trials 2005;2:209-17.</w:t>
      </w:r>
    </w:p>
    <w:p w:rsidR="00A917FF" w:rsidRDefault="00A917FF" w:rsidP="0052196B">
      <w:pPr>
        <w:pStyle w:val="chapterstitles"/>
        <w:jc w:val="both"/>
        <w:rPr>
          <w:noProof/>
        </w:rPr>
      </w:pPr>
      <w:r>
        <w:rPr>
          <w:noProof/>
        </w:rPr>
        <w:t>9.</w:t>
      </w:r>
      <w:r>
        <w:rPr>
          <w:noProof/>
        </w:rPr>
        <w:tab/>
        <w:t>Thomas D, Radji S, Benedetti A. Systematic review of methods for individual patient data meta- analysis with binary outcomes. BMC medical research methodology 2014;14:79.</w:t>
      </w:r>
    </w:p>
    <w:p w:rsidR="00A917FF" w:rsidRDefault="00A917FF" w:rsidP="0052196B">
      <w:pPr>
        <w:pStyle w:val="chapterstitles"/>
        <w:jc w:val="both"/>
        <w:rPr>
          <w:noProof/>
        </w:rPr>
      </w:pPr>
      <w:r>
        <w:rPr>
          <w:noProof/>
        </w:rPr>
        <w:t>10.</w:t>
      </w:r>
      <w:r>
        <w:rPr>
          <w:noProof/>
        </w:rPr>
        <w:tab/>
        <w:t>Munda M, Legrand C. Adjusting for centre heterogeneity in multicentre clinical trials with a time-to-event outcome. Pharmaceutical statistics 2014;13:145-52.</w:t>
      </w:r>
    </w:p>
    <w:p w:rsidR="00A917FF" w:rsidRDefault="00A917FF" w:rsidP="0052196B">
      <w:pPr>
        <w:pStyle w:val="chapterstitles"/>
        <w:jc w:val="both"/>
        <w:rPr>
          <w:noProof/>
        </w:rPr>
      </w:pPr>
      <w:r>
        <w:rPr>
          <w:noProof/>
        </w:rPr>
        <w:t>11.</w:t>
      </w:r>
      <w:r>
        <w:rPr>
          <w:noProof/>
        </w:rPr>
        <w:tab/>
        <w:t>Glidden DV, Vittinghoff E. Modelling clustered survival data from multicentre clinical trials. Statistics in medicine 2004;23:369-88.</w:t>
      </w:r>
    </w:p>
    <w:p w:rsidR="00A917FF" w:rsidRDefault="00A917FF" w:rsidP="0052196B">
      <w:pPr>
        <w:pStyle w:val="chapterstitles"/>
        <w:jc w:val="both"/>
        <w:rPr>
          <w:noProof/>
        </w:rPr>
      </w:pPr>
      <w:r>
        <w:rPr>
          <w:noProof/>
        </w:rPr>
        <w:t>12.</w:t>
      </w:r>
      <w:r>
        <w:rPr>
          <w:noProof/>
        </w:rPr>
        <w:tab/>
        <w:t xml:space="preserve">SAS/STAT(R) 9.3 User's Guide. The PHREG Procedure: The Frailty Model. </w:t>
      </w:r>
      <w:r>
        <w:rPr>
          <w:rFonts w:ascii="Calibri" w:hAnsi="Calibri"/>
          <w:noProof/>
        </w:rPr>
        <w:t>http://supportsascom/documentation/cdl/en/statug/63962/HTML/default/viewerhtm#statug_phreg_sect036htm</w:t>
      </w:r>
      <w:r>
        <w:rPr>
          <w:noProof/>
        </w:rPr>
        <w:t xml:space="preserve"> Last access July 15 2015.</w:t>
      </w:r>
    </w:p>
    <w:p w:rsidR="00A917FF" w:rsidRDefault="00A917FF" w:rsidP="0052196B">
      <w:pPr>
        <w:pStyle w:val="chapterstitles"/>
        <w:jc w:val="both"/>
        <w:rPr>
          <w:noProof/>
        </w:rPr>
      </w:pPr>
      <w:r>
        <w:rPr>
          <w:noProof/>
        </w:rPr>
        <w:t>13.</w:t>
      </w:r>
      <w:r>
        <w:rPr>
          <w:noProof/>
        </w:rPr>
        <w:tab/>
        <w:t>DerSimonian R, Laird N. Meta-analysis in clinical trials. Controlled clinical trials 1986;7:177-88.</w:t>
      </w:r>
    </w:p>
    <w:p w:rsidR="00A917FF" w:rsidRDefault="00A917FF" w:rsidP="0052196B">
      <w:pPr>
        <w:pStyle w:val="chapterstitles"/>
        <w:jc w:val="both"/>
        <w:rPr>
          <w:noProof/>
        </w:rPr>
      </w:pPr>
      <w:r>
        <w:rPr>
          <w:noProof/>
        </w:rPr>
        <w:t>14.</w:t>
      </w:r>
      <w:r>
        <w:rPr>
          <w:noProof/>
        </w:rPr>
        <w:tab/>
        <w:t>Riley RD, Lambert PC, Staessen JA, et al. Meta-analysis of continuous outcomes combining individual patient data and aggregate data. Statistics in medicine 2008;27:1870-93.</w:t>
      </w:r>
    </w:p>
    <w:p w:rsidR="00A917FF" w:rsidRDefault="00A917FF" w:rsidP="0052196B">
      <w:pPr>
        <w:pStyle w:val="chapterstitles"/>
        <w:jc w:val="both"/>
        <w:rPr>
          <w:noProof/>
        </w:rPr>
      </w:pPr>
      <w:r>
        <w:rPr>
          <w:noProof/>
        </w:rPr>
        <w:t>15.</w:t>
      </w:r>
      <w:r>
        <w:rPr>
          <w:noProof/>
        </w:rPr>
        <w:tab/>
        <w:t>Mathew T, Nordstrom K. On the equivalence of meta-analysis using literature and using individual patient data. Biometrics 1999;55:1221-3.</w:t>
      </w:r>
    </w:p>
    <w:p w:rsidR="00A917FF" w:rsidRDefault="00A917FF" w:rsidP="0052196B">
      <w:pPr>
        <w:pStyle w:val="chapterstitles"/>
        <w:jc w:val="both"/>
        <w:rPr>
          <w:noProof/>
        </w:rPr>
      </w:pPr>
      <w:r>
        <w:rPr>
          <w:noProof/>
        </w:rPr>
        <w:lastRenderedPageBreak/>
        <w:t>16.</w:t>
      </w:r>
      <w:r>
        <w:rPr>
          <w:noProof/>
        </w:rPr>
        <w:tab/>
        <w:t>Debray TP, Moons KG, Abo-Zaid GM, Koffijberg H, Riley RD. Individual participant data meta-analysis for a binary outcome: one-stage or two-stage? PloS one 2013;8:e60650.</w:t>
      </w:r>
    </w:p>
    <w:p w:rsidR="00A917FF" w:rsidRDefault="00A917FF" w:rsidP="0052196B">
      <w:pPr>
        <w:pStyle w:val="chapterstitles"/>
        <w:jc w:val="both"/>
        <w:rPr>
          <w:noProof/>
        </w:rPr>
      </w:pPr>
      <w:r>
        <w:rPr>
          <w:noProof/>
        </w:rPr>
        <w:t>17.</w:t>
      </w:r>
      <w:r>
        <w:rPr>
          <w:noProof/>
        </w:rPr>
        <w:tab/>
        <w:t>Stewart GB, Altman DG, Askie LM, Duley L, Simmonds MC, Stewart LA. Statistical analysis of individual participant data meta-analyses: a comparison of methods and recommendations for practice. PloS one 2012;7:e46042.</w:t>
      </w:r>
    </w:p>
    <w:p w:rsidR="00A917FF" w:rsidRDefault="00A917FF" w:rsidP="0052196B">
      <w:pPr>
        <w:pStyle w:val="chapterstitles"/>
        <w:jc w:val="both"/>
        <w:rPr>
          <w:noProof/>
        </w:rPr>
      </w:pPr>
      <w:r>
        <w:rPr>
          <w:noProof/>
        </w:rPr>
        <w:t>18.</w:t>
      </w:r>
      <w:r>
        <w:rPr>
          <w:noProof/>
        </w:rPr>
        <w:tab/>
        <w:t>Khosla T, Lowe CR. Indices of obesity derived from body weight and height. British journal of preventive &amp; social medicine 1967;21:122-8.</w:t>
      </w:r>
    </w:p>
    <w:p w:rsidR="00A917FF" w:rsidRDefault="00A917FF" w:rsidP="0052196B">
      <w:pPr>
        <w:pStyle w:val="chapterstitles"/>
        <w:jc w:val="both"/>
        <w:rPr>
          <w:noProof/>
        </w:rPr>
      </w:pPr>
      <w:r>
        <w:rPr>
          <w:noProof/>
        </w:rPr>
        <w:t>19.</w:t>
      </w:r>
      <w:r>
        <w:rPr>
          <w:noProof/>
        </w:rPr>
        <w:tab/>
        <w:t>WHO. Physical status: the use and interpretation of anthropometry. Report of a WHO Expert Committee. WHO Technical Report Series 854. Geneva: World Health Organization, 1995.</w:t>
      </w:r>
    </w:p>
    <w:p w:rsidR="00A917FF" w:rsidRDefault="00A917FF" w:rsidP="0052196B">
      <w:pPr>
        <w:pStyle w:val="chapterstitles"/>
        <w:jc w:val="both"/>
        <w:rPr>
          <w:noProof/>
        </w:rPr>
      </w:pPr>
      <w:r>
        <w:rPr>
          <w:noProof/>
        </w:rPr>
        <w:t>20.</w:t>
      </w:r>
      <w:r>
        <w:rPr>
          <w:noProof/>
        </w:rPr>
        <w:tab/>
        <w:t>Levey AS, Inker LA, Coresh J. GFR estimation: from physiology to public health. American journal of kidney diseases : the official journal of the National Kidney Foundation 2014;63:820-34.</w:t>
      </w:r>
    </w:p>
    <w:p w:rsidR="00A917FF" w:rsidRDefault="00A917FF" w:rsidP="0052196B">
      <w:pPr>
        <w:pStyle w:val="chapterstitles"/>
        <w:jc w:val="both"/>
        <w:rPr>
          <w:noProof/>
        </w:rPr>
      </w:pPr>
      <w:r>
        <w:rPr>
          <w:noProof/>
        </w:rPr>
        <w:t>21.</w:t>
      </w:r>
      <w:r>
        <w:rPr>
          <w:noProof/>
        </w:rPr>
        <w:tab/>
        <w:t>Levey AS, Stevens LA, Schmid CH, et al. A new equation to estimate glomerular filtration rate. Annals of internal medicine 2009;150:604-12.</w:t>
      </w:r>
    </w:p>
    <w:p w:rsidR="00A917FF" w:rsidRDefault="00A917FF" w:rsidP="0052196B">
      <w:pPr>
        <w:pStyle w:val="chapterstitles"/>
        <w:jc w:val="both"/>
        <w:rPr>
          <w:noProof/>
        </w:rPr>
      </w:pPr>
      <w:r>
        <w:rPr>
          <w:noProof/>
        </w:rPr>
        <w:t>22.</w:t>
      </w:r>
      <w:r>
        <w:rPr>
          <w:noProof/>
        </w:rPr>
        <w:tab/>
        <w:t>Kleinbaum  D, Klein M. Logistic Regression: A Self-Learning Text. Springer 2010.</w:t>
      </w:r>
    </w:p>
    <w:p w:rsidR="00A917FF" w:rsidRDefault="00A917FF" w:rsidP="0052196B">
      <w:pPr>
        <w:pStyle w:val="chapterstitles"/>
        <w:jc w:val="both"/>
        <w:rPr>
          <w:noProof/>
        </w:rPr>
      </w:pPr>
      <w:r>
        <w:rPr>
          <w:noProof/>
        </w:rPr>
        <w:t>23.</w:t>
      </w:r>
      <w:r>
        <w:rPr>
          <w:noProof/>
        </w:rPr>
        <w:tab/>
        <w:t>Fisher DJ, Copas AJ, Tierney JF, Parmar MK. A critical review of methods for the assessment of patient-level interactions in individual participant data meta-analysis of randomized trials, and guidance for practitioners. Journal of clinical epidemiology 2011;64:949-67.</w:t>
      </w:r>
    </w:p>
    <w:p w:rsidR="00A917FF" w:rsidRDefault="00A917FF" w:rsidP="0052196B">
      <w:pPr>
        <w:pStyle w:val="chapterstitles"/>
        <w:jc w:val="both"/>
        <w:rPr>
          <w:noProof/>
        </w:rPr>
      </w:pPr>
      <w:r>
        <w:rPr>
          <w:noProof/>
        </w:rPr>
        <w:lastRenderedPageBreak/>
        <w:t>24.</w:t>
      </w:r>
      <w:r>
        <w:rPr>
          <w:noProof/>
        </w:rPr>
        <w:tab/>
        <w:t>Howe CJ, Cole SR, Westreich DJ, Greenland S, Napravnik S, Eron JJ, Jr. Splines for trend analysis and continuous confounder control. Epidemiology 2011;22:874-5.</w:t>
      </w:r>
    </w:p>
    <w:p w:rsidR="00A917FF" w:rsidRDefault="00A917FF" w:rsidP="0052196B">
      <w:pPr>
        <w:pStyle w:val="chapterstitles"/>
        <w:jc w:val="both"/>
        <w:rPr>
          <w:noProof/>
        </w:rPr>
      </w:pPr>
      <w:r>
        <w:rPr>
          <w:noProof/>
        </w:rPr>
        <w:t>25.</w:t>
      </w:r>
      <w:r>
        <w:rPr>
          <w:noProof/>
        </w:rPr>
        <w:tab/>
        <w:t xml:space="preserve">Hulbert E, Brekke L. A SAS® Macro to Evaluate Balance after Propensity Score Matching. PharmaSUG 2014 - </w:t>
      </w:r>
      <w:r>
        <w:rPr>
          <w:rFonts w:ascii="Calibri" w:hAnsi="Calibri"/>
          <w:noProof/>
        </w:rPr>
        <w:t>http://wwwpharmasugorg/proceedings/2014/SP/PharmaSUG-2014-SP07pdf</w:t>
      </w:r>
      <w:r>
        <w:rPr>
          <w:noProof/>
        </w:rPr>
        <w:t xml:space="preserve"> Last access Aug 15th 2015 2014.</w:t>
      </w:r>
    </w:p>
    <w:p w:rsidR="00A917FF" w:rsidRDefault="00A917FF" w:rsidP="0052196B">
      <w:pPr>
        <w:pStyle w:val="chapterstitles"/>
        <w:jc w:val="both"/>
        <w:rPr>
          <w:noProof/>
        </w:rPr>
      </w:pPr>
      <w:r>
        <w:rPr>
          <w:noProof/>
        </w:rPr>
        <w:t>26.</w:t>
      </w:r>
      <w:r>
        <w:rPr>
          <w:noProof/>
        </w:rPr>
        <w:tab/>
        <w:t>Schneeweiss S. Sensitivity analysis and external adjustment for unmeasured confounders in epidemiologic database studies of therapeutics. Pharmacoepidemiology and drug safety 2006;15:291-303.</w:t>
      </w:r>
    </w:p>
    <w:p w:rsidR="00A917FF" w:rsidRDefault="00A917FF" w:rsidP="0052196B">
      <w:pPr>
        <w:pStyle w:val="chapterstitles"/>
        <w:jc w:val="both"/>
        <w:rPr>
          <w:noProof/>
        </w:rPr>
      </w:pPr>
      <w:r>
        <w:rPr>
          <w:noProof/>
        </w:rPr>
        <w:t>27.</w:t>
      </w:r>
      <w:r>
        <w:rPr>
          <w:noProof/>
        </w:rPr>
        <w:tab/>
        <w:t>Yusuf S, Zhao F, Mehta SR, Chrolavicius S, Tognoni G, Fox KK. Effects of clopidogrel in addition to aspirin in patients with acute coronary syndromes without ST-segment elevation. The New England journal of medicine 2001;345:494-502.</w:t>
      </w:r>
    </w:p>
    <w:p w:rsidR="00A917FF" w:rsidRDefault="00A917FF" w:rsidP="0052196B">
      <w:pPr>
        <w:pStyle w:val="chapterstitles"/>
        <w:jc w:val="both"/>
        <w:rPr>
          <w:noProof/>
        </w:rPr>
      </w:pPr>
      <w:r>
        <w:rPr>
          <w:noProof/>
        </w:rPr>
        <w:t>28.</w:t>
      </w:r>
      <w:r>
        <w:rPr>
          <w:noProof/>
        </w:rPr>
        <w:tab/>
        <w:t>Yusuf S, Mehta SR, Chrolavicius S, et al. Comparison of fondaparinux and enoxaparin in acute coronary syndromes. The New England journal of medicine 2006;354:1464-76.</w:t>
      </w:r>
    </w:p>
    <w:p w:rsidR="00A917FF" w:rsidRDefault="00A917FF" w:rsidP="0052196B">
      <w:pPr>
        <w:pStyle w:val="chapterstitles"/>
        <w:jc w:val="both"/>
        <w:rPr>
          <w:noProof/>
        </w:rPr>
      </w:pPr>
      <w:r>
        <w:rPr>
          <w:noProof/>
        </w:rPr>
        <w:t>29.</w:t>
      </w:r>
      <w:r>
        <w:rPr>
          <w:noProof/>
        </w:rPr>
        <w:tab/>
        <w:t>Yusuf S, Mehta SR, Chrolavicius S, et al. Effects of fondaparinux on mortality and reinfarction in patients with acute ST-segment elevation myocardial infarction: the OASIS-6 randomized trial. Jama 2006;295:1519-30.</w:t>
      </w:r>
    </w:p>
    <w:p w:rsidR="00A917FF" w:rsidRDefault="00A917FF" w:rsidP="0052196B">
      <w:pPr>
        <w:pStyle w:val="chapterstitles"/>
        <w:jc w:val="both"/>
        <w:rPr>
          <w:noProof/>
        </w:rPr>
      </w:pPr>
      <w:r>
        <w:rPr>
          <w:noProof/>
        </w:rPr>
        <w:t>30.</w:t>
      </w:r>
      <w:r>
        <w:rPr>
          <w:noProof/>
        </w:rPr>
        <w:tab/>
        <w:t>Mehta SR, Tanguay JF, Eikelboom JW, et al. Double-dose versus standard-dose clopidogrel and high-dose versus low-dose aspirin in individuals undergoing percutaneous coronary intervention for acute coronary syndromes (CURRENT-OASIS 7): a randomised factorial trial. Lancet 2010;376:1233-43.</w:t>
      </w:r>
    </w:p>
    <w:p w:rsidR="00A917FF" w:rsidRDefault="00A917FF" w:rsidP="0052196B">
      <w:pPr>
        <w:pStyle w:val="chapterstitles"/>
        <w:jc w:val="both"/>
        <w:rPr>
          <w:noProof/>
        </w:rPr>
      </w:pPr>
      <w:r>
        <w:rPr>
          <w:noProof/>
        </w:rPr>
        <w:lastRenderedPageBreak/>
        <w:t>31.</w:t>
      </w:r>
      <w:r>
        <w:rPr>
          <w:noProof/>
        </w:rPr>
        <w:tab/>
        <w:t>Steg PG, Jolly SS, Mehta SR, et al. Low-dose vs standard-dose unfractionated heparin for percutaneous coronary intervention in acute coronary syndromes treated with fondaparinux: the FUTURA/OASIS-8 randomized trial. Jama 2010;304:1339-49.</w:t>
      </w:r>
    </w:p>
    <w:p w:rsidR="00A917FF" w:rsidRDefault="00A917FF" w:rsidP="0052196B">
      <w:pPr>
        <w:pStyle w:val="chapterstitles"/>
        <w:jc w:val="both"/>
        <w:rPr>
          <w:noProof/>
        </w:rPr>
      </w:pPr>
      <w:r>
        <w:rPr>
          <w:noProof/>
        </w:rPr>
        <w:t>32.</w:t>
      </w:r>
      <w:r>
        <w:rPr>
          <w:noProof/>
        </w:rPr>
        <w:tab/>
        <w:t>Mehta SR, Granger CB, Boden WE, et al. Early versus delayed invasive intervention in acute coronary syndromes. The New England journal of medicine 2009;360:2165-75.</w:t>
      </w:r>
    </w:p>
    <w:p w:rsidR="00A917FF" w:rsidRDefault="00A917FF" w:rsidP="0052196B">
      <w:pPr>
        <w:pStyle w:val="chapterstitles"/>
        <w:jc w:val="both"/>
        <w:rPr>
          <w:noProof/>
        </w:rPr>
      </w:pPr>
      <w:r>
        <w:rPr>
          <w:noProof/>
        </w:rPr>
        <w:t>33.</w:t>
      </w:r>
      <w:r>
        <w:rPr>
          <w:noProof/>
        </w:rPr>
        <w:tab/>
        <w:t>Jolly SS, Yusuf S, Cairns J, et al. Radial versus femoral access for coronary angiography and intervention in patients with acute coronary syndromes (RIVAL): a randomised, parallel group, multicentre trial. Lancet 2011;377:1409-20.</w:t>
      </w:r>
    </w:p>
    <w:p w:rsidR="00A917FF" w:rsidRDefault="00A917FF" w:rsidP="0052196B">
      <w:pPr>
        <w:pStyle w:val="chapterstitles"/>
        <w:jc w:val="both"/>
        <w:rPr>
          <w:noProof/>
        </w:rPr>
      </w:pPr>
      <w:r>
        <w:rPr>
          <w:noProof/>
        </w:rPr>
        <w:t>34.</w:t>
      </w:r>
      <w:r>
        <w:rPr>
          <w:noProof/>
        </w:rPr>
        <w:tab/>
        <w:t>Jolly SS, Cairns JA, Yusuf S, et al. Randomized trial of primary PCI with or without routine manual thrombectomy. The New England journal of medicine 2015;372:1389-98.</w:t>
      </w:r>
    </w:p>
    <w:p w:rsidR="00A917FF" w:rsidRDefault="00A917FF" w:rsidP="0052196B">
      <w:pPr>
        <w:pStyle w:val="chapterstitles"/>
        <w:jc w:val="both"/>
        <w:rPr>
          <w:noProof/>
        </w:rPr>
      </w:pPr>
    </w:p>
    <w:p w:rsidR="00A917FF" w:rsidRDefault="00A917FF" w:rsidP="0052196B">
      <w:pPr>
        <w:spacing w:after="0" w:line="480" w:lineRule="auto"/>
        <w:jc w:val="both"/>
        <w:rPr>
          <w:sz w:val="24"/>
          <w:szCs w:val="24"/>
        </w:rPr>
        <w:sectPr w:rsidR="00A917FF">
          <w:pgSz w:w="12240" w:h="15840"/>
          <w:pgMar w:top="1440" w:right="1440" w:bottom="1440" w:left="1440" w:header="426" w:footer="720" w:gutter="0"/>
          <w:cols w:space="720"/>
        </w:sectPr>
      </w:pPr>
    </w:p>
    <w:p w:rsidR="00A917FF" w:rsidRDefault="00A917FF" w:rsidP="0052196B">
      <w:pPr>
        <w:jc w:val="both"/>
        <w:rPr>
          <w:sz w:val="24"/>
          <w:szCs w:val="24"/>
        </w:rPr>
      </w:pPr>
      <w:r>
        <w:rPr>
          <w:sz w:val="24"/>
          <w:szCs w:val="24"/>
        </w:rPr>
        <w:lastRenderedPageBreak/>
        <w:t>Table 1:</w:t>
      </w:r>
    </w:p>
    <w:tbl>
      <w:tblPr>
        <w:tblStyle w:val="Tablaconcuadrcula"/>
        <w:tblW w:w="0" w:type="auto"/>
        <w:tblLook w:val="04A0" w:firstRow="1" w:lastRow="0" w:firstColumn="1" w:lastColumn="0" w:noHBand="0" w:noVBand="1"/>
      </w:tblPr>
      <w:tblGrid>
        <w:gridCol w:w="1252"/>
        <w:gridCol w:w="1112"/>
        <w:gridCol w:w="1574"/>
        <w:gridCol w:w="2277"/>
        <w:gridCol w:w="3306"/>
        <w:gridCol w:w="3129"/>
      </w:tblGrid>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Study</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Patients</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Recruitment period</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Population</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Comparisons</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Follow-up (months)</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OASIS 4</w:t>
            </w:r>
            <w:r>
              <w:rPr>
                <w:noProof/>
                <w:sz w:val="24"/>
                <w:szCs w:val="24"/>
                <w:vertAlign w:val="superscript"/>
              </w:rPr>
              <w:t>27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12,562</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1998-2000</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Clopidogrel vs Placebo</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12</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OASIS 5</w:t>
            </w:r>
            <w:r>
              <w:rPr>
                <w:noProof/>
                <w:sz w:val="24"/>
                <w:szCs w:val="24"/>
                <w:vertAlign w:val="superscript"/>
              </w:rPr>
              <w:t>28</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20,078</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2003-2005</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 xml:space="preserve">Fondaparinux </w:t>
            </w:r>
            <w:r>
              <w:rPr>
                <w:noProof/>
                <w:sz w:val="24"/>
                <w:szCs w:val="24"/>
              </w:rPr>
              <w:t>vs</w:t>
            </w:r>
            <w:r>
              <w:rPr>
                <w:sz w:val="24"/>
                <w:szCs w:val="24"/>
              </w:rPr>
              <w:t xml:space="preserve"> Enoxaparin</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 xml:space="preserve">3 </w:t>
            </w:r>
            <w:r w:rsidR="00FA1861">
              <w:rPr>
                <w:sz w:val="24"/>
                <w:szCs w:val="24"/>
              </w:rPr>
              <w:t xml:space="preserve">- </w:t>
            </w:r>
            <w:r>
              <w:rPr>
                <w:sz w:val="24"/>
                <w:szCs w:val="24"/>
              </w:rPr>
              <w:t>6</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OASIS 6</w:t>
            </w:r>
            <w:r>
              <w:rPr>
                <w:noProof/>
                <w:sz w:val="24"/>
                <w:szCs w:val="24"/>
                <w:vertAlign w:val="superscript"/>
              </w:rPr>
              <w:t>29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12,092</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2003-2005</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Fondaparinux Vs Usual care</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 xml:space="preserve">3 </w:t>
            </w:r>
            <w:r w:rsidR="00FA1861">
              <w:rPr>
                <w:sz w:val="24"/>
                <w:szCs w:val="24"/>
              </w:rPr>
              <w:t>- 6</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OASIS 7</w:t>
            </w:r>
            <w:r>
              <w:rPr>
                <w:noProof/>
                <w:sz w:val="24"/>
                <w:szCs w:val="24"/>
                <w:vertAlign w:val="superscript"/>
              </w:rPr>
              <w:t>30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25,086</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2006-2009</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Clopidogrel and Aspirin doses</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OASIS 8</w:t>
            </w:r>
            <w:r>
              <w:rPr>
                <w:noProof/>
                <w:sz w:val="24"/>
                <w:szCs w:val="24"/>
                <w:vertAlign w:val="superscript"/>
              </w:rPr>
              <w:t>31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2,026</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2009-2010</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Heparin low dose vs standard dose</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TIMACS</w:t>
            </w:r>
            <w:r>
              <w:rPr>
                <w:noProof/>
                <w:sz w:val="24"/>
                <w:szCs w:val="24"/>
                <w:vertAlign w:val="superscript"/>
              </w:rPr>
              <w:t>32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1,398*</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2003-2008</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Early vs delayed PCI</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6</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RIVAL</w:t>
            </w:r>
            <w:r>
              <w:rPr>
                <w:noProof/>
                <w:sz w:val="24"/>
                <w:szCs w:val="24"/>
                <w:vertAlign w:val="superscript"/>
              </w:rPr>
              <w:t>33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3,190*</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2008-2010</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UA/NSTEMI/STEMI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Radial vs femoral access</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w:t>
            </w:r>
          </w:p>
        </w:tc>
      </w:tr>
      <w:tr w:rsidR="00A917FF" w:rsidTr="004F0BB5">
        <w:trPr>
          <w:trHeight w:val="430"/>
        </w:trPr>
        <w:tc>
          <w:tcPr>
            <w:tcW w:w="125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rPr>
                <w:sz w:val="24"/>
                <w:szCs w:val="24"/>
              </w:rPr>
            </w:pPr>
            <w:r>
              <w:rPr>
                <w:sz w:val="24"/>
                <w:szCs w:val="24"/>
              </w:rPr>
              <w:t>TOTAL</w:t>
            </w:r>
            <w:r>
              <w:rPr>
                <w:noProof/>
                <w:sz w:val="24"/>
                <w:szCs w:val="24"/>
                <w:vertAlign w:val="superscript"/>
              </w:rPr>
              <w:t>34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10,732</w:t>
            </w:r>
          </w:p>
        </w:tc>
        <w:tc>
          <w:tcPr>
            <w:tcW w:w="1574"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2010-2014</w:t>
            </w:r>
          </w:p>
        </w:tc>
        <w:tc>
          <w:tcPr>
            <w:tcW w:w="2277"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STEMI</w:t>
            </w:r>
          </w:p>
        </w:tc>
        <w:tc>
          <w:tcPr>
            <w:tcW w:w="3306"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 xml:space="preserve">PCI with </w:t>
            </w:r>
            <w:r>
              <w:rPr>
                <w:noProof/>
                <w:sz w:val="24"/>
                <w:szCs w:val="24"/>
              </w:rPr>
              <w:t>vs</w:t>
            </w:r>
            <w:r>
              <w:rPr>
                <w:sz w:val="24"/>
                <w:szCs w:val="24"/>
              </w:rPr>
              <w:t xml:space="preserve"> without Routine Manual Thrombectomy</w:t>
            </w:r>
          </w:p>
        </w:tc>
        <w:tc>
          <w:tcPr>
            <w:tcW w:w="3129" w:type="dxa"/>
            <w:tcBorders>
              <w:top w:val="single" w:sz="4" w:space="0" w:color="auto"/>
              <w:left w:val="single" w:sz="4" w:space="0" w:color="auto"/>
              <w:bottom w:val="single" w:sz="4" w:space="0" w:color="auto"/>
              <w:right w:val="single" w:sz="4" w:space="0" w:color="auto"/>
            </w:tcBorders>
            <w:noWrap/>
            <w:vAlign w:val="center"/>
            <w:hideMark/>
          </w:tcPr>
          <w:p w:rsidR="00A917FF" w:rsidRDefault="00A917FF" w:rsidP="00FA1861">
            <w:pPr>
              <w:pStyle w:val="Sinespaciado"/>
              <w:jc w:val="center"/>
              <w:rPr>
                <w:sz w:val="24"/>
                <w:szCs w:val="24"/>
              </w:rPr>
            </w:pPr>
            <w:r>
              <w:rPr>
                <w:sz w:val="24"/>
                <w:szCs w:val="24"/>
              </w:rPr>
              <w:t xml:space="preserve">6 </w:t>
            </w:r>
            <w:r w:rsidR="00FA1861">
              <w:rPr>
                <w:sz w:val="24"/>
                <w:szCs w:val="24"/>
              </w:rPr>
              <w:t>-</w:t>
            </w:r>
            <w:r>
              <w:rPr>
                <w:sz w:val="24"/>
                <w:szCs w:val="24"/>
              </w:rPr>
              <w:t xml:space="preserve"> 12</w:t>
            </w:r>
          </w:p>
        </w:tc>
      </w:tr>
    </w:tbl>
    <w:p w:rsidR="00A917FF" w:rsidRDefault="00A917FF" w:rsidP="0052196B">
      <w:pPr>
        <w:pStyle w:val="Sinespaciado"/>
        <w:spacing w:line="480" w:lineRule="auto"/>
        <w:jc w:val="both"/>
        <w:rPr>
          <w:sz w:val="24"/>
          <w:szCs w:val="24"/>
        </w:rPr>
      </w:pPr>
    </w:p>
    <w:p w:rsidR="00A917FF" w:rsidRDefault="00F04EB4" w:rsidP="0052196B">
      <w:pPr>
        <w:pStyle w:val="Sinespaciado"/>
        <w:spacing w:line="480" w:lineRule="auto"/>
        <w:jc w:val="both"/>
        <w:rPr>
          <w:sz w:val="24"/>
          <w:szCs w:val="24"/>
        </w:rPr>
      </w:pPr>
      <w:r>
        <w:rPr>
          <w:sz w:val="24"/>
          <w:szCs w:val="24"/>
        </w:rPr>
        <w:t>Notes:</w:t>
      </w:r>
      <w:r w:rsidR="00A917FF">
        <w:rPr>
          <w:sz w:val="24"/>
          <w:szCs w:val="24"/>
        </w:rPr>
        <w:t xml:space="preserve"> General characteristics of included studies. PCI: Percutaneous coronary intervention. </w:t>
      </w:r>
    </w:p>
    <w:p w:rsidR="00A917FF" w:rsidRDefault="00A917FF" w:rsidP="0052196B">
      <w:pPr>
        <w:pStyle w:val="Sinespaciado"/>
        <w:spacing w:line="480" w:lineRule="auto"/>
        <w:jc w:val="both"/>
        <w:rPr>
          <w:sz w:val="24"/>
          <w:szCs w:val="24"/>
        </w:rPr>
      </w:pPr>
      <w:r>
        <w:rPr>
          <w:sz w:val="24"/>
          <w:szCs w:val="24"/>
        </w:rPr>
        <w:t>* Only participants not included in other trials are presented.</w:t>
      </w:r>
    </w:p>
    <w:p w:rsidR="00A917FF" w:rsidRDefault="00A917FF" w:rsidP="0052196B">
      <w:pPr>
        <w:jc w:val="both"/>
        <w:rPr>
          <w:sz w:val="24"/>
          <w:szCs w:val="24"/>
        </w:rPr>
      </w:pPr>
      <w:r>
        <w:rPr>
          <w:sz w:val="24"/>
          <w:szCs w:val="24"/>
        </w:rPr>
        <w:br w:type="page"/>
      </w:r>
    </w:p>
    <w:p w:rsidR="00A917FF" w:rsidRDefault="00A917FF" w:rsidP="0052196B">
      <w:pPr>
        <w:jc w:val="both"/>
        <w:rPr>
          <w:sz w:val="24"/>
          <w:szCs w:val="24"/>
        </w:rPr>
      </w:pPr>
      <w:r>
        <w:rPr>
          <w:sz w:val="24"/>
          <w:szCs w:val="24"/>
        </w:rPr>
        <w:lastRenderedPageBreak/>
        <w:t>Figure 1:</w:t>
      </w:r>
      <w:r w:rsidR="00FA1861" w:rsidRPr="00FA1861">
        <w:rPr>
          <w:sz w:val="24"/>
          <w:szCs w:val="24"/>
        </w:rPr>
        <w:t xml:space="preserve"> </w:t>
      </w:r>
      <w:r w:rsidR="00FA1861">
        <w:rPr>
          <w:sz w:val="24"/>
          <w:szCs w:val="24"/>
        </w:rPr>
        <w:t>Analytic framework.</w:t>
      </w:r>
    </w:p>
    <w:p w:rsidR="00A917FF" w:rsidRDefault="00A917FF" w:rsidP="0052196B">
      <w:pPr>
        <w:jc w:val="both"/>
        <w:rPr>
          <w:sz w:val="24"/>
          <w:szCs w:val="24"/>
        </w:rPr>
      </w:pPr>
    </w:p>
    <w:p w:rsidR="00A917FF" w:rsidRDefault="00A917FF" w:rsidP="0052196B">
      <w:pPr>
        <w:jc w:val="both"/>
        <w:rPr>
          <w:sz w:val="24"/>
          <w:szCs w:val="24"/>
        </w:rPr>
      </w:pPr>
      <w:r>
        <w:rPr>
          <w:noProof/>
          <w:sz w:val="24"/>
          <w:szCs w:val="24"/>
        </w:rPr>
        <w:drawing>
          <wp:inline distT="0" distB="0" distL="0" distR="0" wp14:anchorId="4C537E9B" wp14:editId="3A2CEDC8">
            <wp:extent cx="8029575" cy="4267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9575" cy="4267200"/>
                    </a:xfrm>
                    <a:prstGeom prst="rect">
                      <a:avLst/>
                    </a:prstGeom>
                    <a:noFill/>
                    <a:ln>
                      <a:noFill/>
                    </a:ln>
                  </pic:spPr>
                </pic:pic>
              </a:graphicData>
            </a:graphic>
          </wp:inline>
        </w:drawing>
      </w:r>
    </w:p>
    <w:p w:rsidR="00A917FF" w:rsidRDefault="00A917FF" w:rsidP="0052196B">
      <w:pPr>
        <w:jc w:val="both"/>
        <w:rPr>
          <w:sz w:val="24"/>
          <w:szCs w:val="24"/>
        </w:rPr>
      </w:pPr>
    </w:p>
    <w:p w:rsidR="00A917FF" w:rsidRDefault="00FA1861" w:rsidP="0052196B">
      <w:pPr>
        <w:jc w:val="both"/>
        <w:rPr>
          <w:sz w:val="24"/>
          <w:szCs w:val="24"/>
        </w:rPr>
      </w:pPr>
      <w:r>
        <w:rPr>
          <w:sz w:val="24"/>
          <w:szCs w:val="24"/>
        </w:rPr>
        <w:t>Notes:</w:t>
      </w:r>
      <w:r w:rsidR="00A917FF">
        <w:rPr>
          <w:sz w:val="24"/>
          <w:szCs w:val="24"/>
        </w:rPr>
        <w:t xml:space="preserve"> Grey: determinants of body fat. Black: exposure. Yellow: mediators. Green: Consequences of increased body fat in general primary prevention. Blue: confounders and other risk factors of mortality after ACS. Orange: primary outcome.</w:t>
      </w:r>
    </w:p>
    <w:p w:rsidR="00A917FF" w:rsidRDefault="00A917FF" w:rsidP="0052196B">
      <w:pPr>
        <w:spacing w:after="0"/>
        <w:jc w:val="both"/>
        <w:rPr>
          <w:sz w:val="24"/>
          <w:szCs w:val="24"/>
        </w:rPr>
        <w:sectPr w:rsidR="00A917FF">
          <w:pgSz w:w="15840" w:h="12240" w:orient="landscape"/>
          <w:pgMar w:top="1440" w:right="1440" w:bottom="1440" w:left="1440" w:header="426" w:footer="720" w:gutter="0"/>
          <w:cols w:space="720"/>
        </w:sectPr>
      </w:pPr>
    </w:p>
    <w:p w:rsidR="00A917FF" w:rsidRPr="00FA1861" w:rsidRDefault="00A917FF" w:rsidP="00FA1861">
      <w:pPr>
        <w:rPr>
          <w:b/>
        </w:rPr>
      </w:pPr>
      <w:r w:rsidRPr="00FA1861">
        <w:rPr>
          <w:b/>
        </w:rPr>
        <w:lastRenderedPageBreak/>
        <w:t>Chapter 3 Supplementary appendix:</w:t>
      </w:r>
    </w:p>
    <w:p w:rsidR="00A917FF" w:rsidRDefault="00A917FF" w:rsidP="0052196B">
      <w:pPr>
        <w:pStyle w:val="Prrafodelista"/>
        <w:numPr>
          <w:ilvl w:val="0"/>
          <w:numId w:val="14"/>
        </w:numPr>
        <w:jc w:val="both"/>
        <w:rPr>
          <w:sz w:val="24"/>
          <w:szCs w:val="24"/>
        </w:rPr>
      </w:pPr>
      <w:r>
        <w:rPr>
          <w:sz w:val="24"/>
          <w:szCs w:val="24"/>
        </w:rPr>
        <w:t>Table S1: Inclusion and exclusion criteria of the individual studies.</w:t>
      </w:r>
    </w:p>
    <w:p w:rsidR="00A917FF" w:rsidRDefault="00A917FF" w:rsidP="0052196B">
      <w:pPr>
        <w:pStyle w:val="Prrafodelista"/>
        <w:numPr>
          <w:ilvl w:val="0"/>
          <w:numId w:val="14"/>
        </w:numPr>
        <w:jc w:val="both"/>
        <w:rPr>
          <w:sz w:val="24"/>
          <w:szCs w:val="24"/>
        </w:rPr>
      </w:pPr>
      <w:r>
        <w:rPr>
          <w:sz w:val="24"/>
          <w:szCs w:val="24"/>
        </w:rPr>
        <w:t>Table S2: Analysis plan.</w:t>
      </w:r>
    </w:p>
    <w:p w:rsidR="00A917FF" w:rsidRDefault="00A917FF" w:rsidP="0052196B">
      <w:pPr>
        <w:spacing w:after="0"/>
        <w:jc w:val="both"/>
        <w:rPr>
          <w:sz w:val="24"/>
          <w:szCs w:val="24"/>
        </w:rPr>
        <w:sectPr w:rsidR="00A917FF">
          <w:pgSz w:w="12240" w:h="15840"/>
          <w:pgMar w:top="1440" w:right="1440" w:bottom="1440" w:left="1440" w:header="426" w:footer="720" w:gutter="0"/>
          <w:cols w:space="720"/>
        </w:sectPr>
      </w:pPr>
    </w:p>
    <w:p w:rsidR="00A917FF" w:rsidRDefault="00A917FF" w:rsidP="0052196B">
      <w:pPr>
        <w:jc w:val="both"/>
        <w:rPr>
          <w:sz w:val="24"/>
          <w:szCs w:val="24"/>
        </w:rPr>
      </w:pPr>
      <w:r>
        <w:rPr>
          <w:sz w:val="24"/>
          <w:szCs w:val="24"/>
        </w:rPr>
        <w:lastRenderedPageBreak/>
        <w:t>Table S1:</w:t>
      </w:r>
    </w:p>
    <w:p w:rsidR="00A917FF" w:rsidRDefault="00A917FF" w:rsidP="0052196B">
      <w:pPr>
        <w:pStyle w:val="Sinespaciado"/>
        <w:spacing w:line="480" w:lineRule="auto"/>
        <w:jc w:val="both"/>
        <w:rPr>
          <w:sz w:val="24"/>
          <w:szCs w:val="24"/>
        </w:rPr>
      </w:pPr>
    </w:p>
    <w:tbl>
      <w:tblPr>
        <w:tblStyle w:val="Tablaconcuadrcula"/>
        <w:tblW w:w="5000" w:type="pct"/>
        <w:tblLayout w:type="fixed"/>
        <w:tblLook w:val="04A0" w:firstRow="1" w:lastRow="0" w:firstColumn="1" w:lastColumn="0" w:noHBand="0" w:noVBand="1"/>
      </w:tblPr>
      <w:tblGrid>
        <w:gridCol w:w="1102"/>
        <w:gridCol w:w="5668"/>
        <w:gridCol w:w="6406"/>
      </w:tblGrid>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Pr="00FA1861" w:rsidRDefault="00A917FF" w:rsidP="0052196B">
            <w:pPr>
              <w:jc w:val="both"/>
              <w:rPr>
                <w:b/>
              </w:rPr>
            </w:pPr>
            <w:r w:rsidRPr="00FA1861">
              <w:rPr>
                <w:b/>
              </w:rPr>
              <w:t>Study</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Pr="00FA1861" w:rsidRDefault="00A917FF" w:rsidP="0052196B">
            <w:pPr>
              <w:spacing w:line="480" w:lineRule="auto"/>
              <w:jc w:val="both"/>
              <w:rPr>
                <w:b/>
              </w:rPr>
            </w:pPr>
            <w:r w:rsidRPr="00FA1861">
              <w:rPr>
                <w:b/>
              </w:rPr>
              <w:t>Inclusion criteria</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Pr="00FA1861" w:rsidRDefault="00A917FF" w:rsidP="0052196B">
            <w:pPr>
              <w:spacing w:line="480" w:lineRule="auto"/>
              <w:jc w:val="both"/>
              <w:rPr>
                <w:b/>
              </w:rPr>
            </w:pPr>
            <w:r w:rsidRPr="00FA1861">
              <w:rPr>
                <w:b/>
              </w:rPr>
              <w:t>Exclusion criteria</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pPr>
            <w:r>
              <w:t>OASIS 4</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Hospitalized within 24 hours after the onset of symptoms and did not have ST-segment elevation, older than 60 years of age with no new electrocardiographic changes but with a history of coronary artery disease </w:t>
            </w:r>
            <w:r>
              <w:rPr>
                <w:noProof/>
              </w:rPr>
              <w:t>were included</w:t>
            </w:r>
            <w:r>
              <w:t xml:space="preserve">. After the first 3000 </w:t>
            </w:r>
            <w:r>
              <w:rPr>
                <w:noProof/>
              </w:rPr>
              <w:t>patients</w:t>
            </w:r>
            <w:r>
              <w:t xml:space="preserve"> the study included only patients who had either ECG changes or an elevation in the serum level of cardiac enzymes.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rPr>
                <w:noProof/>
              </w:rPr>
              <w:t>Contraindications to antithrombotic or antiplatelet therapy, high risk for bleeding or severe heart failure, taking oral anticoagulants, revascularization in the previous three months or had received intravenous glycoprotein IIb/IIIa receptor inhibitors in the previous three days.</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pPr>
            <w:r>
              <w:t>OASIS 5</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Within 24 hours of symptom onset and at least two of the three following criteria: an age of at least 60 years, an elevated level of biomarkers, or electrocardiographic changes indicative of ischemia. Inclusion criteria were modified and persons under the age of 60 years were required to have both an elevation of biomarkers and ECG changes.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rPr>
                <w:noProof/>
              </w:rPr>
              <w:t>Contraindications</w:t>
            </w:r>
            <w:r>
              <w:t xml:space="preserve"> to low-molecular-weight heparin, recent hemorrhagic stroke, indications for anticoagulation other than an acute coronary syndrome, or a serum creatinine level of at least 3 mg per deciliter (265 μmol per liter).</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pPr>
            <w:r>
              <w:lastRenderedPageBreak/>
              <w:t>OASIS 6</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STEMI within 24 hours of symptom </w:t>
            </w:r>
            <w:r>
              <w:rPr>
                <w:noProof/>
              </w:rPr>
              <w:t>onset,</w:t>
            </w:r>
            <w:r>
              <w:t xml:space="preserve"> then was modified to less than 12 hours.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Contraindications to anticoagulation, high risk of bleeding, receiving oral anticoagulants, or with creatinine levels greater than 265.2 mg/</w:t>
            </w:r>
            <w:proofErr w:type="spellStart"/>
            <w:r>
              <w:t>dL</w:t>
            </w:r>
            <w:proofErr w:type="spellEnd"/>
            <w:r>
              <w:t xml:space="preserve"> (3.0 mmol/L).</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pPr>
            <w:r>
              <w:t>OASIS 7</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ACS symptoms within 24 </w:t>
            </w:r>
            <w:proofErr w:type="spellStart"/>
            <w:r>
              <w:t>hrs</w:t>
            </w:r>
            <w:proofErr w:type="spellEnd"/>
            <w:r>
              <w:t xml:space="preserve"> with planned coronary angiography within 72 </w:t>
            </w:r>
            <w:proofErr w:type="spellStart"/>
            <w:r>
              <w:t>hrs</w:t>
            </w:r>
            <w:proofErr w:type="spellEnd"/>
            <w:r>
              <w:t xml:space="preserve"> after randomization, plus one of the </w:t>
            </w:r>
            <w:r>
              <w:rPr>
                <w:noProof/>
              </w:rPr>
              <w:t>following :</w:t>
            </w:r>
            <w:r>
              <w:t xml:space="preserve"> ECG changes or raised biomarkers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Age &lt; 18 years </w:t>
            </w:r>
            <w:r>
              <w:rPr>
                <w:noProof/>
              </w:rPr>
              <w:t>old,</w:t>
            </w:r>
            <w:r>
              <w:t xml:space="preserve"> increased </w:t>
            </w:r>
            <w:r>
              <w:rPr>
                <w:noProof/>
              </w:rPr>
              <w:t>risk</w:t>
            </w:r>
            <w:r>
              <w:t xml:space="preserve"> of bleeding or active bleeding, </w:t>
            </w:r>
            <w:r>
              <w:rPr>
                <w:noProof/>
              </w:rPr>
              <w:t>past history</w:t>
            </w:r>
            <w:r>
              <w:t xml:space="preserve"> of severe systemic bleeding, uncontrolled hypertension, oral anticoagulant use, aspirin or clopidogrel allergies.</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pPr>
            <w:r>
              <w:t>OASIS 8</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ACS symptoms within 48 </w:t>
            </w:r>
            <w:r>
              <w:rPr>
                <w:noProof/>
              </w:rPr>
              <w:t>hrs,</w:t>
            </w:r>
            <w:r>
              <w:t xml:space="preserve"> planned coronary angiography and at least 2 of the following criteria: aged 60 years or older, biomarker elevation or ECG changes.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rPr>
                <w:noProof/>
              </w:rPr>
              <w:t>Contraindications to unfractionated heparin or fondaparinux, contraindications for angiography, patients requiring urgent coronary angiography, treatment with other injectable anticoagulants, hemorrhagic stroke within 12 months, indication for anticoagulation other than ACS, pregnancy or breastfeeding, life expectancy less than 6 months, revascularization procedure for the qualifying event already performed, and creatinine clearance less than 20 mL/min.</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rPr>
                <w:sz w:val="24"/>
                <w:szCs w:val="24"/>
              </w:rPr>
            </w:pPr>
            <w:r>
              <w:rPr>
                <w:sz w:val="24"/>
                <w:szCs w:val="24"/>
              </w:rPr>
              <w:t>TIMACS</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ACS symptoms within 24 </w:t>
            </w:r>
            <w:proofErr w:type="spellStart"/>
            <w:r>
              <w:t>hrs</w:t>
            </w:r>
            <w:proofErr w:type="spellEnd"/>
            <w:r>
              <w:t xml:space="preserve"> and two of the following: an age of 60 years or older, biomarker elevation or electrocardiograph changes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Co-morbidity with life expectancy less than 6 months or less </w:t>
            </w:r>
            <w:r>
              <w:rPr>
                <w:noProof/>
              </w:rPr>
              <w:t>than 21 years of age</w:t>
            </w:r>
            <w:r>
              <w:t xml:space="preserve"> (plus OASIS 5 criteria in </w:t>
            </w:r>
            <w:r>
              <w:rPr>
                <w:noProof/>
              </w:rPr>
              <w:t>the first</w:t>
            </w:r>
            <w:r>
              <w:t xml:space="preserve"> 1633).</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rPr>
                <w:sz w:val="24"/>
                <w:szCs w:val="24"/>
              </w:rPr>
            </w:pPr>
            <w:r>
              <w:rPr>
                <w:sz w:val="24"/>
                <w:szCs w:val="24"/>
              </w:rPr>
              <w:lastRenderedPageBreak/>
              <w:t>RIVAL</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ACS with </w:t>
            </w:r>
            <w:r>
              <w:rPr>
                <w:noProof/>
              </w:rPr>
              <w:t>invasive</w:t>
            </w:r>
            <w:r>
              <w:t xml:space="preserve"> approach. STEMI or ACS </w:t>
            </w:r>
            <w:r>
              <w:rPr>
                <w:noProof/>
              </w:rPr>
              <w:t>with:</w:t>
            </w:r>
            <w:r>
              <w:t xml:space="preserve"> biomarker elevation or ECG changes.</w:t>
            </w:r>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Cardiogenic shock, severe peripheral vascular disease precluding a femoral approach, or previous coronary bypass surgery with an internal mammary artery graft.</w:t>
            </w:r>
          </w:p>
        </w:tc>
      </w:tr>
      <w:tr w:rsidR="00A917FF" w:rsidTr="00A917FF">
        <w:trPr>
          <w:trHeight w:val="300"/>
        </w:trPr>
        <w:tc>
          <w:tcPr>
            <w:tcW w:w="418" w:type="pct"/>
            <w:tcBorders>
              <w:top w:val="single" w:sz="4" w:space="0" w:color="auto"/>
              <w:left w:val="single" w:sz="4" w:space="0" w:color="auto"/>
              <w:bottom w:val="single" w:sz="4" w:space="0" w:color="auto"/>
              <w:right w:val="single" w:sz="4" w:space="0" w:color="auto"/>
            </w:tcBorders>
            <w:noWrap/>
            <w:hideMark/>
          </w:tcPr>
          <w:p w:rsidR="00A917FF" w:rsidRDefault="00A917FF" w:rsidP="0052196B">
            <w:pPr>
              <w:jc w:val="both"/>
              <w:rPr>
                <w:sz w:val="24"/>
                <w:szCs w:val="24"/>
              </w:rPr>
            </w:pPr>
            <w:r>
              <w:rPr>
                <w:sz w:val="24"/>
                <w:szCs w:val="24"/>
              </w:rPr>
              <w:t>TOTAL</w:t>
            </w:r>
          </w:p>
        </w:tc>
        <w:tc>
          <w:tcPr>
            <w:tcW w:w="215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STEMI referred to primary PCI within 12 </w:t>
            </w:r>
            <w:proofErr w:type="spellStart"/>
            <w:r>
              <w:t>hrs</w:t>
            </w:r>
            <w:proofErr w:type="spellEnd"/>
          </w:p>
        </w:tc>
        <w:tc>
          <w:tcPr>
            <w:tcW w:w="2431" w:type="pct"/>
            <w:tcBorders>
              <w:top w:val="single" w:sz="4" w:space="0" w:color="auto"/>
              <w:left w:val="single" w:sz="4" w:space="0" w:color="auto"/>
              <w:bottom w:val="single" w:sz="4" w:space="0" w:color="auto"/>
              <w:right w:val="single" w:sz="4" w:space="0" w:color="auto"/>
            </w:tcBorders>
            <w:noWrap/>
            <w:hideMark/>
          </w:tcPr>
          <w:p w:rsidR="00A917FF" w:rsidRDefault="00A917FF" w:rsidP="00FA1861">
            <w:pPr>
              <w:spacing w:line="480" w:lineRule="auto"/>
            </w:pPr>
            <w:r>
              <w:t xml:space="preserve">Age &lt; 18 years old, </w:t>
            </w:r>
            <w:r>
              <w:rPr>
                <w:noProof/>
              </w:rPr>
              <w:t>thrombolitycs</w:t>
            </w:r>
            <w:r>
              <w:t xml:space="preserve"> given for index STEMI, previous CABG, life expectancy less than six months due to </w:t>
            </w:r>
            <w:r>
              <w:rPr>
                <w:noProof/>
              </w:rPr>
              <w:t>non-cardiac</w:t>
            </w:r>
            <w:r>
              <w:t xml:space="preserve"> condition.</w:t>
            </w:r>
          </w:p>
        </w:tc>
      </w:tr>
    </w:tbl>
    <w:p w:rsidR="00A917FF" w:rsidRDefault="00A917FF" w:rsidP="0052196B">
      <w:pPr>
        <w:pStyle w:val="Sinespaciado"/>
        <w:spacing w:line="480" w:lineRule="auto"/>
        <w:jc w:val="both"/>
        <w:rPr>
          <w:sz w:val="24"/>
          <w:szCs w:val="24"/>
        </w:rPr>
      </w:pPr>
    </w:p>
    <w:p w:rsidR="00A917FF" w:rsidRDefault="00F04EB4" w:rsidP="0052196B">
      <w:pPr>
        <w:pStyle w:val="Sinespaciado"/>
        <w:spacing w:line="480" w:lineRule="auto"/>
        <w:jc w:val="both"/>
        <w:rPr>
          <w:sz w:val="24"/>
          <w:szCs w:val="24"/>
        </w:rPr>
      </w:pPr>
      <w:r>
        <w:rPr>
          <w:sz w:val="24"/>
          <w:szCs w:val="24"/>
        </w:rPr>
        <w:t>Notes:</w:t>
      </w:r>
      <w:r w:rsidR="00A917FF">
        <w:rPr>
          <w:sz w:val="24"/>
          <w:szCs w:val="24"/>
        </w:rPr>
        <w:t xml:space="preserve"> Inclusion and exclusion criteria of studies included in the individual patient data meta-analysis.</w:t>
      </w:r>
    </w:p>
    <w:p w:rsidR="00A917FF" w:rsidRDefault="00A917FF" w:rsidP="0052196B">
      <w:pPr>
        <w:pStyle w:val="Sinespaciado"/>
        <w:spacing w:line="480" w:lineRule="auto"/>
        <w:jc w:val="both"/>
        <w:rPr>
          <w:sz w:val="24"/>
          <w:szCs w:val="24"/>
        </w:rPr>
      </w:pPr>
    </w:p>
    <w:p w:rsidR="00A917FF" w:rsidRDefault="00A917FF" w:rsidP="0052196B">
      <w:pPr>
        <w:jc w:val="both"/>
        <w:rPr>
          <w:sz w:val="24"/>
          <w:szCs w:val="24"/>
        </w:rPr>
      </w:pPr>
      <w:r>
        <w:rPr>
          <w:sz w:val="24"/>
          <w:szCs w:val="24"/>
        </w:rPr>
        <w:br w:type="page"/>
      </w:r>
    </w:p>
    <w:p w:rsidR="00A917FF" w:rsidRDefault="00A917FF" w:rsidP="0052196B">
      <w:pPr>
        <w:jc w:val="both"/>
        <w:rPr>
          <w:sz w:val="24"/>
          <w:szCs w:val="24"/>
        </w:rPr>
      </w:pPr>
      <w:r>
        <w:rPr>
          <w:sz w:val="24"/>
          <w:szCs w:val="24"/>
        </w:rPr>
        <w:lastRenderedPageBreak/>
        <w:t>Table S2:</w:t>
      </w:r>
    </w:p>
    <w:tbl>
      <w:tblPr>
        <w:tblStyle w:val="Sombreadoclaro"/>
        <w:tblW w:w="0" w:type="auto"/>
        <w:tblLook w:val="04A0" w:firstRow="1" w:lastRow="0" w:firstColumn="1" w:lastColumn="0" w:noHBand="0" w:noVBand="1"/>
      </w:tblPr>
      <w:tblGrid>
        <w:gridCol w:w="1342"/>
        <w:gridCol w:w="1674"/>
        <w:gridCol w:w="1825"/>
        <w:gridCol w:w="937"/>
        <w:gridCol w:w="4395"/>
        <w:gridCol w:w="2787"/>
      </w:tblGrid>
      <w:tr w:rsidR="00A917FF" w:rsidTr="00A917F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noWrap/>
            <w:hideMark/>
          </w:tcPr>
          <w:p w:rsidR="00A917FF" w:rsidRDefault="00A917FF" w:rsidP="0052196B">
            <w:pPr>
              <w:jc w:val="both"/>
              <w:rPr>
                <w:sz w:val="24"/>
                <w:szCs w:val="24"/>
              </w:rPr>
            </w:pPr>
            <w:r>
              <w:rPr>
                <w:sz w:val="24"/>
                <w:szCs w:val="24"/>
              </w:rPr>
              <w:t>Analysis</w:t>
            </w:r>
          </w:p>
        </w:tc>
        <w:tc>
          <w:tcPr>
            <w:tcW w:w="1674" w:type="dxa"/>
            <w:noWrap/>
            <w:hideMark/>
          </w:tcPr>
          <w:p w:rsidR="00A917FF" w:rsidRDefault="00A917FF" w:rsidP="0052196B">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w:t>
            </w:r>
          </w:p>
        </w:tc>
        <w:tc>
          <w:tcPr>
            <w:tcW w:w="1825" w:type="dxa"/>
            <w:noWrap/>
            <w:hideMark/>
          </w:tcPr>
          <w:p w:rsidR="00A917FF" w:rsidRDefault="00A917FF" w:rsidP="0052196B">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Outcome</w:t>
            </w:r>
          </w:p>
        </w:tc>
        <w:tc>
          <w:tcPr>
            <w:tcW w:w="937" w:type="dxa"/>
            <w:noWrap/>
            <w:hideMark/>
          </w:tcPr>
          <w:p w:rsidR="00A917FF" w:rsidRDefault="00A917FF" w:rsidP="0052196B">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BMI</w:t>
            </w:r>
          </w:p>
        </w:tc>
        <w:tc>
          <w:tcPr>
            <w:tcW w:w="4395" w:type="dxa"/>
            <w:noWrap/>
            <w:hideMark/>
          </w:tcPr>
          <w:p w:rsidR="00A917FF" w:rsidRDefault="00A917FF" w:rsidP="0052196B">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Predictors</w:t>
            </w:r>
          </w:p>
        </w:tc>
        <w:tc>
          <w:tcPr>
            <w:tcW w:w="2787" w:type="dxa"/>
            <w:noWrap/>
            <w:hideMark/>
          </w:tcPr>
          <w:p w:rsidR="00A917FF" w:rsidRDefault="00A917FF" w:rsidP="0052196B">
            <w:pPr>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Method</w:t>
            </w:r>
          </w:p>
        </w:tc>
      </w:tr>
      <w:tr w:rsidR="00A917FF"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A917FF" w:rsidRDefault="00A917FF" w:rsidP="0052196B">
            <w:pPr>
              <w:jc w:val="both"/>
              <w:rPr>
                <w:sz w:val="24"/>
                <w:szCs w:val="24"/>
              </w:rPr>
            </w:pPr>
            <w:r>
              <w:rPr>
                <w:sz w:val="24"/>
                <w:szCs w:val="24"/>
              </w:rPr>
              <w:t xml:space="preserve">Primary </w:t>
            </w:r>
          </w:p>
        </w:tc>
        <w:tc>
          <w:tcPr>
            <w:tcW w:w="1674" w:type="dxa"/>
            <w:tcBorders>
              <w:top w:val="nil"/>
              <w:bottom w:val="nil"/>
            </w:tcBorders>
            <w:noWrap/>
            <w:hideMark/>
          </w:tcPr>
          <w:p w:rsidR="00A917FF" w:rsidRDefault="00A917FF"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w:t>
            </w:r>
          </w:p>
        </w:tc>
        <w:tc>
          <w:tcPr>
            <w:tcW w:w="182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age, sex, geographic region, smoking status, previous CVD, creatinine clearance, previous cancer, admission KK and discharge diagnosis (primary model)</w:t>
            </w:r>
          </w:p>
        </w:tc>
        <w:tc>
          <w:tcPr>
            <w:tcW w:w="278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A917FF"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A917FF" w:rsidRDefault="00A917FF" w:rsidP="0052196B">
            <w:pPr>
              <w:jc w:val="both"/>
              <w:rPr>
                <w:sz w:val="24"/>
                <w:szCs w:val="24"/>
              </w:rPr>
            </w:pPr>
            <w:r>
              <w:rPr>
                <w:sz w:val="24"/>
                <w:szCs w:val="24"/>
              </w:rPr>
              <w:t>Secondary</w:t>
            </w:r>
          </w:p>
        </w:tc>
        <w:tc>
          <w:tcPr>
            <w:tcW w:w="1674" w:type="dxa"/>
            <w:tcBorders>
              <w:top w:val="nil"/>
              <w:left w:val="nil"/>
              <w:bottom w:val="nil"/>
              <w:right w:val="nil"/>
            </w:tcBorders>
            <w:noWrap/>
            <w:hideMark/>
          </w:tcPr>
          <w:p w:rsidR="00A917FF" w:rsidRDefault="00A917FF"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w:t>
            </w:r>
          </w:p>
        </w:tc>
        <w:tc>
          <w:tcPr>
            <w:tcW w:w="182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Cardiovascular mortality</w:t>
            </w:r>
          </w:p>
        </w:tc>
        <w:tc>
          <w:tcPr>
            <w:tcW w:w="93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A917FF"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A917FF" w:rsidRDefault="00A917FF" w:rsidP="0052196B">
            <w:pPr>
              <w:jc w:val="both"/>
              <w:rPr>
                <w:sz w:val="24"/>
                <w:szCs w:val="24"/>
              </w:rPr>
            </w:pPr>
            <w:r>
              <w:rPr>
                <w:sz w:val="24"/>
                <w:szCs w:val="24"/>
              </w:rPr>
              <w:t> </w:t>
            </w:r>
          </w:p>
        </w:tc>
        <w:tc>
          <w:tcPr>
            <w:tcW w:w="1674" w:type="dxa"/>
            <w:tcBorders>
              <w:top w:val="nil"/>
              <w:bottom w:val="nil"/>
            </w:tcBorders>
            <w:noWrap/>
            <w:hideMark/>
          </w:tcPr>
          <w:p w:rsidR="00A917FF" w:rsidRDefault="00A917FF"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w:t>
            </w:r>
          </w:p>
        </w:tc>
        <w:tc>
          <w:tcPr>
            <w:tcW w:w="182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Myocardial infarction</w:t>
            </w:r>
          </w:p>
        </w:tc>
        <w:tc>
          <w:tcPr>
            <w:tcW w:w="93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A917FF"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A917FF" w:rsidRDefault="00A917FF" w:rsidP="0052196B">
            <w:pPr>
              <w:jc w:val="both"/>
              <w:rPr>
                <w:sz w:val="24"/>
                <w:szCs w:val="24"/>
              </w:rPr>
            </w:pPr>
            <w:r>
              <w:rPr>
                <w:sz w:val="24"/>
                <w:szCs w:val="24"/>
              </w:rPr>
              <w:t> </w:t>
            </w:r>
          </w:p>
        </w:tc>
        <w:tc>
          <w:tcPr>
            <w:tcW w:w="1674" w:type="dxa"/>
            <w:tcBorders>
              <w:top w:val="nil"/>
              <w:left w:val="nil"/>
              <w:bottom w:val="nil"/>
              <w:right w:val="nil"/>
            </w:tcBorders>
            <w:noWrap/>
            <w:hideMark/>
          </w:tcPr>
          <w:p w:rsidR="00A917FF" w:rsidRDefault="00A917FF"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w:t>
            </w:r>
          </w:p>
        </w:tc>
        <w:tc>
          <w:tcPr>
            <w:tcW w:w="182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Refractory angina</w:t>
            </w:r>
          </w:p>
        </w:tc>
        <w:tc>
          <w:tcPr>
            <w:tcW w:w="93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A917FF"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A917FF" w:rsidRDefault="00A917FF" w:rsidP="0052196B">
            <w:pPr>
              <w:jc w:val="both"/>
              <w:rPr>
                <w:sz w:val="24"/>
                <w:szCs w:val="24"/>
              </w:rPr>
            </w:pPr>
            <w:r>
              <w:rPr>
                <w:sz w:val="24"/>
                <w:szCs w:val="24"/>
              </w:rPr>
              <w:t> </w:t>
            </w:r>
          </w:p>
        </w:tc>
        <w:tc>
          <w:tcPr>
            <w:tcW w:w="1674" w:type="dxa"/>
            <w:tcBorders>
              <w:top w:val="nil"/>
              <w:bottom w:val="nil"/>
            </w:tcBorders>
            <w:noWrap/>
            <w:hideMark/>
          </w:tcPr>
          <w:p w:rsidR="00A917FF" w:rsidRDefault="00A917FF"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w:t>
            </w:r>
          </w:p>
        </w:tc>
        <w:tc>
          <w:tcPr>
            <w:tcW w:w="182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TVR or CABG</w:t>
            </w:r>
          </w:p>
        </w:tc>
        <w:tc>
          <w:tcPr>
            <w:tcW w:w="93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A917FF"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A917FF" w:rsidRDefault="00A917FF" w:rsidP="0052196B">
            <w:pPr>
              <w:jc w:val="both"/>
              <w:rPr>
                <w:sz w:val="24"/>
                <w:szCs w:val="24"/>
              </w:rPr>
            </w:pPr>
            <w:r>
              <w:rPr>
                <w:sz w:val="24"/>
                <w:szCs w:val="24"/>
              </w:rPr>
              <w:t> </w:t>
            </w:r>
          </w:p>
        </w:tc>
        <w:tc>
          <w:tcPr>
            <w:tcW w:w="1674" w:type="dxa"/>
            <w:tcBorders>
              <w:top w:val="nil"/>
              <w:left w:val="nil"/>
              <w:bottom w:val="nil"/>
              <w:right w:val="nil"/>
            </w:tcBorders>
            <w:noWrap/>
            <w:hideMark/>
          </w:tcPr>
          <w:p w:rsidR="00A917FF" w:rsidRDefault="00A917FF"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w:t>
            </w:r>
          </w:p>
        </w:tc>
        <w:tc>
          <w:tcPr>
            <w:tcW w:w="182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TLR or CABG</w:t>
            </w:r>
          </w:p>
        </w:tc>
        <w:tc>
          <w:tcPr>
            <w:tcW w:w="93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A917FF"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A917FF" w:rsidRDefault="00A917FF" w:rsidP="0052196B">
            <w:pPr>
              <w:jc w:val="both"/>
              <w:rPr>
                <w:sz w:val="24"/>
                <w:szCs w:val="24"/>
              </w:rPr>
            </w:pPr>
            <w:r>
              <w:rPr>
                <w:sz w:val="24"/>
                <w:szCs w:val="24"/>
              </w:rPr>
              <w:t> </w:t>
            </w:r>
          </w:p>
        </w:tc>
        <w:tc>
          <w:tcPr>
            <w:tcW w:w="1674" w:type="dxa"/>
            <w:tcBorders>
              <w:top w:val="nil"/>
              <w:bottom w:val="nil"/>
            </w:tcBorders>
            <w:noWrap/>
            <w:hideMark/>
          </w:tcPr>
          <w:p w:rsidR="00A917FF" w:rsidRDefault="00A917FF"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w:t>
            </w:r>
          </w:p>
        </w:tc>
        <w:tc>
          <w:tcPr>
            <w:tcW w:w="182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Stent thrombosis</w:t>
            </w:r>
          </w:p>
        </w:tc>
        <w:tc>
          <w:tcPr>
            <w:tcW w:w="93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A917FF"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A917FF" w:rsidRDefault="00A917FF" w:rsidP="0052196B">
            <w:pPr>
              <w:jc w:val="both"/>
              <w:rPr>
                <w:sz w:val="24"/>
                <w:szCs w:val="24"/>
              </w:rPr>
            </w:pPr>
            <w:r>
              <w:rPr>
                <w:sz w:val="24"/>
                <w:szCs w:val="24"/>
              </w:rPr>
              <w:t> </w:t>
            </w:r>
          </w:p>
        </w:tc>
        <w:tc>
          <w:tcPr>
            <w:tcW w:w="1674" w:type="dxa"/>
            <w:tcBorders>
              <w:top w:val="nil"/>
              <w:left w:val="nil"/>
              <w:bottom w:val="nil"/>
              <w:right w:val="nil"/>
            </w:tcBorders>
            <w:noWrap/>
            <w:hideMark/>
          </w:tcPr>
          <w:p w:rsidR="00A917FF" w:rsidRDefault="00A917FF"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w:t>
            </w:r>
          </w:p>
        </w:tc>
        <w:tc>
          <w:tcPr>
            <w:tcW w:w="182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Heart failure hospitalization</w:t>
            </w:r>
          </w:p>
        </w:tc>
        <w:tc>
          <w:tcPr>
            <w:tcW w:w="93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A917FF"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A917FF" w:rsidRDefault="00A917FF" w:rsidP="0052196B">
            <w:pPr>
              <w:jc w:val="both"/>
              <w:rPr>
                <w:sz w:val="24"/>
                <w:szCs w:val="24"/>
              </w:rPr>
            </w:pPr>
            <w:r>
              <w:rPr>
                <w:sz w:val="24"/>
                <w:szCs w:val="24"/>
              </w:rPr>
              <w:t> </w:t>
            </w:r>
          </w:p>
        </w:tc>
        <w:tc>
          <w:tcPr>
            <w:tcW w:w="1674" w:type="dxa"/>
            <w:tcBorders>
              <w:top w:val="nil"/>
              <w:bottom w:val="nil"/>
            </w:tcBorders>
            <w:noWrap/>
            <w:hideMark/>
          </w:tcPr>
          <w:p w:rsidR="00A917FF" w:rsidRDefault="00A917FF"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w:t>
            </w:r>
          </w:p>
        </w:tc>
        <w:tc>
          <w:tcPr>
            <w:tcW w:w="182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Heart failure related death</w:t>
            </w:r>
          </w:p>
        </w:tc>
        <w:tc>
          <w:tcPr>
            <w:tcW w:w="93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A917FF" w:rsidRDefault="00A917FF"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A917FF"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tcPr>
          <w:p w:rsidR="00A917FF" w:rsidRDefault="00A917FF" w:rsidP="0052196B">
            <w:pPr>
              <w:jc w:val="both"/>
              <w:rPr>
                <w:sz w:val="24"/>
                <w:szCs w:val="24"/>
              </w:rPr>
            </w:pPr>
          </w:p>
        </w:tc>
        <w:tc>
          <w:tcPr>
            <w:tcW w:w="1674" w:type="dxa"/>
            <w:tcBorders>
              <w:top w:val="nil"/>
              <w:left w:val="nil"/>
              <w:bottom w:val="nil"/>
              <w:right w:val="nil"/>
            </w:tcBorders>
            <w:noWrap/>
          </w:tcPr>
          <w:p w:rsidR="00A917FF" w:rsidRDefault="00A917FF" w:rsidP="0052196B">
            <w:pPr>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1825"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Major bleeding</w:t>
            </w:r>
          </w:p>
        </w:tc>
        <w:tc>
          <w:tcPr>
            <w:tcW w:w="93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A917FF"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thrombolytic use, anticoagulation at discharge, antiplatelet therapy, admission hemoglobin, heart rate and systolic blood pressure</w:t>
            </w:r>
          </w:p>
        </w:tc>
        <w:tc>
          <w:tcPr>
            <w:tcW w:w="2787" w:type="dxa"/>
            <w:tcBorders>
              <w:top w:val="nil"/>
              <w:left w:val="nil"/>
              <w:bottom w:val="nil"/>
              <w:right w:val="nil"/>
            </w:tcBorders>
            <w:noWrap/>
            <w:hideMark/>
          </w:tcPr>
          <w:p w:rsidR="00A917FF" w:rsidRDefault="00A917FF"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tcPr>
          <w:p w:rsidR="00FA1861" w:rsidRDefault="00FA1861" w:rsidP="0052196B">
            <w:pPr>
              <w:jc w:val="both"/>
              <w:rPr>
                <w:sz w:val="24"/>
                <w:szCs w:val="24"/>
              </w:rPr>
            </w:pPr>
          </w:p>
        </w:tc>
        <w:tc>
          <w:tcPr>
            <w:tcW w:w="1674" w:type="dxa"/>
            <w:tcBorders>
              <w:top w:val="nil"/>
              <w:bottom w:val="nil"/>
            </w:tcBorders>
            <w:noWrap/>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Major or Minor bleeding</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081DC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 thrombolytic use, anticoagulation at discharge, antiplatelet therapy, admission hemoglobin, heart rate and systolic blood pressure</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FA1861" w:rsidRDefault="00FA1861" w:rsidP="0052196B">
            <w:pPr>
              <w:jc w:val="both"/>
              <w:rPr>
                <w:sz w:val="24"/>
                <w:szCs w:val="24"/>
              </w:rPr>
            </w:pPr>
            <w:r>
              <w:rPr>
                <w:sz w:val="24"/>
                <w:szCs w:val="24"/>
              </w:rPr>
              <w:lastRenderedPageBreak/>
              <w:t>Subgroups</w:t>
            </w: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Age (60 years cutoff)</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Sex</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FA1861" w:rsidRDefault="00FA1861" w:rsidP="0052196B">
            <w:pPr>
              <w:jc w:val="both"/>
              <w:rPr>
                <w:sz w:val="24"/>
                <w:szCs w:val="24"/>
              </w:rPr>
            </w:pPr>
            <w:r>
              <w:rPr>
                <w:sz w:val="24"/>
                <w:szCs w:val="24"/>
              </w:rPr>
              <w:t> </w:t>
            </w: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Ethnicity</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Diabetes</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FA1861" w:rsidRDefault="00FA1861" w:rsidP="0052196B">
            <w:pPr>
              <w:jc w:val="both"/>
              <w:rPr>
                <w:sz w:val="24"/>
                <w:szCs w:val="24"/>
              </w:rPr>
            </w:pPr>
            <w:r>
              <w:rPr>
                <w:sz w:val="24"/>
                <w:szCs w:val="24"/>
              </w:rPr>
              <w:t> </w:t>
            </w: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Previous CVD</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CKD</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FA1861" w:rsidRDefault="00FA1861" w:rsidP="0052196B">
            <w:pPr>
              <w:jc w:val="both"/>
              <w:rPr>
                <w:sz w:val="24"/>
                <w:szCs w:val="24"/>
              </w:rPr>
            </w:pPr>
            <w:r>
              <w:rPr>
                <w:sz w:val="24"/>
                <w:szCs w:val="24"/>
              </w:rPr>
              <w:t> </w:t>
            </w: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ACS presentation</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Heart failure on admission</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 with interaction terms and Cox regression</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hideMark/>
          </w:tcPr>
          <w:p w:rsidR="00FA1861" w:rsidRDefault="00FA1861" w:rsidP="0052196B">
            <w:pPr>
              <w:jc w:val="both"/>
              <w:rPr>
                <w:sz w:val="24"/>
                <w:szCs w:val="24"/>
              </w:rPr>
            </w:pPr>
            <w:r>
              <w:rPr>
                <w:sz w:val="24"/>
                <w:szCs w:val="24"/>
              </w:rPr>
              <w:t>Sensitivity</w:t>
            </w: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Two-step approach</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Cox regression and inverse variance random effects MA </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Continuous BMI</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(cont.)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Restricted cubic splines</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tcPr>
          <w:p w:rsidR="00FA1861" w:rsidRDefault="00FA1861" w:rsidP="0052196B">
            <w:pPr>
              <w:jc w:val="both"/>
              <w:rPr>
                <w:sz w:val="24"/>
                <w:szCs w:val="24"/>
              </w:rPr>
            </w:pP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Alternative models</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DBT, HTN and HLP</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admission variables</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Primary model + discharge medications</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coronary anatomy</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with upper-normal BMI as reference category</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with 30-day landmark analysis</w:t>
            </w: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Shared frailty</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nil"/>
            </w:tcBorders>
            <w:noWrap/>
            <w:hideMark/>
          </w:tcPr>
          <w:p w:rsidR="00FA1861" w:rsidRDefault="00FA1861" w:rsidP="0052196B">
            <w:pPr>
              <w:jc w:val="both"/>
              <w:rPr>
                <w:sz w:val="24"/>
                <w:szCs w:val="24"/>
              </w:rPr>
            </w:pPr>
            <w:r>
              <w:rPr>
                <w:sz w:val="24"/>
                <w:szCs w:val="24"/>
              </w:rPr>
              <w:lastRenderedPageBreak/>
              <w:t> </w:t>
            </w:r>
          </w:p>
        </w:tc>
        <w:tc>
          <w:tcPr>
            <w:tcW w:w="1674" w:type="dxa"/>
            <w:tcBorders>
              <w:top w:val="nil"/>
              <w:bottom w:val="nil"/>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Reverse causality</w:t>
            </w:r>
          </w:p>
        </w:tc>
        <w:tc>
          <w:tcPr>
            <w:tcW w:w="182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nil"/>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Shared frailty excluding previous CVD, cancer and CKD</w:t>
            </w:r>
          </w:p>
        </w:tc>
      </w:tr>
      <w:tr w:rsidR="00FA1861" w:rsidTr="00A917FF">
        <w:trPr>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left w:val="nil"/>
              <w:bottom w:val="nil"/>
              <w:right w:val="nil"/>
            </w:tcBorders>
            <w:noWrap/>
          </w:tcPr>
          <w:p w:rsidR="00FA1861" w:rsidRDefault="00FA1861" w:rsidP="0052196B">
            <w:pPr>
              <w:jc w:val="both"/>
              <w:rPr>
                <w:sz w:val="24"/>
                <w:szCs w:val="24"/>
              </w:rPr>
            </w:pPr>
          </w:p>
        </w:tc>
        <w:tc>
          <w:tcPr>
            <w:tcW w:w="1674" w:type="dxa"/>
            <w:tcBorders>
              <w:top w:val="nil"/>
              <w:left w:val="nil"/>
              <w:bottom w:val="nil"/>
              <w:right w:val="nil"/>
            </w:tcBorders>
            <w:noWrap/>
            <w:hideMark/>
          </w:tcPr>
          <w:p w:rsidR="00FA1861" w:rsidRDefault="00FA1861" w:rsidP="0052196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Propensity score</w:t>
            </w:r>
          </w:p>
        </w:tc>
        <w:tc>
          <w:tcPr>
            <w:tcW w:w="1825"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All-cause mortality</w:t>
            </w:r>
          </w:p>
        </w:tc>
        <w:tc>
          <w:tcPr>
            <w:tcW w:w="93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BMI (cat.)</w:t>
            </w:r>
          </w:p>
        </w:tc>
        <w:tc>
          <w:tcPr>
            <w:tcW w:w="4395" w:type="dxa"/>
            <w:tcBorders>
              <w:top w:val="nil"/>
              <w:left w:val="nil"/>
              <w:bottom w:val="nil"/>
              <w:right w:val="nil"/>
            </w:tcBorders>
            <w:noWrap/>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+ 1:1 matching</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propensity stratification</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Primary model + propensity adjustment</w:t>
            </w:r>
          </w:p>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p>
        </w:tc>
        <w:tc>
          <w:tcPr>
            <w:tcW w:w="2787" w:type="dxa"/>
            <w:tcBorders>
              <w:top w:val="nil"/>
              <w:left w:val="nil"/>
              <w:bottom w:val="nil"/>
              <w:right w:val="nil"/>
            </w:tcBorders>
            <w:noWrap/>
            <w:hideMark/>
          </w:tcPr>
          <w:p w:rsidR="00FA1861" w:rsidRDefault="00FA1861" w:rsidP="00FA186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Shared frailty</w:t>
            </w:r>
          </w:p>
        </w:tc>
      </w:tr>
      <w:tr w:rsidR="00FA1861" w:rsidTr="00A917F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2" w:type="dxa"/>
            <w:tcBorders>
              <w:top w:val="nil"/>
              <w:bottom w:val="single" w:sz="8" w:space="0" w:color="000000" w:themeColor="text1"/>
            </w:tcBorders>
            <w:noWrap/>
            <w:hideMark/>
          </w:tcPr>
          <w:p w:rsidR="00FA1861" w:rsidRDefault="00FA1861" w:rsidP="0052196B">
            <w:pPr>
              <w:jc w:val="both"/>
              <w:rPr>
                <w:sz w:val="24"/>
                <w:szCs w:val="24"/>
              </w:rPr>
            </w:pPr>
            <w:r>
              <w:rPr>
                <w:sz w:val="24"/>
                <w:szCs w:val="24"/>
              </w:rPr>
              <w:t> </w:t>
            </w:r>
          </w:p>
        </w:tc>
        <w:tc>
          <w:tcPr>
            <w:tcW w:w="1674" w:type="dxa"/>
            <w:tcBorders>
              <w:top w:val="nil"/>
              <w:bottom w:val="single" w:sz="8" w:space="0" w:color="000000" w:themeColor="text1"/>
            </w:tcBorders>
            <w:noWrap/>
            <w:hideMark/>
          </w:tcPr>
          <w:p w:rsidR="00FA1861" w:rsidRDefault="00FA1861" w:rsidP="0052196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Array and rule out analysis</w:t>
            </w:r>
          </w:p>
        </w:tc>
        <w:tc>
          <w:tcPr>
            <w:tcW w:w="1825" w:type="dxa"/>
            <w:tcBorders>
              <w:top w:val="nil"/>
              <w:bottom w:val="single" w:sz="8" w:space="0" w:color="000000" w:themeColor="text1"/>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All-cause mortality</w:t>
            </w:r>
          </w:p>
        </w:tc>
        <w:tc>
          <w:tcPr>
            <w:tcW w:w="937" w:type="dxa"/>
            <w:tcBorders>
              <w:top w:val="nil"/>
              <w:bottom w:val="single" w:sz="8" w:space="0" w:color="000000" w:themeColor="text1"/>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BMI (cat.)</w:t>
            </w:r>
          </w:p>
        </w:tc>
        <w:tc>
          <w:tcPr>
            <w:tcW w:w="4395" w:type="dxa"/>
            <w:tcBorders>
              <w:top w:val="nil"/>
              <w:bottom w:val="single" w:sz="8" w:space="0" w:color="000000" w:themeColor="text1"/>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Primary model</w:t>
            </w:r>
          </w:p>
        </w:tc>
        <w:tc>
          <w:tcPr>
            <w:tcW w:w="2787" w:type="dxa"/>
            <w:tcBorders>
              <w:top w:val="nil"/>
              <w:bottom w:val="single" w:sz="8" w:space="0" w:color="000000" w:themeColor="text1"/>
            </w:tcBorders>
            <w:noWrap/>
            <w:hideMark/>
          </w:tcPr>
          <w:p w:rsidR="00FA1861" w:rsidRDefault="00FA1861" w:rsidP="00FA1861">
            <w:pPr>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Schneeweiss</w:t>
            </w:r>
            <w:proofErr w:type="spellEnd"/>
            <w:r>
              <w:rPr>
                <w:sz w:val="24"/>
                <w:szCs w:val="24"/>
              </w:rPr>
              <w:t xml:space="preserve"> et. Al</w:t>
            </w:r>
          </w:p>
        </w:tc>
      </w:tr>
    </w:tbl>
    <w:p w:rsidR="00A917FF" w:rsidRDefault="00A917FF" w:rsidP="0052196B">
      <w:pPr>
        <w:jc w:val="both"/>
        <w:rPr>
          <w:sz w:val="24"/>
          <w:szCs w:val="24"/>
        </w:rPr>
      </w:pPr>
    </w:p>
    <w:p w:rsidR="00A917FF" w:rsidRDefault="00A917FF" w:rsidP="0052196B">
      <w:pPr>
        <w:jc w:val="both"/>
        <w:rPr>
          <w:sz w:val="24"/>
          <w:szCs w:val="24"/>
        </w:rPr>
      </w:pPr>
      <w:r>
        <w:rPr>
          <w:sz w:val="24"/>
          <w:szCs w:val="24"/>
        </w:rPr>
        <w:t xml:space="preserve">Footnote: Cat: categorical, </w:t>
      </w:r>
      <w:proofErr w:type="spellStart"/>
      <w:r>
        <w:rPr>
          <w:sz w:val="24"/>
          <w:szCs w:val="24"/>
        </w:rPr>
        <w:t>Cont</w:t>
      </w:r>
      <w:proofErr w:type="spellEnd"/>
      <w:r>
        <w:rPr>
          <w:sz w:val="24"/>
          <w:szCs w:val="24"/>
        </w:rPr>
        <w:t>: continuous, HLP: Hyperlipidemia.</w:t>
      </w:r>
    </w:p>
    <w:p w:rsidR="00A917FF" w:rsidRDefault="00A917FF" w:rsidP="0052196B">
      <w:pPr>
        <w:pStyle w:val="Sinespaciado"/>
        <w:spacing w:line="480" w:lineRule="auto"/>
        <w:jc w:val="both"/>
        <w:rPr>
          <w:sz w:val="24"/>
          <w:szCs w:val="24"/>
        </w:rPr>
      </w:pPr>
    </w:p>
    <w:p w:rsidR="00A917FF" w:rsidRDefault="00A917FF" w:rsidP="0052196B">
      <w:pPr>
        <w:jc w:val="both"/>
        <w:sectPr w:rsidR="00A917FF" w:rsidSect="00A917FF">
          <w:headerReference w:type="default" r:id="rId29"/>
          <w:pgSz w:w="15840" w:h="12240" w:orient="landscape"/>
          <w:pgMar w:top="1440" w:right="1440" w:bottom="1440" w:left="1440" w:header="720" w:footer="720" w:gutter="0"/>
          <w:cols w:space="720"/>
          <w:docGrid w:linePitch="360"/>
        </w:sectPr>
      </w:pPr>
    </w:p>
    <w:p w:rsidR="00A917FF" w:rsidRPr="007B001E" w:rsidRDefault="00A917FF" w:rsidP="0052196B">
      <w:pPr>
        <w:pStyle w:val="chapterstitles"/>
        <w:jc w:val="both"/>
      </w:pPr>
      <w:r w:rsidRPr="0002286B">
        <w:lastRenderedPageBreak/>
        <w:t>CHAPTER 4: INDIVIDUAL PATIENT DATA META-ANALYSIS RESULTS</w:t>
      </w:r>
    </w:p>
    <w:p w:rsidR="00A917FF" w:rsidRPr="00A206DA" w:rsidRDefault="00A917FF" w:rsidP="0052196B">
      <w:pPr>
        <w:jc w:val="both"/>
        <w:rPr>
          <w:sz w:val="24"/>
          <w:szCs w:val="24"/>
        </w:rPr>
      </w:pPr>
      <w:r>
        <w:rPr>
          <w:b/>
          <w:sz w:val="24"/>
          <w:szCs w:val="24"/>
        </w:rPr>
        <w:t>BMI nomenclature note:</w:t>
      </w:r>
    </w:p>
    <w:p w:rsidR="00A917FF" w:rsidRPr="00A206DA" w:rsidRDefault="00A917FF" w:rsidP="0052196B">
      <w:pPr>
        <w:pStyle w:val="Sinespaciado"/>
        <w:spacing w:line="480" w:lineRule="auto"/>
        <w:ind w:firstLine="720"/>
        <w:jc w:val="both"/>
        <w:rPr>
          <w:sz w:val="24"/>
          <w:szCs w:val="24"/>
        </w:rPr>
      </w:pPr>
      <w:r>
        <w:rPr>
          <w:sz w:val="24"/>
          <w:szCs w:val="24"/>
        </w:rPr>
        <w:t xml:space="preserve">Underweight: BMI </w:t>
      </w:r>
      <w:r w:rsidRPr="0002286B">
        <w:rPr>
          <w:sz w:val="24"/>
          <w:lang w:val="en-CA"/>
        </w:rPr>
        <w:t>&lt;</w:t>
      </w:r>
      <w:r>
        <w:rPr>
          <w:sz w:val="24"/>
          <w:szCs w:val="24"/>
        </w:rPr>
        <w:t xml:space="preserve"> 18.5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Normal weight: BMI 18.5 – 24.9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Overweight: BMI 25 – 29.9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Type I obesity: BMI 30 – 34.9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Type II obesity: BMI 35 – 39.9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Type III obesity or morbid obesity: &gt;= 40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High BMI categories: BMI &gt;= 25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sz w:val="24"/>
          <w:szCs w:val="24"/>
        </w:rPr>
      </w:pPr>
      <w:r>
        <w:rPr>
          <w:sz w:val="24"/>
          <w:szCs w:val="24"/>
        </w:rPr>
        <w:t>Obese categories: BMI &gt;= 30 kg/m</w:t>
      </w:r>
      <w:r>
        <w:rPr>
          <w:sz w:val="24"/>
          <w:szCs w:val="24"/>
          <w:vertAlign w:val="superscript"/>
        </w:rPr>
        <w:t>2</w:t>
      </w:r>
      <w:r>
        <w:rPr>
          <w:sz w:val="24"/>
          <w:szCs w:val="24"/>
        </w:rPr>
        <w:t>.</w:t>
      </w:r>
    </w:p>
    <w:p w:rsidR="00A917FF" w:rsidRDefault="00A917FF" w:rsidP="0052196B">
      <w:pPr>
        <w:pStyle w:val="Sinespaciado"/>
        <w:spacing w:line="480" w:lineRule="auto"/>
        <w:ind w:firstLine="720"/>
        <w:jc w:val="both"/>
        <w:rPr>
          <w:b/>
          <w:sz w:val="24"/>
          <w:szCs w:val="24"/>
        </w:rPr>
      </w:pPr>
    </w:p>
    <w:p w:rsidR="00A917FF" w:rsidRDefault="00A917FF" w:rsidP="0052196B">
      <w:pPr>
        <w:pStyle w:val="Sinespaciado"/>
        <w:spacing w:line="480" w:lineRule="auto"/>
        <w:jc w:val="both"/>
        <w:rPr>
          <w:b/>
          <w:sz w:val="24"/>
          <w:szCs w:val="24"/>
        </w:rPr>
      </w:pPr>
      <w:r>
        <w:rPr>
          <w:b/>
          <w:sz w:val="24"/>
          <w:szCs w:val="24"/>
        </w:rPr>
        <w:t>Study subjects</w:t>
      </w:r>
    </w:p>
    <w:p w:rsidR="00A917FF" w:rsidRDefault="00A917FF" w:rsidP="0052196B">
      <w:pPr>
        <w:pStyle w:val="Sinespaciado"/>
        <w:spacing w:line="480" w:lineRule="auto"/>
        <w:ind w:firstLine="720"/>
        <w:jc w:val="both"/>
        <w:rPr>
          <w:noProof/>
          <w:sz w:val="24"/>
          <w:szCs w:val="24"/>
        </w:rPr>
      </w:pPr>
      <w:r>
        <w:rPr>
          <w:noProof/>
          <w:sz w:val="24"/>
          <w:szCs w:val="24"/>
        </w:rPr>
        <w:t>A total of</w:t>
      </w:r>
      <w:r w:rsidRPr="00982539">
        <w:rPr>
          <w:noProof/>
          <w:sz w:val="24"/>
          <w:szCs w:val="24"/>
        </w:rPr>
        <w:t xml:space="preserve"> 88,378</w:t>
      </w:r>
      <w:r>
        <w:rPr>
          <w:noProof/>
          <w:sz w:val="24"/>
          <w:szCs w:val="24"/>
        </w:rPr>
        <w:t xml:space="preserve"> participants from 45 countries </w:t>
      </w:r>
      <w:r w:rsidRPr="00F23E80">
        <w:rPr>
          <w:noProof/>
          <w:sz w:val="24"/>
          <w:szCs w:val="24"/>
        </w:rPr>
        <w:t>were included</w:t>
      </w:r>
      <w:r>
        <w:rPr>
          <w:noProof/>
          <w:sz w:val="24"/>
          <w:szCs w:val="24"/>
        </w:rPr>
        <w:t xml:space="preserve"> in the 8 trials (Figure 1). </w:t>
      </w:r>
      <w:r w:rsidRPr="00F23E80">
        <w:rPr>
          <w:noProof/>
          <w:sz w:val="24"/>
          <w:szCs w:val="24"/>
        </w:rPr>
        <w:t xml:space="preserve">A total of 6,825 (7.7%) were excluded </w:t>
      </w:r>
      <w:r>
        <w:rPr>
          <w:noProof/>
          <w:sz w:val="24"/>
          <w:szCs w:val="24"/>
        </w:rPr>
        <w:t>due</w:t>
      </w:r>
      <w:r w:rsidRPr="00F23E80">
        <w:rPr>
          <w:noProof/>
          <w:sz w:val="24"/>
          <w:szCs w:val="24"/>
        </w:rPr>
        <w:t xml:space="preserve"> to: missing or implausible BMI data (825, 0.9%) or presence of a non-ACS diagnosis at discharge and/or normal coronary anatomy at any time during the study (6,064, 6.8%).</w:t>
      </w:r>
      <w:r>
        <w:rPr>
          <w:noProof/>
          <w:sz w:val="24"/>
          <w:szCs w:val="24"/>
        </w:rPr>
        <w:t xml:space="preserve"> The remaining </w:t>
      </w:r>
      <w:r w:rsidRPr="0037458F">
        <w:rPr>
          <w:noProof/>
          <w:sz w:val="24"/>
          <w:szCs w:val="24"/>
        </w:rPr>
        <w:t xml:space="preserve">81,553 </w:t>
      </w:r>
      <w:r>
        <w:rPr>
          <w:noProof/>
          <w:sz w:val="24"/>
          <w:szCs w:val="24"/>
        </w:rPr>
        <w:t xml:space="preserve"> participants were included in the analysis, of whom 22,657</w:t>
      </w:r>
      <w:r w:rsidRPr="00240056">
        <w:rPr>
          <w:noProof/>
          <w:sz w:val="24"/>
          <w:szCs w:val="24"/>
        </w:rPr>
        <w:t>(27.8 %)</w:t>
      </w:r>
      <w:r>
        <w:rPr>
          <w:noProof/>
          <w:sz w:val="24"/>
          <w:szCs w:val="24"/>
        </w:rPr>
        <w:t xml:space="preserve"> had unstable angina, 29,046</w:t>
      </w:r>
      <w:r w:rsidRPr="00240056">
        <w:rPr>
          <w:noProof/>
          <w:sz w:val="24"/>
          <w:szCs w:val="24"/>
        </w:rPr>
        <w:t xml:space="preserve"> (35.6 %)</w:t>
      </w:r>
      <w:r>
        <w:rPr>
          <w:noProof/>
          <w:sz w:val="24"/>
          <w:szCs w:val="24"/>
        </w:rPr>
        <w:t xml:space="preserve"> NSTEMI and 29,850</w:t>
      </w:r>
      <w:r w:rsidRPr="00240056">
        <w:rPr>
          <w:noProof/>
          <w:sz w:val="24"/>
          <w:szCs w:val="24"/>
        </w:rPr>
        <w:t xml:space="preserve"> (36.6 %)</w:t>
      </w:r>
      <w:r>
        <w:rPr>
          <w:noProof/>
          <w:sz w:val="24"/>
          <w:szCs w:val="24"/>
        </w:rPr>
        <w:t xml:space="preserve"> STEMI. </w:t>
      </w:r>
    </w:p>
    <w:p w:rsidR="00A917FF" w:rsidRDefault="00A917FF" w:rsidP="0052196B">
      <w:pPr>
        <w:pStyle w:val="Sinespaciado"/>
        <w:spacing w:line="480" w:lineRule="auto"/>
        <w:ind w:firstLine="720"/>
        <w:jc w:val="both"/>
        <w:rPr>
          <w:noProof/>
          <w:sz w:val="24"/>
          <w:szCs w:val="24"/>
        </w:rPr>
      </w:pPr>
      <w:r>
        <w:rPr>
          <w:noProof/>
          <w:sz w:val="24"/>
          <w:szCs w:val="24"/>
        </w:rPr>
        <w:t xml:space="preserve">Mean age was 63.4 </w:t>
      </w:r>
      <w:r>
        <w:rPr>
          <w:rFonts w:ascii="Times New Roman" w:hAnsi="Times New Roman" w:cs="Times New Roman"/>
          <w:noProof/>
          <w:sz w:val="24"/>
          <w:szCs w:val="24"/>
        </w:rPr>
        <w:t>±</w:t>
      </w:r>
      <w:r>
        <w:rPr>
          <w:noProof/>
          <w:sz w:val="24"/>
          <w:szCs w:val="24"/>
        </w:rPr>
        <w:t xml:space="preserve"> 11.7, 70% were male, and mean BMI was </w:t>
      </w:r>
      <w:r w:rsidRPr="00240056">
        <w:rPr>
          <w:noProof/>
          <w:sz w:val="24"/>
          <w:szCs w:val="24"/>
        </w:rPr>
        <w:t>27.3</w:t>
      </w:r>
      <w:r>
        <w:rPr>
          <w:noProof/>
          <w:sz w:val="24"/>
          <w:szCs w:val="24"/>
        </w:rPr>
        <w:t xml:space="preserve"> kg/m</w:t>
      </w:r>
      <w:r>
        <w:rPr>
          <w:noProof/>
          <w:sz w:val="24"/>
          <w:szCs w:val="24"/>
          <w:vertAlign w:val="superscript"/>
        </w:rPr>
        <w:t xml:space="preserve">2 </w:t>
      </w:r>
      <w:r>
        <w:rPr>
          <w:rFonts w:ascii="Times New Roman" w:hAnsi="Times New Roman" w:cs="Times New Roman"/>
          <w:noProof/>
          <w:sz w:val="24"/>
          <w:szCs w:val="24"/>
        </w:rPr>
        <w:t>±</w:t>
      </w:r>
      <w:r>
        <w:rPr>
          <w:noProof/>
          <w:sz w:val="24"/>
          <w:szCs w:val="24"/>
        </w:rPr>
        <w:t xml:space="preserve"> 4.7 (Table 1). The predominant geographic region was Europe (28.9% from Western and 25% from Eastern Europe), followed by North America (11.2% from Canda and 7.5% from </w:t>
      </w:r>
      <w:r w:rsidRPr="00F23E80">
        <w:rPr>
          <w:noProof/>
          <w:sz w:val="24"/>
          <w:szCs w:val="24"/>
        </w:rPr>
        <w:t>United States</w:t>
      </w:r>
      <w:r>
        <w:rPr>
          <w:noProof/>
          <w:sz w:val="24"/>
          <w:szCs w:val="24"/>
        </w:rPr>
        <w:t xml:space="preserve">). </w:t>
      </w:r>
      <w:r w:rsidRPr="00F23E80">
        <w:rPr>
          <w:noProof/>
          <w:sz w:val="24"/>
          <w:szCs w:val="24"/>
        </w:rPr>
        <w:t xml:space="preserve">The remaining 27.4% </w:t>
      </w:r>
      <w:r>
        <w:rPr>
          <w:noProof/>
          <w:sz w:val="24"/>
          <w:szCs w:val="24"/>
        </w:rPr>
        <w:t>were from</w:t>
      </w:r>
      <w:r w:rsidRPr="00F23E80">
        <w:rPr>
          <w:noProof/>
          <w:sz w:val="24"/>
          <w:szCs w:val="24"/>
        </w:rPr>
        <w:t xml:space="preserve"> Asia (13.4%), Latin America (8.2%), Australia or New Zealand </w:t>
      </w:r>
      <w:r w:rsidRPr="00F23E80">
        <w:rPr>
          <w:noProof/>
          <w:sz w:val="24"/>
          <w:szCs w:val="24"/>
        </w:rPr>
        <w:lastRenderedPageBreak/>
        <w:t>(2.6%), Middle East (2.4%) or South Africa (0.8%).</w:t>
      </w:r>
      <w:r>
        <w:rPr>
          <w:noProof/>
          <w:sz w:val="24"/>
          <w:szCs w:val="24"/>
        </w:rPr>
        <w:t xml:space="preserve"> Study-level characteristics are presented in the Table S1 in the Supplementary Appendix.</w:t>
      </w:r>
    </w:p>
    <w:p w:rsidR="00A917FF" w:rsidRPr="00FB6665" w:rsidRDefault="00A917FF" w:rsidP="0052196B">
      <w:pPr>
        <w:pStyle w:val="Sinespaciado"/>
        <w:spacing w:line="480" w:lineRule="auto"/>
        <w:jc w:val="both"/>
        <w:rPr>
          <w:b/>
          <w:sz w:val="24"/>
          <w:szCs w:val="24"/>
        </w:rPr>
      </w:pPr>
    </w:p>
    <w:p w:rsidR="00A917FF" w:rsidRPr="00FB6665" w:rsidRDefault="00A917FF" w:rsidP="0052196B">
      <w:pPr>
        <w:pStyle w:val="Sinespaciado"/>
        <w:spacing w:line="480" w:lineRule="auto"/>
        <w:jc w:val="both"/>
        <w:rPr>
          <w:b/>
          <w:sz w:val="24"/>
          <w:szCs w:val="24"/>
        </w:rPr>
      </w:pPr>
      <w:r w:rsidRPr="00FB6665">
        <w:rPr>
          <w:b/>
          <w:sz w:val="24"/>
          <w:szCs w:val="24"/>
        </w:rPr>
        <w:t xml:space="preserve">BMI and baseline characteristics </w:t>
      </w:r>
    </w:p>
    <w:p w:rsidR="00A917FF" w:rsidRDefault="00A917FF" w:rsidP="0052196B">
      <w:pPr>
        <w:pStyle w:val="Sinespaciado"/>
        <w:spacing w:line="480" w:lineRule="auto"/>
        <w:ind w:firstLine="720"/>
        <w:jc w:val="both"/>
        <w:rPr>
          <w:noProof/>
          <w:sz w:val="24"/>
          <w:szCs w:val="24"/>
        </w:rPr>
      </w:pPr>
      <w:r>
        <w:rPr>
          <w:noProof/>
          <w:sz w:val="24"/>
          <w:szCs w:val="24"/>
        </w:rPr>
        <w:t xml:space="preserve">Baseline prevalences among different BMI categories </w:t>
      </w:r>
      <w:r w:rsidRPr="0080262B">
        <w:rPr>
          <w:noProof/>
          <w:sz w:val="24"/>
          <w:szCs w:val="24"/>
        </w:rPr>
        <w:t>are presented</w:t>
      </w:r>
      <w:r>
        <w:rPr>
          <w:noProof/>
          <w:sz w:val="24"/>
          <w:szCs w:val="24"/>
        </w:rPr>
        <w:t xml:space="preserve"> in Table 1, and mean values of BMI across different characteristics </w:t>
      </w:r>
      <w:r w:rsidRPr="0080262B">
        <w:rPr>
          <w:noProof/>
          <w:sz w:val="24"/>
          <w:szCs w:val="24"/>
        </w:rPr>
        <w:t>are shown</w:t>
      </w:r>
      <w:r>
        <w:rPr>
          <w:noProof/>
          <w:sz w:val="24"/>
          <w:szCs w:val="24"/>
        </w:rPr>
        <w:t xml:space="preserve"> in Table S2. There was an inverse association between BMI categories and age. </w:t>
      </w:r>
      <w:r w:rsidRPr="0080262B">
        <w:rPr>
          <w:noProof/>
          <w:sz w:val="24"/>
          <w:szCs w:val="24"/>
        </w:rPr>
        <w:t>Mean</w:t>
      </w:r>
      <w:r>
        <w:rPr>
          <w:noProof/>
          <w:sz w:val="24"/>
          <w:szCs w:val="24"/>
        </w:rPr>
        <w:t xml:space="preserve"> age difference between normal weight and obese patients ranged from -1.12 years in </w:t>
      </w:r>
      <w:r w:rsidRPr="0080262B">
        <w:rPr>
          <w:noProof/>
          <w:sz w:val="24"/>
          <w:szCs w:val="24"/>
        </w:rPr>
        <w:t>overweight to</w:t>
      </w:r>
      <w:r>
        <w:rPr>
          <w:noProof/>
          <w:sz w:val="24"/>
          <w:szCs w:val="24"/>
        </w:rPr>
        <w:t xml:space="preserve"> -6.24 years in morbidly obese </w:t>
      </w:r>
      <w:r w:rsidRPr="0080262B">
        <w:rPr>
          <w:noProof/>
          <w:sz w:val="24"/>
          <w:szCs w:val="24"/>
        </w:rPr>
        <w:t>participan</w:t>
      </w:r>
      <w:r>
        <w:rPr>
          <w:noProof/>
          <w:sz w:val="24"/>
          <w:szCs w:val="24"/>
        </w:rPr>
        <w:t>t</w:t>
      </w:r>
      <w:r w:rsidRPr="0080262B">
        <w:rPr>
          <w:noProof/>
          <w:sz w:val="24"/>
          <w:szCs w:val="24"/>
        </w:rPr>
        <w:t>s</w:t>
      </w:r>
      <w:r>
        <w:rPr>
          <w:noProof/>
          <w:sz w:val="24"/>
          <w:szCs w:val="24"/>
        </w:rPr>
        <w:t xml:space="preserve">. However, when BMI is analyzed according to age groups, </w:t>
      </w:r>
      <w:r w:rsidRPr="0080262B">
        <w:rPr>
          <w:noProof/>
          <w:sz w:val="24"/>
          <w:szCs w:val="24"/>
        </w:rPr>
        <w:t>BMI remained fairly constant (less than half BMI point difference) across participant</w:t>
      </w:r>
      <w:r>
        <w:rPr>
          <w:noProof/>
          <w:sz w:val="24"/>
          <w:szCs w:val="24"/>
        </w:rPr>
        <w:t>s under 70 years of age</w:t>
      </w:r>
      <w:r w:rsidRPr="00542CBB">
        <w:rPr>
          <w:noProof/>
          <w:sz w:val="24"/>
          <w:szCs w:val="24"/>
        </w:rPr>
        <w:t xml:space="preserve">: </w:t>
      </w:r>
      <w:r w:rsidRPr="0080262B">
        <w:rPr>
          <w:noProof/>
          <w:sz w:val="24"/>
          <w:szCs w:val="24"/>
        </w:rPr>
        <w:t>from a mean of 27.96 kg/m</w:t>
      </w:r>
      <w:r w:rsidRPr="00542CBB">
        <w:rPr>
          <w:noProof/>
          <w:sz w:val="24"/>
          <w:szCs w:val="24"/>
        </w:rPr>
        <w:t>2 ±</w:t>
      </w:r>
      <w:r>
        <w:rPr>
          <w:noProof/>
          <w:sz w:val="24"/>
          <w:szCs w:val="24"/>
        </w:rPr>
        <w:t xml:space="preserve"> </w:t>
      </w:r>
      <w:r w:rsidRPr="00542CBB">
        <w:rPr>
          <w:noProof/>
          <w:sz w:val="24"/>
          <w:szCs w:val="24"/>
        </w:rPr>
        <w:t>5.33</w:t>
      </w:r>
      <w:r w:rsidRPr="0080262B">
        <w:rPr>
          <w:noProof/>
          <w:sz w:val="24"/>
          <w:szCs w:val="24"/>
        </w:rPr>
        <w:t xml:space="preserve"> in patients with less than 40 years to 27.51 kg/m</w:t>
      </w:r>
      <w:r w:rsidRPr="00542CBB">
        <w:rPr>
          <w:noProof/>
          <w:sz w:val="24"/>
          <w:szCs w:val="24"/>
        </w:rPr>
        <w:t>2 ±</w:t>
      </w:r>
      <w:r>
        <w:rPr>
          <w:noProof/>
          <w:sz w:val="24"/>
          <w:szCs w:val="24"/>
        </w:rPr>
        <w:t xml:space="preserve"> </w:t>
      </w:r>
      <w:r w:rsidRPr="00542CBB">
        <w:rPr>
          <w:noProof/>
          <w:sz w:val="24"/>
          <w:szCs w:val="24"/>
        </w:rPr>
        <w:t>4.62</w:t>
      </w:r>
      <w:r w:rsidRPr="0080262B">
        <w:rPr>
          <w:noProof/>
          <w:sz w:val="24"/>
          <w:szCs w:val="24"/>
        </w:rPr>
        <w:t xml:space="preserve"> in adults between 60 and 70 years</w:t>
      </w:r>
      <w:r>
        <w:rPr>
          <w:noProof/>
          <w:sz w:val="24"/>
          <w:szCs w:val="24"/>
        </w:rPr>
        <w:t xml:space="preserve"> (Figure S1)</w:t>
      </w:r>
      <w:r w:rsidRPr="0080262B">
        <w:rPr>
          <w:noProof/>
          <w:sz w:val="24"/>
          <w:szCs w:val="24"/>
        </w:rPr>
        <w:t>.</w:t>
      </w:r>
      <w:r>
        <w:rPr>
          <w:noProof/>
          <w:sz w:val="24"/>
          <w:szCs w:val="24"/>
        </w:rPr>
        <w:t xml:space="preserve"> The overweight category had the highest percentage of males (73.5%), and mean BMI difference was 0.22 kg/m</w:t>
      </w:r>
      <w:r w:rsidRPr="00542CBB">
        <w:rPr>
          <w:noProof/>
          <w:sz w:val="24"/>
          <w:szCs w:val="24"/>
        </w:rPr>
        <w:t>2</w:t>
      </w:r>
      <w:r>
        <w:rPr>
          <w:noProof/>
          <w:sz w:val="24"/>
          <w:szCs w:val="24"/>
        </w:rPr>
        <w:t xml:space="preserve"> </w:t>
      </w:r>
      <w:r w:rsidRPr="0080262B">
        <w:rPr>
          <w:noProof/>
          <w:sz w:val="24"/>
          <w:szCs w:val="24"/>
        </w:rPr>
        <w:t>hig</w:t>
      </w:r>
      <w:r>
        <w:rPr>
          <w:noProof/>
          <w:sz w:val="24"/>
          <w:szCs w:val="24"/>
        </w:rPr>
        <w:t>h</w:t>
      </w:r>
      <w:r w:rsidRPr="0080262B">
        <w:rPr>
          <w:noProof/>
          <w:sz w:val="24"/>
          <w:szCs w:val="24"/>
        </w:rPr>
        <w:t>er</w:t>
      </w:r>
      <w:r>
        <w:rPr>
          <w:noProof/>
          <w:sz w:val="24"/>
          <w:szCs w:val="24"/>
        </w:rPr>
        <w:t xml:space="preserve"> in women (p </w:t>
      </w:r>
      <w:r w:rsidRPr="00C4790A">
        <w:rPr>
          <w:noProof/>
          <w:sz w:val="24"/>
          <w:szCs w:val="24"/>
        </w:rPr>
        <w:t xml:space="preserve">&lt; </w:t>
      </w:r>
      <w:r>
        <w:rPr>
          <w:noProof/>
          <w:sz w:val="24"/>
          <w:szCs w:val="24"/>
        </w:rPr>
        <w:t xml:space="preserve">0.001). North America had the </w:t>
      </w:r>
      <w:r w:rsidRPr="0080262B">
        <w:rPr>
          <w:noProof/>
          <w:sz w:val="24"/>
          <w:szCs w:val="24"/>
        </w:rPr>
        <w:t>hig</w:t>
      </w:r>
      <w:r>
        <w:rPr>
          <w:noProof/>
          <w:sz w:val="24"/>
          <w:szCs w:val="24"/>
        </w:rPr>
        <w:t>h</w:t>
      </w:r>
      <w:r w:rsidRPr="0080262B">
        <w:rPr>
          <w:noProof/>
          <w:sz w:val="24"/>
          <w:szCs w:val="24"/>
        </w:rPr>
        <w:t>est</w:t>
      </w:r>
      <w:r>
        <w:rPr>
          <w:noProof/>
          <w:sz w:val="24"/>
          <w:szCs w:val="24"/>
        </w:rPr>
        <w:t xml:space="preserve"> mean BMI values (28.65 </w:t>
      </w:r>
      <w:r w:rsidRPr="00542CBB">
        <w:rPr>
          <w:noProof/>
          <w:sz w:val="24"/>
          <w:szCs w:val="24"/>
        </w:rPr>
        <w:t>±</w:t>
      </w:r>
      <w:r>
        <w:rPr>
          <w:noProof/>
          <w:sz w:val="24"/>
          <w:szCs w:val="24"/>
        </w:rPr>
        <w:t xml:space="preserve"> 6.07 in the United States and 28.18 in Canada </w:t>
      </w:r>
      <w:r w:rsidRPr="00542CBB">
        <w:rPr>
          <w:noProof/>
          <w:sz w:val="24"/>
          <w:szCs w:val="24"/>
        </w:rPr>
        <w:t>± 5.12</w:t>
      </w:r>
      <w:r>
        <w:rPr>
          <w:noProof/>
          <w:sz w:val="24"/>
          <w:szCs w:val="24"/>
        </w:rPr>
        <w:t xml:space="preserve">), while Asia had the lowest BMI (24.7 </w:t>
      </w:r>
      <w:r w:rsidRPr="00542CBB">
        <w:rPr>
          <w:noProof/>
          <w:sz w:val="24"/>
          <w:szCs w:val="24"/>
        </w:rPr>
        <w:t>±</w:t>
      </w:r>
      <w:r>
        <w:rPr>
          <w:noProof/>
          <w:sz w:val="24"/>
          <w:szCs w:val="24"/>
        </w:rPr>
        <w:t xml:space="preserve"> 3.69). All the other geographic regions had BMI between </w:t>
      </w:r>
      <w:r w:rsidRPr="00040005">
        <w:rPr>
          <w:noProof/>
          <w:sz w:val="24"/>
          <w:szCs w:val="24"/>
        </w:rPr>
        <w:t>27.2</w:t>
      </w:r>
      <w:r>
        <w:rPr>
          <w:noProof/>
          <w:sz w:val="24"/>
          <w:szCs w:val="24"/>
        </w:rPr>
        <w:t xml:space="preserve"> and 27.9 kg/m</w:t>
      </w:r>
      <w:r w:rsidRPr="00542CBB">
        <w:rPr>
          <w:noProof/>
          <w:sz w:val="24"/>
          <w:szCs w:val="24"/>
        </w:rPr>
        <w:t>2</w:t>
      </w:r>
      <w:r>
        <w:rPr>
          <w:noProof/>
          <w:sz w:val="24"/>
          <w:szCs w:val="24"/>
        </w:rPr>
        <w:t xml:space="preserve">. </w:t>
      </w:r>
    </w:p>
    <w:p w:rsidR="00A917FF" w:rsidRDefault="00A917FF" w:rsidP="0052196B">
      <w:pPr>
        <w:pStyle w:val="Sinespaciado"/>
        <w:spacing w:line="480" w:lineRule="auto"/>
        <w:ind w:firstLine="720"/>
        <w:jc w:val="both"/>
        <w:rPr>
          <w:noProof/>
          <w:sz w:val="24"/>
          <w:szCs w:val="24"/>
        </w:rPr>
      </w:pPr>
      <w:r>
        <w:rPr>
          <w:noProof/>
          <w:sz w:val="24"/>
          <w:szCs w:val="24"/>
        </w:rPr>
        <w:t xml:space="preserve">Risk factors associated with </w:t>
      </w:r>
      <w:r w:rsidRPr="00885E45">
        <w:rPr>
          <w:noProof/>
          <w:sz w:val="24"/>
          <w:szCs w:val="24"/>
        </w:rPr>
        <w:t>metabolic</w:t>
      </w:r>
      <w:r>
        <w:rPr>
          <w:noProof/>
          <w:sz w:val="24"/>
          <w:szCs w:val="24"/>
        </w:rPr>
        <w:t xml:space="preserve"> syndrome increased with BMI, including hypertension, diabetes and dyslipidemia (p </w:t>
      </w:r>
      <w:r w:rsidRPr="00C4790A">
        <w:rPr>
          <w:noProof/>
          <w:sz w:val="24"/>
          <w:szCs w:val="24"/>
        </w:rPr>
        <w:t xml:space="preserve">&lt; </w:t>
      </w:r>
      <w:r>
        <w:rPr>
          <w:noProof/>
          <w:sz w:val="24"/>
          <w:szCs w:val="24"/>
        </w:rPr>
        <w:t xml:space="preserve">0.001 for linear trend for all three risk factors). Compared to normal weight individuals, overweight and obese patients had </w:t>
      </w:r>
      <w:r w:rsidRPr="00885E45">
        <w:rPr>
          <w:noProof/>
          <w:sz w:val="24"/>
          <w:szCs w:val="24"/>
        </w:rPr>
        <w:t>lower</w:t>
      </w:r>
      <w:r>
        <w:rPr>
          <w:noProof/>
          <w:sz w:val="24"/>
          <w:szCs w:val="24"/>
        </w:rPr>
        <w:t xml:space="preserve"> prevalence of current smokers and higher proportions of former smokers (p </w:t>
      </w:r>
      <w:r w:rsidRPr="00C4790A">
        <w:rPr>
          <w:noProof/>
          <w:sz w:val="24"/>
          <w:szCs w:val="24"/>
        </w:rPr>
        <w:t xml:space="preserve">&lt; </w:t>
      </w:r>
      <w:r>
        <w:rPr>
          <w:noProof/>
          <w:sz w:val="24"/>
          <w:szCs w:val="24"/>
        </w:rPr>
        <w:t>0.001), with similar never smokers</w:t>
      </w:r>
      <w:r w:rsidRPr="0080262B">
        <w:rPr>
          <w:noProof/>
          <w:sz w:val="24"/>
          <w:szCs w:val="24"/>
        </w:rPr>
        <w:t xml:space="preserve"> </w:t>
      </w:r>
      <w:r>
        <w:rPr>
          <w:noProof/>
          <w:sz w:val="24"/>
          <w:szCs w:val="24"/>
        </w:rPr>
        <w:t xml:space="preserve">rates. </w:t>
      </w:r>
    </w:p>
    <w:p w:rsidR="00A917FF" w:rsidRDefault="00A917FF" w:rsidP="0052196B">
      <w:pPr>
        <w:pStyle w:val="Sinespaciado"/>
        <w:spacing w:line="480" w:lineRule="auto"/>
        <w:ind w:firstLine="720"/>
        <w:jc w:val="both"/>
        <w:rPr>
          <w:noProof/>
          <w:sz w:val="24"/>
          <w:szCs w:val="24"/>
        </w:rPr>
      </w:pPr>
      <w:r>
        <w:rPr>
          <w:noProof/>
          <w:sz w:val="24"/>
          <w:szCs w:val="24"/>
        </w:rPr>
        <w:lastRenderedPageBreak/>
        <w:t xml:space="preserve">Compared to normal weight individuals, overweight, type I, II and III obese individuals were more likely to have a previous </w:t>
      </w:r>
      <w:r w:rsidRPr="00885E45">
        <w:rPr>
          <w:noProof/>
          <w:sz w:val="24"/>
          <w:szCs w:val="24"/>
        </w:rPr>
        <w:t>percutaneo</w:t>
      </w:r>
      <w:r>
        <w:rPr>
          <w:noProof/>
          <w:sz w:val="24"/>
          <w:szCs w:val="24"/>
        </w:rPr>
        <w:t>u</w:t>
      </w:r>
      <w:r w:rsidRPr="00885E45">
        <w:rPr>
          <w:noProof/>
          <w:sz w:val="24"/>
          <w:szCs w:val="24"/>
        </w:rPr>
        <w:t>s</w:t>
      </w:r>
      <w:r>
        <w:rPr>
          <w:noProof/>
          <w:sz w:val="24"/>
          <w:szCs w:val="24"/>
        </w:rPr>
        <w:t xml:space="preserve"> coronary intervention (9.5% Vs 11.3%, 11.4%, 13.6% and 15.9%, respectively; p </w:t>
      </w:r>
      <w:r w:rsidRPr="00C4790A">
        <w:rPr>
          <w:noProof/>
          <w:sz w:val="24"/>
          <w:szCs w:val="24"/>
        </w:rPr>
        <w:t xml:space="preserve">&lt; </w:t>
      </w:r>
      <w:r>
        <w:rPr>
          <w:noProof/>
          <w:sz w:val="24"/>
          <w:szCs w:val="24"/>
        </w:rPr>
        <w:t xml:space="preserve">0.001), coronary artery bypass surgery (5.1% Vs 6.4%, 6.8%, 6.5% and 5.9%, respectively; p </w:t>
      </w:r>
      <w:r w:rsidRPr="00C4790A">
        <w:rPr>
          <w:noProof/>
          <w:sz w:val="24"/>
          <w:szCs w:val="24"/>
        </w:rPr>
        <w:t xml:space="preserve">&lt; </w:t>
      </w:r>
      <w:r>
        <w:rPr>
          <w:noProof/>
          <w:sz w:val="24"/>
          <w:szCs w:val="24"/>
        </w:rPr>
        <w:t xml:space="preserve">0.001) and myocardial infarction (19.7% Vs 20.6%, 21.9%, 21.0% and 19.2%, respectively; p </w:t>
      </w:r>
      <w:r w:rsidRPr="00C4790A">
        <w:rPr>
          <w:noProof/>
          <w:sz w:val="24"/>
          <w:szCs w:val="24"/>
        </w:rPr>
        <w:t xml:space="preserve">&lt; </w:t>
      </w:r>
      <w:r>
        <w:rPr>
          <w:noProof/>
          <w:sz w:val="24"/>
          <w:szCs w:val="24"/>
        </w:rPr>
        <w:t xml:space="preserve">0.001). Normal and lower weight individuals were more likely to have a </w:t>
      </w:r>
      <w:r w:rsidRPr="00885E45">
        <w:rPr>
          <w:noProof/>
          <w:sz w:val="24"/>
          <w:szCs w:val="24"/>
        </w:rPr>
        <w:t>past</w:t>
      </w:r>
      <w:r>
        <w:rPr>
          <w:noProof/>
          <w:sz w:val="24"/>
          <w:szCs w:val="24"/>
        </w:rPr>
        <w:t xml:space="preserve"> history of stroke (5.33% and 6.25%, respectively; p </w:t>
      </w:r>
      <w:r w:rsidRPr="00C4790A">
        <w:rPr>
          <w:noProof/>
          <w:sz w:val="24"/>
          <w:szCs w:val="24"/>
        </w:rPr>
        <w:t xml:space="preserve">&lt; </w:t>
      </w:r>
      <w:r>
        <w:rPr>
          <w:noProof/>
          <w:sz w:val="24"/>
          <w:szCs w:val="24"/>
        </w:rPr>
        <w:t xml:space="preserve">0.001) and peripheral artery disease (6.01% and 5.83%, respectively; p </w:t>
      </w:r>
      <w:r w:rsidRPr="00C4790A">
        <w:rPr>
          <w:noProof/>
          <w:sz w:val="24"/>
          <w:szCs w:val="24"/>
        </w:rPr>
        <w:t xml:space="preserve">&lt; </w:t>
      </w:r>
      <w:r>
        <w:rPr>
          <w:noProof/>
          <w:sz w:val="24"/>
          <w:szCs w:val="24"/>
        </w:rPr>
        <w:t>0.001) compared to overweight and obese individuals. Cancer history was not associated with BMI categories (p = 0.61) as well as mean BMI (</w:t>
      </w:r>
      <w:r w:rsidRPr="003D705C">
        <w:rPr>
          <w:noProof/>
          <w:sz w:val="24"/>
          <w:szCs w:val="24"/>
        </w:rPr>
        <w:t>p = 0.54</w:t>
      </w:r>
      <w:r>
        <w:rPr>
          <w:noProof/>
          <w:sz w:val="24"/>
          <w:szCs w:val="24"/>
        </w:rPr>
        <w:t>).</w:t>
      </w:r>
    </w:p>
    <w:p w:rsidR="00A917FF" w:rsidRPr="005F374C" w:rsidRDefault="00A917FF" w:rsidP="0052196B">
      <w:pPr>
        <w:pStyle w:val="Sinespaciado"/>
        <w:spacing w:line="480" w:lineRule="auto"/>
        <w:ind w:firstLine="720"/>
        <w:jc w:val="both"/>
        <w:rPr>
          <w:noProof/>
          <w:sz w:val="24"/>
          <w:szCs w:val="24"/>
        </w:rPr>
      </w:pPr>
      <w:r>
        <w:rPr>
          <w:noProof/>
          <w:sz w:val="24"/>
          <w:szCs w:val="24"/>
        </w:rPr>
        <w:t xml:space="preserve">Missing data across variables included in primary and secondary models were present in 2.2% of cases. Only admission creatinine (1.3%) and admission hemoglobin (0.9%) exceeded the pre-specified threshold of 0.2% missing data for imputation. Analysis of missing data pattern showed a nonmononote pattern. As a result, </w:t>
      </w:r>
      <w:r w:rsidRPr="00C17384">
        <w:rPr>
          <w:noProof/>
          <w:sz w:val="24"/>
          <w:szCs w:val="24"/>
        </w:rPr>
        <w:t>a fully conditional specifiation</w:t>
      </w:r>
      <w:r>
        <w:rPr>
          <w:noProof/>
          <w:sz w:val="24"/>
          <w:szCs w:val="24"/>
        </w:rPr>
        <w:t xml:space="preserve"> method using all baseline variables was used to impute missing values of admission creatinine and hemoglobin, reducing the missing data to 144 (0.17%) of cases. Patients with missing BMI values (0.9%), excluded from the analysis, had increased risk of mortality compared to participant with BMI data (14.7% vs 5.0%; p &lt; 0.001).</w:t>
      </w:r>
    </w:p>
    <w:p w:rsidR="00A917FF" w:rsidRDefault="00A917FF" w:rsidP="0052196B">
      <w:pPr>
        <w:pStyle w:val="Sinespaciado"/>
        <w:spacing w:line="480" w:lineRule="auto"/>
        <w:jc w:val="both"/>
        <w:rPr>
          <w:noProof/>
          <w:sz w:val="24"/>
          <w:szCs w:val="24"/>
        </w:rPr>
      </w:pPr>
    </w:p>
    <w:p w:rsidR="00A917FF" w:rsidRPr="00FC38D9" w:rsidRDefault="00A917FF" w:rsidP="0052196B">
      <w:pPr>
        <w:pStyle w:val="Sinespaciado"/>
        <w:spacing w:line="480" w:lineRule="auto"/>
        <w:jc w:val="both"/>
        <w:rPr>
          <w:b/>
          <w:sz w:val="24"/>
          <w:szCs w:val="24"/>
        </w:rPr>
      </w:pPr>
      <w:r w:rsidRPr="00FC38D9">
        <w:rPr>
          <w:b/>
          <w:sz w:val="24"/>
          <w:szCs w:val="24"/>
        </w:rPr>
        <w:t>Clinical outcomes</w:t>
      </w:r>
    </w:p>
    <w:p w:rsidR="00A917FF" w:rsidRDefault="00A917FF" w:rsidP="0052196B">
      <w:pPr>
        <w:pStyle w:val="Sinespaciado"/>
        <w:spacing w:line="480" w:lineRule="auto"/>
        <w:ind w:firstLine="720"/>
        <w:jc w:val="both"/>
        <w:rPr>
          <w:noProof/>
          <w:sz w:val="24"/>
          <w:szCs w:val="24"/>
        </w:rPr>
      </w:pPr>
      <w:r>
        <w:rPr>
          <w:noProof/>
          <w:sz w:val="24"/>
          <w:szCs w:val="24"/>
        </w:rPr>
        <w:t>Median follow-up time was 171 days (quartiles 25</w:t>
      </w:r>
      <w:r w:rsidRPr="00A70196">
        <w:rPr>
          <w:noProof/>
          <w:sz w:val="24"/>
          <w:szCs w:val="24"/>
          <w:vertAlign w:val="superscript"/>
        </w:rPr>
        <w:t>th</w:t>
      </w:r>
      <w:r>
        <w:rPr>
          <w:noProof/>
          <w:sz w:val="24"/>
          <w:szCs w:val="24"/>
        </w:rPr>
        <w:t>-75</w:t>
      </w:r>
      <w:r w:rsidRPr="00A70196">
        <w:rPr>
          <w:noProof/>
          <w:sz w:val="24"/>
          <w:szCs w:val="24"/>
          <w:vertAlign w:val="superscript"/>
        </w:rPr>
        <w:t>t</w:t>
      </w:r>
      <w:r>
        <w:rPr>
          <w:noProof/>
          <w:sz w:val="24"/>
          <w:szCs w:val="24"/>
          <w:vertAlign w:val="superscript"/>
        </w:rPr>
        <w:t>h</w:t>
      </w:r>
      <w:r>
        <w:rPr>
          <w:noProof/>
          <w:sz w:val="24"/>
          <w:szCs w:val="24"/>
        </w:rPr>
        <w:t>: 31 - 187 days). Lost to follow-up, defined as participants censored alive with less than 50% of planned follow-up, was 0.6%. A total of 4185</w:t>
      </w:r>
      <w:r w:rsidRPr="00A70196">
        <w:rPr>
          <w:noProof/>
          <w:sz w:val="24"/>
          <w:szCs w:val="24"/>
        </w:rPr>
        <w:t xml:space="preserve"> (5.1</w:t>
      </w:r>
      <w:r>
        <w:rPr>
          <w:noProof/>
          <w:sz w:val="24"/>
          <w:szCs w:val="24"/>
        </w:rPr>
        <w:t>%</w:t>
      </w:r>
      <w:r w:rsidRPr="00A70196">
        <w:rPr>
          <w:noProof/>
          <w:sz w:val="24"/>
          <w:szCs w:val="24"/>
        </w:rPr>
        <w:t>)</w:t>
      </w:r>
      <w:r>
        <w:rPr>
          <w:noProof/>
          <w:sz w:val="24"/>
          <w:szCs w:val="24"/>
        </w:rPr>
        <w:t xml:space="preserve"> participants died, 3835 (91,6%</w:t>
      </w:r>
      <w:r w:rsidRPr="00A70196">
        <w:rPr>
          <w:noProof/>
          <w:sz w:val="24"/>
          <w:szCs w:val="24"/>
        </w:rPr>
        <w:t>)</w:t>
      </w:r>
      <w:r>
        <w:rPr>
          <w:noProof/>
          <w:sz w:val="24"/>
          <w:szCs w:val="24"/>
        </w:rPr>
        <w:t xml:space="preserve"> of these from cardiovascular causes. A  </w:t>
      </w:r>
      <w:r>
        <w:rPr>
          <w:noProof/>
          <w:sz w:val="24"/>
          <w:szCs w:val="24"/>
        </w:rPr>
        <w:lastRenderedPageBreak/>
        <w:t>myocardial infarction after the index ACS occurred in 3323</w:t>
      </w:r>
      <w:r w:rsidRPr="00A70196">
        <w:rPr>
          <w:noProof/>
          <w:sz w:val="24"/>
          <w:szCs w:val="24"/>
        </w:rPr>
        <w:t xml:space="preserve"> (4.1</w:t>
      </w:r>
      <w:r>
        <w:rPr>
          <w:noProof/>
          <w:sz w:val="24"/>
          <w:szCs w:val="24"/>
        </w:rPr>
        <w:t>%</w:t>
      </w:r>
      <w:r w:rsidRPr="00A70196">
        <w:rPr>
          <w:noProof/>
          <w:sz w:val="24"/>
          <w:szCs w:val="24"/>
        </w:rPr>
        <w:t>)</w:t>
      </w:r>
      <w:r>
        <w:rPr>
          <w:noProof/>
          <w:sz w:val="24"/>
          <w:szCs w:val="24"/>
        </w:rPr>
        <w:t>, stroke in 841</w:t>
      </w:r>
      <w:r w:rsidRPr="00A70196">
        <w:rPr>
          <w:noProof/>
          <w:sz w:val="24"/>
          <w:szCs w:val="24"/>
        </w:rPr>
        <w:t xml:space="preserve"> (1.0</w:t>
      </w:r>
      <w:r>
        <w:rPr>
          <w:noProof/>
          <w:sz w:val="24"/>
          <w:szCs w:val="24"/>
        </w:rPr>
        <w:t xml:space="preserve"> %</w:t>
      </w:r>
      <w:r w:rsidRPr="00A70196">
        <w:rPr>
          <w:noProof/>
          <w:sz w:val="24"/>
          <w:szCs w:val="24"/>
        </w:rPr>
        <w:t>)</w:t>
      </w:r>
      <w:r>
        <w:rPr>
          <w:noProof/>
          <w:sz w:val="24"/>
          <w:szCs w:val="24"/>
        </w:rPr>
        <w:t>, refractory ischemia 2277</w:t>
      </w:r>
      <w:r w:rsidRPr="00A70196">
        <w:rPr>
          <w:noProof/>
          <w:sz w:val="24"/>
          <w:szCs w:val="24"/>
        </w:rPr>
        <w:t xml:space="preserve"> (2.8</w:t>
      </w:r>
      <w:r>
        <w:rPr>
          <w:noProof/>
          <w:sz w:val="24"/>
          <w:szCs w:val="24"/>
        </w:rPr>
        <w:t>%</w:t>
      </w:r>
      <w:r w:rsidRPr="00A70196">
        <w:rPr>
          <w:noProof/>
          <w:sz w:val="24"/>
          <w:szCs w:val="24"/>
        </w:rPr>
        <w:t>)</w:t>
      </w:r>
      <w:r>
        <w:rPr>
          <w:noProof/>
          <w:sz w:val="24"/>
          <w:szCs w:val="24"/>
        </w:rPr>
        <w:t>, major bleeding in 2520</w:t>
      </w:r>
      <w:r w:rsidRPr="00A70196">
        <w:rPr>
          <w:noProof/>
          <w:sz w:val="24"/>
          <w:szCs w:val="24"/>
        </w:rPr>
        <w:t xml:space="preserve"> (</w:t>
      </w:r>
      <w:r>
        <w:rPr>
          <w:noProof/>
          <w:sz w:val="24"/>
          <w:szCs w:val="24"/>
        </w:rPr>
        <w:t>3.1%</w:t>
      </w:r>
      <w:r w:rsidRPr="00A70196">
        <w:rPr>
          <w:noProof/>
          <w:sz w:val="24"/>
          <w:szCs w:val="24"/>
        </w:rPr>
        <w:t>)</w:t>
      </w:r>
      <w:r>
        <w:rPr>
          <w:noProof/>
          <w:sz w:val="24"/>
          <w:szCs w:val="24"/>
        </w:rPr>
        <w:t xml:space="preserve"> and heart failure requiring  rehospitalization in 1298</w:t>
      </w:r>
      <w:r w:rsidRPr="00A70196">
        <w:rPr>
          <w:noProof/>
          <w:sz w:val="24"/>
          <w:szCs w:val="24"/>
        </w:rPr>
        <w:t xml:space="preserve"> (1.6</w:t>
      </w:r>
      <w:r>
        <w:rPr>
          <w:noProof/>
          <w:sz w:val="24"/>
          <w:szCs w:val="24"/>
        </w:rPr>
        <w:t xml:space="preserve"> %</w:t>
      </w:r>
      <w:r w:rsidRPr="00A70196">
        <w:rPr>
          <w:noProof/>
          <w:sz w:val="24"/>
          <w:szCs w:val="24"/>
        </w:rPr>
        <w:t>)</w:t>
      </w:r>
      <w:r>
        <w:rPr>
          <w:noProof/>
          <w:sz w:val="24"/>
          <w:szCs w:val="24"/>
        </w:rPr>
        <w:t xml:space="preserve">. A coronary angiogram during the index ACS admission </w:t>
      </w:r>
      <w:r w:rsidRPr="00DB29EE">
        <w:rPr>
          <w:noProof/>
          <w:sz w:val="24"/>
          <w:szCs w:val="24"/>
        </w:rPr>
        <w:t>was performed</w:t>
      </w:r>
      <w:r>
        <w:rPr>
          <w:noProof/>
          <w:sz w:val="24"/>
          <w:szCs w:val="24"/>
        </w:rPr>
        <w:t xml:space="preserve"> in </w:t>
      </w:r>
      <w:r w:rsidRPr="006851CD">
        <w:rPr>
          <w:noProof/>
          <w:sz w:val="24"/>
          <w:szCs w:val="24"/>
        </w:rPr>
        <w:t>60</w:t>
      </w:r>
      <w:r>
        <w:rPr>
          <w:noProof/>
          <w:sz w:val="24"/>
          <w:szCs w:val="24"/>
        </w:rPr>
        <w:t>,</w:t>
      </w:r>
      <w:r w:rsidRPr="006851CD">
        <w:rPr>
          <w:noProof/>
          <w:sz w:val="24"/>
          <w:szCs w:val="24"/>
        </w:rPr>
        <w:t>681</w:t>
      </w:r>
      <w:r>
        <w:rPr>
          <w:noProof/>
          <w:sz w:val="24"/>
          <w:szCs w:val="24"/>
        </w:rPr>
        <w:t xml:space="preserve"> (74.4%) </w:t>
      </w:r>
      <w:r w:rsidRPr="00DB29EE">
        <w:rPr>
          <w:noProof/>
          <w:sz w:val="24"/>
          <w:szCs w:val="24"/>
        </w:rPr>
        <w:t>patients,</w:t>
      </w:r>
      <w:r>
        <w:rPr>
          <w:noProof/>
          <w:sz w:val="24"/>
          <w:szCs w:val="24"/>
        </w:rPr>
        <w:t xml:space="preserve"> and  </w:t>
      </w:r>
      <w:r w:rsidRPr="006851CD">
        <w:rPr>
          <w:noProof/>
          <w:sz w:val="24"/>
          <w:szCs w:val="24"/>
        </w:rPr>
        <w:t>44</w:t>
      </w:r>
      <w:r>
        <w:rPr>
          <w:noProof/>
          <w:sz w:val="24"/>
          <w:szCs w:val="24"/>
        </w:rPr>
        <w:t>,</w:t>
      </w:r>
      <w:r w:rsidRPr="006851CD">
        <w:rPr>
          <w:noProof/>
          <w:sz w:val="24"/>
          <w:szCs w:val="24"/>
        </w:rPr>
        <w:t>626</w:t>
      </w:r>
      <w:r>
        <w:rPr>
          <w:noProof/>
          <w:sz w:val="24"/>
          <w:szCs w:val="24"/>
        </w:rPr>
        <w:t xml:space="preserve"> (54.7%) received PCI and </w:t>
      </w:r>
      <w:r w:rsidRPr="006851CD">
        <w:rPr>
          <w:noProof/>
          <w:sz w:val="24"/>
          <w:szCs w:val="24"/>
        </w:rPr>
        <w:t>5</w:t>
      </w:r>
      <w:r>
        <w:rPr>
          <w:noProof/>
          <w:sz w:val="24"/>
          <w:szCs w:val="24"/>
        </w:rPr>
        <w:t>,</w:t>
      </w:r>
      <w:r w:rsidRPr="006851CD">
        <w:rPr>
          <w:noProof/>
          <w:sz w:val="24"/>
          <w:szCs w:val="24"/>
        </w:rPr>
        <w:t>563</w:t>
      </w:r>
      <w:r>
        <w:rPr>
          <w:noProof/>
          <w:sz w:val="24"/>
          <w:szCs w:val="24"/>
        </w:rPr>
        <w:t xml:space="preserve"> (6.8%) CABG. Revascularization procedures, either PCI or CABG, at any time during the study </w:t>
      </w:r>
      <w:r w:rsidRPr="00DB29EE">
        <w:rPr>
          <w:noProof/>
          <w:sz w:val="24"/>
          <w:szCs w:val="24"/>
        </w:rPr>
        <w:t>was performed</w:t>
      </w:r>
      <w:r>
        <w:rPr>
          <w:noProof/>
          <w:sz w:val="24"/>
          <w:szCs w:val="24"/>
        </w:rPr>
        <w:t xml:space="preserve"> in 54,516 (66.8%) participants. </w:t>
      </w:r>
    </w:p>
    <w:p w:rsidR="00A917FF" w:rsidRDefault="00A917FF" w:rsidP="0052196B">
      <w:pPr>
        <w:pStyle w:val="Sinespaciado"/>
        <w:spacing w:line="480" w:lineRule="auto"/>
        <w:ind w:firstLine="720"/>
        <w:jc w:val="both"/>
        <w:rPr>
          <w:noProof/>
          <w:sz w:val="24"/>
          <w:szCs w:val="24"/>
        </w:rPr>
      </w:pPr>
      <w:r w:rsidRPr="005D0084">
        <w:rPr>
          <w:noProof/>
          <w:sz w:val="24"/>
          <w:szCs w:val="24"/>
          <w:u w:val="single"/>
        </w:rPr>
        <w:t>Primary outcome</w:t>
      </w:r>
      <w:r w:rsidRPr="00DB0AA7">
        <w:rPr>
          <w:noProof/>
          <w:sz w:val="24"/>
          <w:szCs w:val="24"/>
        </w:rPr>
        <w:t xml:space="preserve">: </w:t>
      </w:r>
      <w:r>
        <w:rPr>
          <w:noProof/>
          <w:sz w:val="24"/>
          <w:szCs w:val="24"/>
        </w:rPr>
        <w:t>A U-shaped pattern between BMI and all-cause mortality</w:t>
      </w:r>
      <w:r w:rsidRPr="004665CD">
        <w:rPr>
          <w:noProof/>
          <w:sz w:val="24"/>
          <w:szCs w:val="24"/>
        </w:rPr>
        <w:t xml:space="preserve"> </w:t>
      </w:r>
      <w:r>
        <w:rPr>
          <w:noProof/>
          <w:sz w:val="24"/>
          <w:szCs w:val="24"/>
        </w:rPr>
        <w:t xml:space="preserve">was observed, before and after adjustment with the primary model (Table 2 and Figure 2). Compared to the reference category (BMI range 18.5 – 24.9), overweight (HR 0.81; 95% CI 0.76 - 0.87; p &lt; 0.001) and type I obesity (HR 0.80; 95% CI </w:t>
      </w:r>
      <w:r w:rsidRPr="005C6D88">
        <w:rPr>
          <w:noProof/>
          <w:sz w:val="24"/>
          <w:szCs w:val="24"/>
        </w:rPr>
        <w:t>0.73 - 0.88</w:t>
      </w:r>
      <w:r>
        <w:rPr>
          <w:noProof/>
          <w:sz w:val="24"/>
          <w:szCs w:val="24"/>
        </w:rPr>
        <w:t xml:space="preserve">; p &lt; 0.001) had significant lower mortality rates in the primary model, while type II obesity was not statistically significant (HR 0.89; 95% CI </w:t>
      </w:r>
      <w:r w:rsidRPr="001A5124">
        <w:rPr>
          <w:noProof/>
          <w:sz w:val="24"/>
          <w:szCs w:val="24"/>
        </w:rPr>
        <w:t>0.74 - 1.06</w:t>
      </w:r>
      <w:r>
        <w:rPr>
          <w:noProof/>
          <w:sz w:val="24"/>
          <w:szCs w:val="24"/>
        </w:rPr>
        <w:t xml:space="preserve">; p = 0.17). On the other hand, underweight individuals (BMI </w:t>
      </w:r>
      <w:r>
        <w:rPr>
          <w:noProof/>
          <w:sz w:val="24"/>
          <w:szCs w:val="24"/>
          <w:lang w:val="en-CA"/>
        </w:rPr>
        <w:t>&lt; 18.5 kg/m</w:t>
      </w:r>
      <w:r>
        <w:rPr>
          <w:noProof/>
          <w:sz w:val="24"/>
          <w:szCs w:val="24"/>
          <w:vertAlign w:val="superscript"/>
          <w:lang w:val="en-CA"/>
        </w:rPr>
        <w:t>2</w:t>
      </w:r>
      <w:r>
        <w:rPr>
          <w:noProof/>
          <w:sz w:val="24"/>
          <w:szCs w:val="24"/>
        </w:rPr>
        <w:t xml:space="preserve">) had a statistically significant increased risk of death (HR </w:t>
      </w:r>
      <w:r w:rsidRPr="001A5124">
        <w:rPr>
          <w:noProof/>
          <w:sz w:val="24"/>
          <w:szCs w:val="24"/>
        </w:rPr>
        <w:t>1.33</w:t>
      </w:r>
      <w:r>
        <w:rPr>
          <w:noProof/>
          <w:sz w:val="24"/>
          <w:szCs w:val="24"/>
        </w:rPr>
        <w:t>; 95% CI 1.09 - 1.62; p = 0.005). The lowest mortality was at a  BMI of 30.9 kg/m</w:t>
      </w:r>
      <w:r>
        <w:rPr>
          <w:noProof/>
          <w:sz w:val="24"/>
          <w:szCs w:val="24"/>
          <w:vertAlign w:val="superscript"/>
        </w:rPr>
        <w:t>2</w:t>
      </w:r>
      <w:r>
        <w:rPr>
          <w:noProof/>
          <w:sz w:val="24"/>
          <w:szCs w:val="24"/>
        </w:rPr>
        <w:t>.</w:t>
      </w:r>
    </w:p>
    <w:p w:rsidR="00A917FF" w:rsidRDefault="00A917FF" w:rsidP="0052196B">
      <w:pPr>
        <w:pStyle w:val="Sinespaciado"/>
        <w:spacing w:line="480" w:lineRule="auto"/>
        <w:ind w:firstLine="720"/>
        <w:jc w:val="both"/>
        <w:rPr>
          <w:noProof/>
          <w:sz w:val="24"/>
          <w:szCs w:val="24"/>
        </w:rPr>
      </w:pPr>
      <w:r w:rsidRPr="005D0084">
        <w:rPr>
          <w:noProof/>
          <w:sz w:val="24"/>
          <w:szCs w:val="24"/>
          <w:u w:val="single"/>
        </w:rPr>
        <w:t>Secondary outcomes:</w:t>
      </w:r>
      <w:r>
        <w:rPr>
          <w:noProof/>
          <w:sz w:val="24"/>
          <w:szCs w:val="24"/>
        </w:rPr>
        <w:t xml:space="preserve"> Cardiovascular mortality risk was lower in </w:t>
      </w:r>
      <w:r w:rsidRPr="00DB29EE">
        <w:rPr>
          <w:noProof/>
          <w:sz w:val="24"/>
          <w:szCs w:val="24"/>
        </w:rPr>
        <w:t>the</w:t>
      </w:r>
      <w:r>
        <w:rPr>
          <w:noProof/>
          <w:sz w:val="24"/>
          <w:szCs w:val="24"/>
        </w:rPr>
        <w:t xml:space="preserve"> overweight (HR 0.82; 95% CI </w:t>
      </w:r>
      <w:r w:rsidRPr="004665CD">
        <w:rPr>
          <w:noProof/>
          <w:sz w:val="24"/>
          <w:szCs w:val="24"/>
        </w:rPr>
        <w:t>0.76 - 0.88</w:t>
      </w:r>
      <w:r>
        <w:rPr>
          <w:noProof/>
          <w:sz w:val="24"/>
          <w:szCs w:val="24"/>
        </w:rPr>
        <w:t xml:space="preserve">; p &lt; 0.001) and type I obesity (HR 0.79; 95% CI </w:t>
      </w:r>
      <w:r w:rsidRPr="004665CD">
        <w:rPr>
          <w:noProof/>
          <w:sz w:val="24"/>
          <w:szCs w:val="24"/>
        </w:rPr>
        <w:t>0.72 - 0.88</w:t>
      </w:r>
      <w:r>
        <w:rPr>
          <w:noProof/>
          <w:sz w:val="24"/>
          <w:szCs w:val="24"/>
        </w:rPr>
        <w:t xml:space="preserve">; p &lt; 0.001) (Table 3). None of the high BMI categories were associated with non-cardiovascular mortality. Overweight participants had a lower  </w:t>
      </w:r>
      <w:r w:rsidRPr="00DB29EE">
        <w:rPr>
          <w:noProof/>
          <w:sz w:val="24"/>
          <w:szCs w:val="24"/>
        </w:rPr>
        <w:t>risk</w:t>
      </w:r>
      <w:r>
        <w:rPr>
          <w:noProof/>
          <w:sz w:val="24"/>
          <w:szCs w:val="24"/>
        </w:rPr>
        <w:t xml:space="preserve"> of myocardial infarction (HR 0.90; 95% CI </w:t>
      </w:r>
      <w:r w:rsidRPr="00B838B1">
        <w:rPr>
          <w:noProof/>
          <w:sz w:val="24"/>
          <w:szCs w:val="24"/>
        </w:rPr>
        <w:t>0.84 - 0.98</w:t>
      </w:r>
      <w:r>
        <w:rPr>
          <w:noProof/>
          <w:sz w:val="24"/>
          <w:szCs w:val="24"/>
        </w:rPr>
        <w:t>; p = 0.017)</w:t>
      </w:r>
      <w:r w:rsidRPr="00DB29EE">
        <w:rPr>
          <w:noProof/>
          <w:sz w:val="24"/>
          <w:szCs w:val="24"/>
        </w:rPr>
        <w:t>,</w:t>
      </w:r>
      <w:r>
        <w:rPr>
          <w:noProof/>
          <w:sz w:val="24"/>
          <w:szCs w:val="24"/>
        </w:rPr>
        <w:t xml:space="preserve"> and all high BMI categories </w:t>
      </w:r>
      <w:r w:rsidRPr="00DB29EE">
        <w:rPr>
          <w:noProof/>
          <w:sz w:val="24"/>
          <w:szCs w:val="24"/>
        </w:rPr>
        <w:t>were associated</w:t>
      </w:r>
      <w:r>
        <w:rPr>
          <w:noProof/>
          <w:sz w:val="24"/>
          <w:szCs w:val="24"/>
        </w:rPr>
        <w:t xml:space="preserve"> with lower risk of refractory ischemia. Among patients who received PCI as a first revascularization procedure, there were no association between BMI and </w:t>
      </w:r>
      <w:r w:rsidRPr="00DB29EE">
        <w:rPr>
          <w:noProof/>
          <w:sz w:val="24"/>
          <w:szCs w:val="24"/>
        </w:rPr>
        <w:t>ta</w:t>
      </w:r>
      <w:r>
        <w:rPr>
          <w:noProof/>
          <w:sz w:val="24"/>
          <w:szCs w:val="24"/>
        </w:rPr>
        <w:t>r</w:t>
      </w:r>
      <w:r w:rsidRPr="00DB29EE">
        <w:rPr>
          <w:noProof/>
          <w:sz w:val="24"/>
          <w:szCs w:val="24"/>
        </w:rPr>
        <w:t>get</w:t>
      </w:r>
      <w:r>
        <w:rPr>
          <w:noProof/>
          <w:sz w:val="24"/>
          <w:szCs w:val="24"/>
        </w:rPr>
        <w:t xml:space="preserve"> vessel </w:t>
      </w:r>
      <w:r w:rsidRPr="00DB29EE">
        <w:rPr>
          <w:noProof/>
          <w:sz w:val="24"/>
          <w:szCs w:val="24"/>
        </w:rPr>
        <w:t>revasculariz</w:t>
      </w:r>
      <w:r>
        <w:rPr>
          <w:noProof/>
          <w:sz w:val="24"/>
          <w:szCs w:val="24"/>
        </w:rPr>
        <w:t>a</w:t>
      </w:r>
      <w:r w:rsidRPr="00DB29EE">
        <w:rPr>
          <w:noProof/>
          <w:sz w:val="24"/>
          <w:szCs w:val="24"/>
        </w:rPr>
        <w:t>tion</w:t>
      </w:r>
      <w:r>
        <w:rPr>
          <w:noProof/>
          <w:sz w:val="24"/>
          <w:szCs w:val="24"/>
        </w:rPr>
        <w:t xml:space="preserve"> (or CABG) or target lesion </w:t>
      </w:r>
      <w:r>
        <w:rPr>
          <w:noProof/>
          <w:sz w:val="24"/>
          <w:szCs w:val="24"/>
        </w:rPr>
        <w:lastRenderedPageBreak/>
        <w:t>revascularization (or CABG) during follow-up. No association between BMI and stent thrombosis</w:t>
      </w:r>
      <w:r w:rsidRPr="00AC616D">
        <w:rPr>
          <w:noProof/>
          <w:sz w:val="24"/>
          <w:szCs w:val="24"/>
        </w:rPr>
        <w:t xml:space="preserve"> </w:t>
      </w:r>
      <w:r>
        <w:rPr>
          <w:noProof/>
          <w:sz w:val="24"/>
          <w:szCs w:val="24"/>
        </w:rPr>
        <w:t>or stroke was</w:t>
      </w:r>
      <w:r w:rsidRPr="00DB29EE">
        <w:rPr>
          <w:noProof/>
          <w:sz w:val="24"/>
          <w:szCs w:val="24"/>
        </w:rPr>
        <w:t xml:space="preserve"> found</w:t>
      </w:r>
      <w:r>
        <w:rPr>
          <w:noProof/>
          <w:sz w:val="24"/>
          <w:szCs w:val="24"/>
        </w:rPr>
        <w:t>.</w:t>
      </w:r>
    </w:p>
    <w:p w:rsidR="00A917FF" w:rsidRDefault="00A917FF" w:rsidP="0052196B">
      <w:pPr>
        <w:pStyle w:val="Sinespaciado"/>
        <w:spacing w:line="480" w:lineRule="auto"/>
        <w:ind w:firstLine="720"/>
        <w:jc w:val="both"/>
        <w:rPr>
          <w:noProof/>
          <w:sz w:val="24"/>
          <w:szCs w:val="24"/>
        </w:rPr>
      </w:pPr>
      <w:r>
        <w:rPr>
          <w:noProof/>
          <w:sz w:val="24"/>
          <w:szCs w:val="24"/>
        </w:rPr>
        <w:t xml:space="preserve">Overweight individuals had lower risk of heart failure hospitalizations (HR 0.86; 95% CI 0.75 - 0.98; p = 0.028) and heart failure related death (HR 0.87; 95% CI </w:t>
      </w:r>
      <w:r w:rsidRPr="009C4A9E">
        <w:rPr>
          <w:noProof/>
          <w:sz w:val="24"/>
          <w:szCs w:val="24"/>
        </w:rPr>
        <w:t>0.76 - 0.99</w:t>
      </w:r>
      <w:r>
        <w:rPr>
          <w:noProof/>
          <w:sz w:val="24"/>
          <w:szCs w:val="24"/>
        </w:rPr>
        <w:t xml:space="preserve">; p = 0.047). Major bleeding risk was lower in overweight (HR 0.83; 95% CI </w:t>
      </w:r>
      <w:r w:rsidRPr="008B73E7">
        <w:rPr>
          <w:noProof/>
          <w:sz w:val="24"/>
          <w:szCs w:val="24"/>
        </w:rPr>
        <w:t>0.75 - 0.91</w:t>
      </w:r>
      <w:r>
        <w:rPr>
          <w:noProof/>
          <w:sz w:val="24"/>
          <w:szCs w:val="24"/>
        </w:rPr>
        <w:t xml:space="preserve">; p &lt; 0.001), type I obesity (HR 0.67; 95% CI </w:t>
      </w:r>
      <w:r w:rsidRPr="008B73E7">
        <w:rPr>
          <w:noProof/>
          <w:sz w:val="24"/>
          <w:szCs w:val="24"/>
        </w:rPr>
        <w:t>0.60 - 0.76</w:t>
      </w:r>
      <w:r>
        <w:rPr>
          <w:noProof/>
          <w:sz w:val="24"/>
          <w:szCs w:val="24"/>
        </w:rPr>
        <w:t xml:space="preserve">; p &lt; 0.001) and type II obesity (HR 0.75; 95% CI </w:t>
      </w:r>
      <w:r w:rsidRPr="008B73E7">
        <w:rPr>
          <w:noProof/>
          <w:sz w:val="24"/>
          <w:szCs w:val="24"/>
        </w:rPr>
        <w:t>0.60</w:t>
      </w:r>
      <w:r>
        <w:rPr>
          <w:noProof/>
          <w:sz w:val="24"/>
          <w:szCs w:val="24"/>
        </w:rPr>
        <w:t xml:space="preserve"> </w:t>
      </w:r>
      <w:r w:rsidRPr="008B73E7">
        <w:rPr>
          <w:noProof/>
          <w:sz w:val="24"/>
          <w:szCs w:val="24"/>
        </w:rPr>
        <w:t>- 0.92</w:t>
      </w:r>
      <w:r>
        <w:rPr>
          <w:noProof/>
          <w:sz w:val="24"/>
          <w:szCs w:val="24"/>
        </w:rPr>
        <w:t>; p = 0.007), while the risk of major or minor bleeding during the study was significatively lower in all high BMI groups.</w:t>
      </w:r>
    </w:p>
    <w:p w:rsidR="00A917FF" w:rsidRDefault="00A917FF" w:rsidP="0052196B">
      <w:pPr>
        <w:pStyle w:val="Sinespaciado"/>
        <w:spacing w:line="480" w:lineRule="auto"/>
        <w:ind w:firstLine="720"/>
        <w:jc w:val="both"/>
        <w:rPr>
          <w:noProof/>
          <w:sz w:val="24"/>
          <w:szCs w:val="24"/>
        </w:rPr>
      </w:pPr>
      <w:r w:rsidRPr="00554C94">
        <w:rPr>
          <w:noProof/>
          <w:sz w:val="24"/>
          <w:szCs w:val="24"/>
          <w:u w:val="single"/>
        </w:rPr>
        <w:t>Subgroup analysis:</w:t>
      </w:r>
      <w:r>
        <w:rPr>
          <w:noProof/>
          <w:sz w:val="24"/>
          <w:szCs w:val="24"/>
        </w:rPr>
        <w:t xml:space="preserve"> </w:t>
      </w:r>
      <w:r w:rsidRPr="00DB29EE">
        <w:rPr>
          <w:noProof/>
          <w:sz w:val="24"/>
          <w:szCs w:val="24"/>
        </w:rPr>
        <w:t>A significant</w:t>
      </w:r>
      <w:r>
        <w:rPr>
          <w:noProof/>
          <w:sz w:val="24"/>
          <w:szCs w:val="24"/>
        </w:rPr>
        <w:t xml:space="preserve"> interaction between sex, </w:t>
      </w:r>
      <w:r w:rsidRPr="00DB29EE">
        <w:rPr>
          <w:noProof/>
          <w:sz w:val="24"/>
          <w:szCs w:val="24"/>
        </w:rPr>
        <w:t>BMI</w:t>
      </w:r>
      <w:r>
        <w:rPr>
          <w:noProof/>
          <w:sz w:val="24"/>
          <w:szCs w:val="24"/>
        </w:rPr>
        <w:t xml:space="preserve"> and all-cause mortality was observed (p for interaction = 0.018) (Table S3). In the overweight category, males (HR 0.76; 95% CI 0.70 - 0.84) had a lower  risk in all-cause mortality compared to females (HR 0.90; 95% CI 0.81 - 1.01) (p for interaction = 0.02). This association was not significant in the remaining high BMI categories. Compared to males, females had a </w:t>
      </w:r>
      <w:r w:rsidRPr="00DB29EE">
        <w:rPr>
          <w:noProof/>
          <w:sz w:val="24"/>
          <w:szCs w:val="24"/>
        </w:rPr>
        <w:t>lower</w:t>
      </w:r>
      <w:r>
        <w:rPr>
          <w:noProof/>
          <w:sz w:val="24"/>
          <w:szCs w:val="24"/>
        </w:rPr>
        <w:t xml:space="preserve"> risk in BMI &lt; 30 kg/m</w:t>
      </w:r>
      <w:r>
        <w:rPr>
          <w:noProof/>
          <w:sz w:val="24"/>
          <w:szCs w:val="24"/>
          <w:vertAlign w:val="superscript"/>
        </w:rPr>
        <w:t>2</w:t>
      </w:r>
      <w:r>
        <w:rPr>
          <w:noProof/>
          <w:sz w:val="24"/>
          <w:szCs w:val="24"/>
        </w:rPr>
        <w:t xml:space="preserve"> and similar risk over BMI 30 kg/m</w:t>
      </w:r>
      <w:r>
        <w:rPr>
          <w:noProof/>
          <w:sz w:val="24"/>
          <w:szCs w:val="24"/>
          <w:vertAlign w:val="superscript"/>
        </w:rPr>
        <w:t>2</w:t>
      </w:r>
      <w:r>
        <w:rPr>
          <w:noProof/>
          <w:sz w:val="24"/>
          <w:szCs w:val="24"/>
        </w:rPr>
        <w:t xml:space="preserve"> (Figure 3A). Males and females shared a similar lowest mortality risk BMI category (31.7 </w:t>
      </w:r>
      <w:r w:rsidRPr="00DB29EE">
        <w:rPr>
          <w:noProof/>
          <w:sz w:val="24"/>
          <w:szCs w:val="24"/>
        </w:rPr>
        <w:t>vs</w:t>
      </w:r>
      <w:r>
        <w:rPr>
          <w:noProof/>
          <w:sz w:val="24"/>
          <w:szCs w:val="24"/>
        </w:rPr>
        <w:t>. 30.5 kg/m</w:t>
      </w:r>
      <w:r>
        <w:rPr>
          <w:noProof/>
          <w:sz w:val="24"/>
          <w:szCs w:val="24"/>
          <w:vertAlign w:val="superscript"/>
        </w:rPr>
        <w:t>2</w:t>
      </w:r>
      <w:r>
        <w:rPr>
          <w:noProof/>
          <w:sz w:val="24"/>
          <w:szCs w:val="24"/>
        </w:rPr>
        <w:t>, respectively).</w:t>
      </w:r>
    </w:p>
    <w:p w:rsidR="00A917FF" w:rsidRDefault="00A917FF" w:rsidP="0052196B">
      <w:pPr>
        <w:pStyle w:val="Sinespaciado"/>
        <w:spacing w:line="480" w:lineRule="auto"/>
        <w:ind w:firstLine="720"/>
        <w:jc w:val="both"/>
        <w:rPr>
          <w:noProof/>
          <w:sz w:val="24"/>
          <w:szCs w:val="24"/>
        </w:rPr>
      </w:pPr>
      <w:r>
        <w:rPr>
          <w:noProof/>
          <w:sz w:val="24"/>
          <w:szCs w:val="24"/>
        </w:rPr>
        <w:t xml:space="preserve">There </w:t>
      </w:r>
      <w:r w:rsidRPr="00DB29EE">
        <w:rPr>
          <w:noProof/>
          <w:sz w:val="24"/>
          <w:szCs w:val="24"/>
        </w:rPr>
        <w:t>w</w:t>
      </w:r>
      <w:r>
        <w:rPr>
          <w:noProof/>
          <w:sz w:val="24"/>
          <w:szCs w:val="24"/>
        </w:rPr>
        <w:t xml:space="preserve">as no significant interaction between BMI and all-cause mortality and the pre-specified geographic regions (overall interaction p = 0.26). However, Asian countries had </w:t>
      </w:r>
      <w:r w:rsidRPr="00DB29EE">
        <w:rPr>
          <w:noProof/>
          <w:sz w:val="24"/>
          <w:szCs w:val="24"/>
        </w:rPr>
        <w:t xml:space="preserve">markedly higher risk estimates </w:t>
      </w:r>
      <w:r>
        <w:rPr>
          <w:noProof/>
          <w:sz w:val="24"/>
          <w:szCs w:val="24"/>
        </w:rPr>
        <w:t>in</w:t>
      </w:r>
      <w:r w:rsidRPr="00DB29EE">
        <w:rPr>
          <w:noProof/>
          <w:sz w:val="24"/>
          <w:szCs w:val="24"/>
        </w:rPr>
        <w:t xml:space="preserve"> obese categories</w:t>
      </w:r>
      <w:r>
        <w:rPr>
          <w:noProof/>
          <w:sz w:val="24"/>
          <w:szCs w:val="24"/>
        </w:rPr>
        <w:t xml:space="preserve"> compared to non-Asian regions. A </w:t>
      </w:r>
      <w:r w:rsidRPr="00DB29EE">
        <w:rPr>
          <w:noProof/>
          <w:sz w:val="24"/>
          <w:szCs w:val="24"/>
        </w:rPr>
        <w:t>post</w:t>
      </w:r>
      <w:r>
        <w:rPr>
          <w:noProof/>
          <w:sz w:val="24"/>
          <w:szCs w:val="24"/>
        </w:rPr>
        <w:t>-</w:t>
      </w:r>
      <w:r w:rsidRPr="00DB29EE">
        <w:rPr>
          <w:noProof/>
          <w:sz w:val="24"/>
          <w:szCs w:val="24"/>
        </w:rPr>
        <w:t>hoc</w:t>
      </w:r>
      <w:r>
        <w:rPr>
          <w:noProof/>
          <w:sz w:val="24"/>
          <w:szCs w:val="24"/>
        </w:rPr>
        <w:t xml:space="preserve"> analysis comparing Asian </w:t>
      </w:r>
      <w:r w:rsidRPr="00DB29EE">
        <w:rPr>
          <w:noProof/>
          <w:sz w:val="24"/>
          <w:szCs w:val="24"/>
        </w:rPr>
        <w:t>vs</w:t>
      </w:r>
      <w:r>
        <w:rPr>
          <w:noProof/>
          <w:sz w:val="24"/>
          <w:szCs w:val="24"/>
        </w:rPr>
        <w:t xml:space="preserve"> non-Asian countries showed a significant overall interaction (p = 0.046). Participants from Asian countries with BMI &gt; 30 kg/m</w:t>
      </w:r>
      <w:r>
        <w:rPr>
          <w:noProof/>
          <w:sz w:val="24"/>
          <w:szCs w:val="24"/>
          <w:vertAlign w:val="superscript"/>
        </w:rPr>
        <w:t>2</w:t>
      </w:r>
      <w:r>
        <w:rPr>
          <w:noProof/>
          <w:sz w:val="24"/>
          <w:szCs w:val="24"/>
        </w:rPr>
        <w:t xml:space="preserve"> had higher relative risk  compared to those from non-Asian countries (interaction p for type I obesity = 0.008). </w:t>
      </w:r>
      <w:r>
        <w:rPr>
          <w:noProof/>
          <w:sz w:val="24"/>
          <w:szCs w:val="24"/>
        </w:rPr>
        <w:lastRenderedPageBreak/>
        <w:t xml:space="preserve">Furthermore, Asian countries had a lower optimal BMI risk value (27.5 </w:t>
      </w:r>
      <w:r w:rsidRPr="00C06009">
        <w:rPr>
          <w:noProof/>
          <w:sz w:val="24"/>
          <w:szCs w:val="24"/>
        </w:rPr>
        <w:t>vs</w:t>
      </w:r>
      <w:r>
        <w:rPr>
          <w:noProof/>
          <w:sz w:val="24"/>
          <w:szCs w:val="24"/>
        </w:rPr>
        <w:t xml:space="preserve"> 31.3 kg/m</w:t>
      </w:r>
      <w:r>
        <w:rPr>
          <w:noProof/>
          <w:sz w:val="24"/>
          <w:szCs w:val="24"/>
          <w:vertAlign w:val="superscript"/>
        </w:rPr>
        <w:t>2</w:t>
      </w:r>
      <w:r>
        <w:rPr>
          <w:noProof/>
          <w:sz w:val="24"/>
          <w:szCs w:val="24"/>
        </w:rPr>
        <w:t xml:space="preserve"> in non-Asian countries) (Figure 3B).</w:t>
      </w:r>
    </w:p>
    <w:p w:rsidR="00A917FF" w:rsidRDefault="00A917FF" w:rsidP="0052196B">
      <w:pPr>
        <w:pStyle w:val="Sinespaciado"/>
        <w:spacing w:line="480" w:lineRule="auto"/>
        <w:ind w:firstLine="720"/>
        <w:jc w:val="both"/>
        <w:rPr>
          <w:noProof/>
          <w:sz w:val="24"/>
          <w:szCs w:val="24"/>
        </w:rPr>
      </w:pPr>
      <w:r w:rsidRPr="007F6686">
        <w:rPr>
          <w:noProof/>
          <w:sz w:val="24"/>
          <w:szCs w:val="24"/>
          <w:u w:val="single"/>
        </w:rPr>
        <w:t>Sensitivity analysis</w:t>
      </w:r>
      <w:r>
        <w:rPr>
          <w:noProof/>
          <w:sz w:val="24"/>
          <w:szCs w:val="24"/>
        </w:rPr>
        <w:t>: The two-step approach provided similar estimates to the one-step approach in the overweight (I</w:t>
      </w:r>
      <w:r>
        <w:rPr>
          <w:noProof/>
          <w:sz w:val="24"/>
          <w:szCs w:val="24"/>
          <w:vertAlign w:val="superscript"/>
        </w:rPr>
        <w:t>2</w:t>
      </w:r>
      <w:r>
        <w:rPr>
          <w:noProof/>
          <w:sz w:val="24"/>
          <w:szCs w:val="24"/>
        </w:rPr>
        <w:t xml:space="preserve"> = 0%) and type I obesity (I</w:t>
      </w:r>
      <w:r>
        <w:rPr>
          <w:noProof/>
          <w:sz w:val="24"/>
          <w:szCs w:val="24"/>
          <w:vertAlign w:val="superscript"/>
        </w:rPr>
        <w:t>2</w:t>
      </w:r>
      <w:r>
        <w:rPr>
          <w:noProof/>
          <w:sz w:val="24"/>
          <w:szCs w:val="24"/>
        </w:rPr>
        <w:t xml:space="preserve"> = 0%) categories. However, the two-step estimates of underweight, type II </w:t>
      </w:r>
      <w:r w:rsidRPr="00C06009">
        <w:rPr>
          <w:noProof/>
          <w:sz w:val="24"/>
          <w:szCs w:val="24"/>
        </w:rPr>
        <w:t>obesity</w:t>
      </w:r>
      <w:r>
        <w:rPr>
          <w:noProof/>
          <w:sz w:val="24"/>
          <w:szCs w:val="24"/>
        </w:rPr>
        <w:t xml:space="preserve"> and morbid obese participants varied compared to the one-step approach.</w:t>
      </w:r>
    </w:p>
    <w:p w:rsidR="00A917FF" w:rsidRDefault="00A917FF" w:rsidP="0052196B">
      <w:pPr>
        <w:pStyle w:val="Sinespaciado"/>
        <w:spacing w:line="480" w:lineRule="auto"/>
        <w:ind w:firstLine="720"/>
        <w:jc w:val="both"/>
        <w:rPr>
          <w:noProof/>
          <w:sz w:val="24"/>
          <w:szCs w:val="24"/>
        </w:rPr>
      </w:pPr>
      <w:r>
        <w:rPr>
          <w:noProof/>
          <w:sz w:val="24"/>
          <w:szCs w:val="24"/>
        </w:rPr>
        <w:t xml:space="preserve">Alternative models provided similar estimates and association pattern compared to the primary model. Adding risk factors associated with increased body fat (diabetes, high cholesterol and hypertension) resulted in comparable estimates. Overweight and type I obesity participants still had a significant reduction in all-cause mortality after including important admission risk factor variables in the multivariate model, such as admission heart rate, systolic blood pressure, hemoglobin levels, heart failure, intra-aortic balloon pump use and revascularization. Models including prognostically important angiographic features, such as left main disease and multi-vessel disease, </w:t>
      </w:r>
      <w:r w:rsidRPr="00C06009">
        <w:rPr>
          <w:noProof/>
          <w:sz w:val="24"/>
          <w:szCs w:val="24"/>
        </w:rPr>
        <w:t>did</w:t>
      </w:r>
      <w:r>
        <w:rPr>
          <w:noProof/>
          <w:sz w:val="24"/>
          <w:szCs w:val="24"/>
        </w:rPr>
        <w:t xml:space="preserve"> no</w:t>
      </w:r>
      <w:r w:rsidRPr="00C06009">
        <w:rPr>
          <w:noProof/>
          <w:sz w:val="24"/>
          <w:szCs w:val="24"/>
        </w:rPr>
        <w:t>t</w:t>
      </w:r>
      <w:r>
        <w:rPr>
          <w:noProof/>
          <w:sz w:val="24"/>
          <w:szCs w:val="24"/>
        </w:rPr>
        <w:t xml:space="preserve"> change the estimates or the significance in the overweight and type I obesity categories. </w:t>
      </w:r>
    </w:p>
    <w:p w:rsidR="00A917FF" w:rsidRDefault="00A917FF" w:rsidP="0052196B">
      <w:pPr>
        <w:pStyle w:val="Sinespaciado"/>
        <w:spacing w:line="480" w:lineRule="auto"/>
        <w:ind w:firstLine="720"/>
        <w:jc w:val="both"/>
        <w:rPr>
          <w:noProof/>
          <w:sz w:val="24"/>
          <w:szCs w:val="24"/>
        </w:rPr>
      </w:pPr>
      <w:r w:rsidRPr="00C06009">
        <w:rPr>
          <w:noProof/>
          <w:sz w:val="24"/>
          <w:szCs w:val="24"/>
        </w:rPr>
        <w:t xml:space="preserve">Excluding participants affected by conditions which can potentially </w:t>
      </w:r>
      <w:r>
        <w:rPr>
          <w:noProof/>
          <w:sz w:val="24"/>
          <w:szCs w:val="24"/>
        </w:rPr>
        <w:t>reduce</w:t>
      </w:r>
      <w:r w:rsidRPr="00C06009">
        <w:rPr>
          <w:noProof/>
          <w:sz w:val="24"/>
          <w:szCs w:val="24"/>
        </w:rPr>
        <w:t xml:space="preserve"> weight prior to study enrollment (illness-related weight loss), such as previous CVD, cancer or severe chronic kidney disease</w:t>
      </w:r>
      <w:r>
        <w:rPr>
          <w:noProof/>
          <w:sz w:val="24"/>
          <w:szCs w:val="24"/>
        </w:rPr>
        <w:t xml:space="preserve"> (n excluded = 35,782, </w:t>
      </w:r>
      <w:r w:rsidRPr="00C06009">
        <w:rPr>
          <w:noProof/>
          <w:sz w:val="24"/>
          <w:szCs w:val="24"/>
        </w:rPr>
        <w:t>43.9%), didn</w:t>
      </w:r>
      <w:r>
        <w:rPr>
          <w:noProof/>
          <w:sz w:val="24"/>
          <w:szCs w:val="24"/>
        </w:rPr>
        <w:t xml:space="preserve"> not</w:t>
      </w:r>
      <w:r w:rsidRPr="00C06009">
        <w:rPr>
          <w:noProof/>
          <w:sz w:val="24"/>
          <w:szCs w:val="24"/>
        </w:rPr>
        <w:t xml:space="preserve"> </w:t>
      </w:r>
      <w:r>
        <w:rPr>
          <w:noProof/>
          <w:sz w:val="24"/>
          <w:szCs w:val="24"/>
        </w:rPr>
        <w:t>modify</w:t>
      </w:r>
      <w:r w:rsidRPr="00C06009">
        <w:rPr>
          <w:noProof/>
          <w:sz w:val="24"/>
          <w:szCs w:val="24"/>
        </w:rPr>
        <w:t xml:space="preserve"> the estimates towards the null nor changed the significance of high BMI categories.</w:t>
      </w:r>
      <w:r>
        <w:rPr>
          <w:noProof/>
          <w:sz w:val="24"/>
          <w:szCs w:val="24"/>
        </w:rPr>
        <w:t xml:space="preserve"> The primary model considering the upper-normal BMI (22 – 24.9 kg/m</w:t>
      </w:r>
      <w:r>
        <w:rPr>
          <w:noProof/>
          <w:sz w:val="24"/>
          <w:szCs w:val="24"/>
          <w:vertAlign w:val="superscript"/>
        </w:rPr>
        <w:t>2</w:t>
      </w:r>
      <w:r>
        <w:rPr>
          <w:noProof/>
          <w:sz w:val="24"/>
          <w:szCs w:val="24"/>
        </w:rPr>
        <w:t>) as reference category had subtle changes compared t</w:t>
      </w:r>
      <w:r w:rsidR="00D32FCB">
        <w:rPr>
          <w:noProof/>
          <w:sz w:val="24"/>
          <w:szCs w:val="24"/>
        </w:rPr>
        <w:t xml:space="preserve">o the primary results. </w:t>
      </w:r>
      <w:bookmarkStart w:id="51" w:name="_GoBack"/>
      <w:bookmarkEnd w:id="51"/>
      <w:r>
        <w:rPr>
          <w:noProof/>
          <w:sz w:val="24"/>
          <w:szCs w:val="24"/>
        </w:rPr>
        <w:t xml:space="preserve">30-day landmark analysis shows similar results between 30-day mortality and &gt; </w:t>
      </w:r>
      <w:r>
        <w:rPr>
          <w:noProof/>
          <w:sz w:val="24"/>
          <w:szCs w:val="24"/>
        </w:rPr>
        <w:lastRenderedPageBreak/>
        <w:t xml:space="preserve">30-day mortality (Figure 4). In a separate analysis in the OASIS 4 trial, including  waist-to-hip ratio did not change the BMI estimates in all-cause mortality (Table 4). </w:t>
      </w:r>
    </w:p>
    <w:p w:rsidR="00A917FF" w:rsidRDefault="00A917FF" w:rsidP="0052196B">
      <w:pPr>
        <w:pStyle w:val="Sinespaciado"/>
        <w:spacing w:line="480" w:lineRule="auto"/>
        <w:ind w:firstLine="720"/>
        <w:jc w:val="both"/>
        <w:rPr>
          <w:noProof/>
          <w:sz w:val="24"/>
          <w:szCs w:val="24"/>
        </w:rPr>
      </w:pPr>
      <w:r>
        <w:rPr>
          <w:noProof/>
          <w:sz w:val="24"/>
          <w:szCs w:val="24"/>
        </w:rPr>
        <w:t xml:space="preserve">The overweight and type I obesity propensity 1:1 matched cohort included 45,108 and 23,520 participants, respectively. This corresponds to 88.7% matching in ther overweight cohort and 80% in the type I obesity cohort. Baseline characteristics across both matched datasets are presented in Table 5. In both the overweight (HR </w:t>
      </w:r>
      <w:r w:rsidRPr="00827123">
        <w:rPr>
          <w:noProof/>
          <w:sz w:val="24"/>
          <w:szCs w:val="24"/>
        </w:rPr>
        <w:t>0.81</w:t>
      </w:r>
      <w:r>
        <w:rPr>
          <w:noProof/>
          <w:sz w:val="24"/>
          <w:szCs w:val="24"/>
        </w:rPr>
        <w:t>; 95% CI 0.74 - 0.88; p &lt; 0.001) and type I obesity (HR 0.85; 95% CI 0.75 - 0.96; p = 0.01) propensity matched cohorts, a significant reduction in all-cause mortality was observed when compared to normal BMI (Figure 5). Stratified propensity score analysis also detected significant reductions in all-cause mortality among overweight (HR 0.82; 95% CI 0.76 - 0.88; p &lt; 0.001) and type I obesity (HR 0.80; 95% CI 0.72 - 0.88; p &lt; 0.001) participants (Figure 6). Multivariate adjustment including propensity score generated similar results: overweight HR 0.83 (95% CI 0.77 – 0.89; p &lt; 0.001) and type I obesity HR 0.81 (95% CI 0.73 – 0.90; p &lt; 0.001).</w:t>
      </w:r>
    </w:p>
    <w:p w:rsidR="00A917FF" w:rsidRDefault="00A917FF" w:rsidP="00CB12B7">
      <w:pPr>
        <w:pStyle w:val="Sinespaciado"/>
        <w:spacing w:line="480" w:lineRule="auto"/>
        <w:ind w:firstLine="720"/>
        <w:jc w:val="both"/>
        <w:rPr>
          <w:noProof/>
          <w:sz w:val="24"/>
          <w:szCs w:val="24"/>
        </w:rPr>
        <w:sectPr w:rsidR="00A917FF" w:rsidSect="00081DC9">
          <w:headerReference w:type="default" r:id="rId30"/>
          <w:pgSz w:w="12240" w:h="15840"/>
          <w:pgMar w:top="1440" w:right="1440" w:bottom="1440" w:left="1440" w:header="426" w:footer="720" w:gutter="0"/>
          <w:cols w:space="720"/>
          <w:docGrid w:linePitch="360"/>
        </w:sectPr>
      </w:pPr>
      <w:r>
        <w:rPr>
          <w:noProof/>
          <w:sz w:val="24"/>
          <w:szCs w:val="24"/>
        </w:rPr>
        <w:t xml:space="preserve">Overweight array analysis results are presented in Table 6. When assuming a difference in confounder prevalence of 10% among exposure groups, substantial relative risks between the confounder and all-cause mortality are required to turn the “real” relative risk to 1. For example, for a 10% difference in confounder prevalence, the missing confounder should have a relative risk of death around 4.0. When higher differences (20%) in confounder prevalence among exposed groups </w:t>
      </w:r>
      <w:r w:rsidRPr="00C06009">
        <w:rPr>
          <w:noProof/>
          <w:sz w:val="24"/>
          <w:szCs w:val="24"/>
        </w:rPr>
        <w:t>are assumed</w:t>
      </w:r>
      <w:r>
        <w:rPr>
          <w:noProof/>
          <w:sz w:val="24"/>
          <w:szCs w:val="24"/>
        </w:rPr>
        <w:t xml:space="preserve">, the unmeasured confounder should have a relative risk of death close to 2. </w:t>
      </w:r>
      <w:r w:rsidRPr="00D94EAE">
        <w:rPr>
          <w:noProof/>
          <w:sz w:val="24"/>
          <w:szCs w:val="24"/>
        </w:rPr>
        <w:t xml:space="preserve">Figure 7 presents different combinations between the confounder-exposure risk and confounder-outcome risk to change the </w:t>
      </w:r>
      <w:r w:rsidRPr="00C17384">
        <w:rPr>
          <w:noProof/>
          <w:sz w:val="24"/>
          <w:szCs w:val="24"/>
        </w:rPr>
        <w:t>exposure-outcome</w:t>
      </w:r>
      <w:r w:rsidRPr="00D94EAE">
        <w:rPr>
          <w:noProof/>
          <w:sz w:val="24"/>
          <w:szCs w:val="24"/>
        </w:rPr>
        <w:t xml:space="preserve"> risk estimate to 1, assuming a 20% confounder and </w:t>
      </w:r>
      <w:r>
        <w:rPr>
          <w:noProof/>
          <w:sz w:val="24"/>
          <w:szCs w:val="24"/>
        </w:rPr>
        <w:t>35</w:t>
      </w:r>
      <w:r w:rsidRPr="00D94EAE">
        <w:rPr>
          <w:noProof/>
          <w:sz w:val="24"/>
          <w:szCs w:val="24"/>
        </w:rPr>
        <w:t>% exposure prevalence.</w:t>
      </w:r>
    </w:p>
    <w:p w:rsidR="00A917FF" w:rsidRPr="001D19F4" w:rsidRDefault="00A917FF" w:rsidP="0052196B">
      <w:pPr>
        <w:jc w:val="both"/>
      </w:pPr>
      <w:r>
        <w:lastRenderedPageBreak/>
        <w:t>Table 1:</w:t>
      </w:r>
    </w:p>
    <w:tbl>
      <w:tblPr>
        <w:tblW w:w="12934" w:type="dxa"/>
        <w:tblLayout w:type="fixed"/>
        <w:tblLook w:val="04A0" w:firstRow="1" w:lastRow="0" w:firstColumn="1" w:lastColumn="0" w:noHBand="0" w:noVBand="1"/>
      </w:tblPr>
      <w:tblGrid>
        <w:gridCol w:w="291"/>
        <w:gridCol w:w="291"/>
        <w:gridCol w:w="1171"/>
        <w:gridCol w:w="360"/>
        <w:gridCol w:w="1393"/>
        <w:gridCol w:w="1394"/>
        <w:gridCol w:w="1394"/>
        <w:gridCol w:w="1393"/>
        <w:gridCol w:w="1394"/>
        <w:gridCol w:w="1394"/>
        <w:gridCol w:w="1394"/>
        <w:gridCol w:w="1065"/>
      </w:tblGrid>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nil"/>
              <w:right w:val="nil"/>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 </w:t>
            </w:r>
          </w:p>
        </w:tc>
        <w:tc>
          <w:tcPr>
            <w:tcW w:w="13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Overall</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&lt; 18.5</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18.5 - 24.9</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25 - 29.9</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30 - 34.9</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35 - 39.9</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&gt;= 40</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p value</w:t>
            </w:r>
          </w:p>
        </w:tc>
      </w:tr>
      <w:tr w:rsidR="004F0BB5" w:rsidRPr="005A58FC" w:rsidTr="004F0BB5">
        <w:trPr>
          <w:trHeight w:val="302"/>
        </w:trPr>
        <w:tc>
          <w:tcPr>
            <w:tcW w:w="2113" w:type="dxa"/>
            <w:gridSpan w:val="4"/>
            <w:tcBorders>
              <w:top w:val="nil"/>
              <w:left w:val="nil"/>
              <w:bottom w:val="single" w:sz="4" w:space="0" w:color="auto"/>
              <w:right w:val="single" w:sz="4" w:space="0" w:color="000000"/>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Demographics</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81553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958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25422</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35613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14708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3611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n = 1233</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821" w:type="dxa"/>
            <w:gridSpan w:val="3"/>
            <w:tcBorders>
              <w:top w:val="nil"/>
              <w:left w:val="nil"/>
              <w:bottom w:val="single" w:sz="4" w:space="0" w:color="auto"/>
              <w:right w:val="single" w:sz="4" w:space="0" w:color="000000"/>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Age, years (mean, SD)</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63.4 (11.7)</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67.18 (12.4</w:t>
            </w:r>
            <w:r w:rsidRPr="00F8235F">
              <w:rPr>
                <w:sz w:val="20"/>
                <w:szCs w:val="20"/>
              </w:rPr>
              <w:t>)</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64.66 (12.1</w:t>
            </w:r>
            <w:r w:rsidRPr="00F8235F">
              <w:rPr>
                <w:sz w:val="20"/>
                <w:szCs w:val="20"/>
              </w:rPr>
              <w:t>)</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63.54 (11.4)</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61.95 (11.1</w:t>
            </w:r>
            <w:r w:rsidRPr="00F8235F">
              <w:rPr>
                <w:sz w:val="20"/>
                <w:szCs w:val="20"/>
              </w:rPr>
              <w:t>)</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60.24 (11.0</w:t>
            </w:r>
            <w:r w:rsidRPr="00F8235F">
              <w:rPr>
                <w:sz w:val="20"/>
                <w:szCs w:val="20"/>
              </w:rPr>
              <w:t>)</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58.42 (10.9</w:t>
            </w:r>
            <w:r w:rsidRPr="00F8235F">
              <w:rPr>
                <w:sz w:val="20"/>
                <w:szCs w:val="20"/>
              </w:rPr>
              <w:t>)</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&lt; 0.001</w:t>
            </w: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821"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Sex, male (n</w:t>
            </w:r>
            <w:proofErr w:type="gramStart"/>
            <w:r w:rsidRPr="00F8235F">
              <w:rPr>
                <w:sz w:val="20"/>
                <w:szCs w:val="20"/>
              </w:rPr>
              <w:t>,%</w:t>
            </w:r>
            <w:proofErr w:type="gramEnd"/>
            <w:r w:rsidRPr="00F8235F">
              <w:rPr>
                <w:sz w:val="20"/>
                <w:szCs w:val="20"/>
              </w:rPr>
              <w:t>)</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57140 (70)</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478 (49.7)</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17562 (69.0)</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26196 (73.5)</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9997 (67.9)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2190 (60.6)</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Pr>
                <w:sz w:val="20"/>
                <w:szCs w:val="20"/>
              </w:rPr>
              <w:t>687 (55.7</w:t>
            </w:r>
            <w:r w:rsidRPr="00F8235F">
              <w:rPr>
                <w:sz w:val="20"/>
                <w:szCs w:val="20"/>
              </w:rPr>
              <w:t>)</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&lt; 0.001</w:t>
            </w: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82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Geographic region (n</w:t>
            </w:r>
            <w:proofErr w:type="gramStart"/>
            <w:r w:rsidRPr="00F8235F">
              <w:rPr>
                <w:sz w:val="20"/>
                <w:szCs w:val="20"/>
              </w:rPr>
              <w:t>,%</w:t>
            </w:r>
            <w:proofErr w:type="gramEnd"/>
            <w:r w:rsidRPr="00F8235F">
              <w:rPr>
                <w:sz w:val="20"/>
                <w:szCs w:val="20"/>
              </w:rPr>
              <w:t>)</w:t>
            </w:r>
          </w:p>
        </w:tc>
        <w:tc>
          <w:tcPr>
            <w:tcW w:w="1393" w:type="dxa"/>
            <w:tcBorders>
              <w:top w:val="single" w:sz="4" w:space="0" w:color="auto"/>
              <w:left w:val="single" w:sz="4" w:space="0" w:color="auto"/>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394" w:type="dxa"/>
            <w:tcBorders>
              <w:top w:val="nil"/>
              <w:left w:val="nil"/>
              <w:bottom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c>
          <w:tcPr>
            <w:tcW w:w="1394" w:type="dxa"/>
            <w:tcBorders>
              <w:top w:val="single" w:sz="4" w:space="0" w:color="auto"/>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393" w:type="dxa"/>
            <w:tcBorders>
              <w:top w:val="nil"/>
              <w:left w:val="nil"/>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394" w:type="dxa"/>
            <w:tcBorders>
              <w:top w:val="nil"/>
              <w:left w:val="nil"/>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394" w:type="dxa"/>
            <w:tcBorders>
              <w:top w:val="nil"/>
              <w:left w:val="nil"/>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394" w:type="dxa"/>
            <w:tcBorders>
              <w:top w:val="nil"/>
              <w:left w:val="nil"/>
              <w:bottom w:val="single" w:sz="4" w:space="0" w:color="auto"/>
              <w:right w:val="nil"/>
            </w:tcBorders>
            <w:shd w:val="clear" w:color="000000" w:fill="FFFFFF"/>
            <w:noWrap/>
            <w:vAlign w:val="center"/>
            <w:hideMark/>
          </w:tcPr>
          <w:p w:rsidR="004F0BB5" w:rsidRPr="00F8235F" w:rsidRDefault="004F0BB5" w:rsidP="00B53E17">
            <w:pPr>
              <w:pStyle w:val="Sinespaciado"/>
              <w:jc w:val="center"/>
              <w:rPr>
                <w:sz w:val="20"/>
                <w:szCs w:val="20"/>
              </w:rPr>
            </w:pPr>
          </w:p>
        </w:tc>
        <w:tc>
          <w:tcPr>
            <w:tcW w:w="1065" w:type="dxa"/>
            <w:tcBorders>
              <w:top w:val="nil"/>
              <w:left w:val="single" w:sz="4" w:space="0" w:color="auto"/>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&lt; 0.001</w:t>
            </w: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South Africa</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663 (0.8)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7 (0.7)</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187 (0.7)</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267 (0.7)</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155 (1.0</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33 (0.9)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14 (1.1)</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Asia</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10912 (13.3)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370 (38.6)</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5844 (22.9)</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3898 (10.9)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692 (4.7)</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85 (2.3)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23 (1.8)</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Australia / New Zealand</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2126 (2.6)</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20 (2.0)</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567 (2.2)</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928 (2.6)</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454 (3.0)</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112 (3.1)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45 (3.6)</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Eastern Europe</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20362 (24.9)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118 (12.3)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5351 (21.0)</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9317 (26.1)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4376 (29.7)</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982 (27.1)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218 (17.6)</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Latin America</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6682 (8.19)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68 (7.09)</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2041 (8.02)</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3011 (8.45)</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1227 (8.34)</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274 (7.58)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61 (4.95)</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Middle East</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1986 (2.43)</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13 (1.35)</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507 (1.99)</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967 (2.71)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389 (2.64)</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82 (2.27)</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28 (2.27)</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bottom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North America</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15240 (18.68)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151 (15.76)</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3981 (15.65)</w:t>
            </w:r>
          </w:p>
        </w:tc>
        <w:tc>
          <w:tcPr>
            <w:tcW w:w="1393"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6263 (17.58)</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3195 (21.72)</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1091 (30.21)</w:t>
            </w:r>
          </w:p>
        </w:tc>
        <w:tc>
          <w:tcPr>
            <w:tcW w:w="1394"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559 (45.37)</w:t>
            </w:r>
          </w:p>
        </w:tc>
        <w:tc>
          <w:tcPr>
            <w:tcW w:w="1065" w:type="dxa"/>
            <w:tcBorders>
              <w:top w:val="nil"/>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nil"/>
              <w:left w:val="nil"/>
              <w:right w:val="nil"/>
            </w:tcBorders>
            <w:shd w:val="clear" w:color="000000" w:fill="FFFFFF"/>
            <w:noWrap/>
            <w:vAlign w:val="bottom"/>
            <w:hideMark/>
          </w:tcPr>
          <w:p w:rsidR="004F0BB5" w:rsidRPr="005A58FC" w:rsidRDefault="004F0BB5" w:rsidP="00B53E17">
            <w:pPr>
              <w:pStyle w:val="Sinespaciado"/>
            </w:pPr>
            <w:r w:rsidRPr="005A58FC">
              <w:t> </w:t>
            </w:r>
          </w:p>
        </w:tc>
        <w:tc>
          <w:tcPr>
            <w:tcW w:w="291" w:type="dxa"/>
            <w:tcBorders>
              <w:top w:val="nil"/>
              <w:left w:val="nil"/>
              <w:right w:val="nil"/>
            </w:tcBorders>
            <w:shd w:val="clear" w:color="000000" w:fill="FFFFFF"/>
            <w:noWrap/>
            <w:vAlign w:val="bottom"/>
            <w:hideMark/>
          </w:tcPr>
          <w:p w:rsidR="004F0BB5" w:rsidRPr="005A58FC" w:rsidRDefault="004F0BB5" w:rsidP="00B53E17">
            <w:pPr>
              <w:pStyle w:val="Sinespaciado"/>
            </w:pPr>
            <w:r w:rsidRPr="005A58FC">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F0BB5" w:rsidRPr="00F8235F" w:rsidRDefault="004F0BB5" w:rsidP="00B53E17">
            <w:pPr>
              <w:pStyle w:val="Sinespaciado"/>
              <w:rPr>
                <w:sz w:val="20"/>
                <w:szCs w:val="20"/>
              </w:rPr>
            </w:pPr>
            <w:r w:rsidRPr="00F8235F">
              <w:rPr>
                <w:sz w:val="20"/>
                <w:szCs w:val="20"/>
              </w:rPr>
              <w:t>Western Europe</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23573 (28.90)</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211 (22.02)</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6944 (27.31)</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10962 (30.78)</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4220 (28.69)</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952 (26.36)</w:t>
            </w:r>
          </w:p>
        </w:tc>
        <w:tc>
          <w:tcPr>
            <w:tcW w:w="1394"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r w:rsidRPr="00F8235F">
              <w:rPr>
                <w:sz w:val="20"/>
                <w:szCs w:val="20"/>
              </w:rPr>
              <w:t>284 (23.05)</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rsidR="004F0BB5" w:rsidRPr="00F8235F" w:rsidRDefault="004F0BB5" w:rsidP="00B53E17">
            <w:pPr>
              <w:pStyle w:val="Sinespaciado"/>
              <w:jc w:val="center"/>
              <w:rPr>
                <w:sz w:val="20"/>
                <w:szCs w:val="20"/>
              </w:rPr>
            </w:pPr>
          </w:p>
        </w:tc>
      </w:tr>
      <w:tr w:rsidR="004F0BB5" w:rsidRPr="005A58FC" w:rsidTr="004F0BB5">
        <w:trPr>
          <w:trHeight w:val="302"/>
        </w:trPr>
        <w:tc>
          <w:tcPr>
            <w:tcW w:w="1753" w:type="dxa"/>
            <w:gridSpan w:val="3"/>
            <w:tcBorders>
              <w:top w:val="nil"/>
              <w:left w:val="nil"/>
              <w:bottom w:val="single" w:sz="4" w:space="0" w:color="auto"/>
            </w:tcBorders>
            <w:shd w:val="clear" w:color="000000" w:fill="FFFFFF"/>
            <w:noWrap/>
            <w:vAlign w:val="bottom"/>
          </w:tcPr>
          <w:p w:rsidR="004F0BB5" w:rsidRPr="00F8235F" w:rsidRDefault="004F0BB5" w:rsidP="00B53E17">
            <w:pPr>
              <w:pStyle w:val="Sinespaciado"/>
              <w:rPr>
                <w:sz w:val="20"/>
                <w:szCs w:val="20"/>
              </w:rPr>
            </w:pPr>
            <w:r w:rsidRPr="00F8235F">
              <w:rPr>
                <w:rFonts w:ascii="Calibri" w:eastAsia="Times New Roman" w:hAnsi="Calibri" w:cs="Times New Roman"/>
                <w:color w:val="000000"/>
                <w:sz w:val="20"/>
                <w:szCs w:val="20"/>
              </w:rPr>
              <w:t>Past history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753" w:type="dxa"/>
            <w:gridSpan w:val="2"/>
            <w:tcBorders>
              <w:top w:val="nil"/>
              <w:left w:val="nil"/>
              <w:bottom w:val="single" w:sz="4" w:space="0" w:color="auto"/>
            </w:tcBorders>
            <w:shd w:val="clear" w:color="000000" w:fill="FFFFFF"/>
            <w:vAlign w:val="bottom"/>
          </w:tcPr>
          <w:p w:rsidR="004F0BB5" w:rsidRPr="00F8235F" w:rsidRDefault="004F0BB5" w:rsidP="00B53E17">
            <w:pPr>
              <w:pStyle w:val="Sinespaciado"/>
              <w:rPr>
                <w:sz w:val="20"/>
                <w:szCs w:val="20"/>
              </w:rPr>
            </w:pPr>
          </w:p>
        </w:tc>
        <w:tc>
          <w:tcPr>
            <w:tcW w:w="1394"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394"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393"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394"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394"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394" w:type="dxa"/>
            <w:tcBorders>
              <w:top w:val="single" w:sz="4" w:space="0" w:color="auto"/>
              <w:left w:val="nil"/>
              <w:bottom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sz w:val="20"/>
                <w:szCs w:val="20"/>
              </w:rPr>
            </w:pPr>
          </w:p>
        </w:tc>
      </w:tr>
      <w:tr w:rsidR="004F0BB5" w:rsidRPr="005A58FC" w:rsidTr="004F0BB5">
        <w:trPr>
          <w:trHeight w:val="302"/>
        </w:trPr>
        <w:tc>
          <w:tcPr>
            <w:tcW w:w="291" w:type="dxa"/>
            <w:tcBorders>
              <w:top w:val="single" w:sz="4" w:space="0" w:color="auto"/>
              <w:left w:val="nil"/>
              <w:bottom w:val="nil"/>
              <w:right w:val="nil"/>
            </w:tcBorders>
            <w:shd w:val="clear" w:color="000000" w:fill="FFFFFF"/>
            <w:noWrap/>
            <w:vAlign w:val="bottom"/>
          </w:tcPr>
          <w:p w:rsidR="004F0BB5" w:rsidRPr="005A58FC" w:rsidRDefault="004F0BB5" w:rsidP="00B53E17">
            <w:pPr>
              <w:pStyle w:val="Sinespaciado"/>
            </w:pPr>
          </w:p>
        </w:tc>
        <w:tc>
          <w:tcPr>
            <w:tcW w:w="291" w:type="dxa"/>
            <w:tcBorders>
              <w:top w:val="single" w:sz="4" w:space="0" w:color="auto"/>
              <w:left w:val="nil"/>
              <w:bottom w:val="nil"/>
              <w:right w:val="nil"/>
            </w:tcBorders>
            <w:shd w:val="clear" w:color="000000" w:fill="FFFFFF"/>
            <w:noWrap/>
            <w:vAlign w:val="bottom"/>
          </w:tcPr>
          <w:p w:rsidR="004F0BB5" w:rsidRPr="005A58FC" w:rsidRDefault="004F0BB5" w:rsidP="00B53E17">
            <w:pPr>
              <w:pStyle w:val="Sinespaciado"/>
            </w:pPr>
          </w:p>
        </w:tc>
        <w:tc>
          <w:tcPr>
            <w:tcW w:w="1530" w:type="dxa"/>
            <w:gridSpan w:val="2"/>
            <w:tcBorders>
              <w:top w:val="single" w:sz="4" w:space="0" w:color="auto"/>
              <w:left w:val="nil"/>
              <w:bottom w:val="single" w:sz="4" w:space="0" w:color="auto"/>
              <w:right w:val="single" w:sz="4" w:space="0" w:color="auto"/>
            </w:tcBorders>
            <w:shd w:val="clear" w:color="000000" w:fill="FFFFFF"/>
            <w:noWrap/>
            <w:vAlign w:val="bottom"/>
          </w:tcPr>
          <w:p w:rsidR="004F0BB5" w:rsidRPr="00F8235F" w:rsidRDefault="004F0BB5" w:rsidP="00B53E17">
            <w:pPr>
              <w:pStyle w:val="Sinespaciad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Hypertension</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49160 (60.3)</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472 (49.16)</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13221 (52.00)</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21587 (60.61)</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10199 (69.34)</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2712 (75.08)</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sz w:val="20"/>
                <w:szCs w:val="20"/>
              </w:rPr>
            </w:pPr>
            <w:r w:rsidRPr="00F8235F">
              <w:rPr>
                <w:rFonts w:ascii="Calibri" w:eastAsia="Times New Roman" w:hAnsi="Calibri" w:cs="Times New Roman"/>
                <w:color w:val="000000"/>
                <w:sz w:val="20"/>
                <w:szCs w:val="20"/>
              </w:rPr>
              <w:t>945 (76.60)</w:t>
            </w:r>
          </w:p>
        </w:tc>
        <w:tc>
          <w:tcPr>
            <w:tcW w:w="1065" w:type="dxa"/>
            <w:tcBorders>
              <w:top w:val="nil"/>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4F0BB5" w:rsidRPr="005A58FC" w:rsidTr="004F0BB5">
        <w:trPr>
          <w:trHeight w:val="302"/>
        </w:trPr>
        <w:tc>
          <w:tcPr>
            <w:tcW w:w="291" w:type="dxa"/>
            <w:tcBorders>
              <w:top w:val="nil"/>
              <w:left w:val="nil"/>
              <w:bottom w:val="nil"/>
              <w:right w:val="nil"/>
            </w:tcBorders>
            <w:shd w:val="clear" w:color="000000" w:fill="FFFFFF"/>
            <w:noWrap/>
            <w:vAlign w:val="bottom"/>
          </w:tcPr>
          <w:p w:rsidR="004F0BB5" w:rsidRPr="005A58FC" w:rsidRDefault="004F0BB5" w:rsidP="00B53E17">
            <w:pPr>
              <w:pStyle w:val="Sinespaciado"/>
            </w:pPr>
          </w:p>
        </w:tc>
        <w:tc>
          <w:tcPr>
            <w:tcW w:w="291" w:type="dxa"/>
            <w:tcBorders>
              <w:top w:val="nil"/>
              <w:left w:val="nil"/>
              <w:bottom w:val="nil"/>
              <w:right w:val="nil"/>
            </w:tcBorders>
            <w:shd w:val="clear" w:color="000000" w:fill="FFFFFF"/>
            <w:noWrap/>
            <w:vAlign w:val="bottom"/>
          </w:tcPr>
          <w:p w:rsidR="004F0BB5" w:rsidRPr="005A58FC" w:rsidRDefault="004F0BB5" w:rsidP="00B53E17">
            <w:pPr>
              <w:pStyle w:val="Sinespaciado"/>
            </w:pPr>
          </w:p>
        </w:tc>
        <w:tc>
          <w:tcPr>
            <w:tcW w:w="1530" w:type="dxa"/>
            <w:gridSpan w:val="2"/>
            <w:tcBorders>
              <w:top w:val="nil"/>
              <w:left w:val="nil"/>
              <w:bottom w:val="single" w:sz="4" w:space="0" w:color="auto"/>
              <w:right w:val="single" w:sz="4" w:space="0" w:color="auto"/>
            </w:tcBorders>
            <w:shd w:val="clear" w:color="000000" w:fill="FFFFFF"/>
            <w:noWrap/>
            <w:vAlign w:val="bottom"/>
          </w:tcPr>
          <w:p w:rsidR="004F0BB5" w:rsidRPr="00F8235F" w:rsidRDefault="004F0BB5" w:rsidP="00B53E17">
            <w:pPr>
              <w:pStyle w:val="Sinespaciad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Diabetes</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18731 (23.0)</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130 (13.54)</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4547 (17.88)</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7982 (22.41)</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4193 (28.50)</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1346 (37.26)</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523 (41.86)</w:t>
            </w:r>
          </w:p>
        </w:tc>
        <w:tc>
          <w:tcPr>
            <w:tcW w:w="1065" w:type="dxa"/>
            <w:tcBorders>
              <w:top w:val="nil"/>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4F0BB5" w:rsidRPr="005A58FC" w:rsidTr="004F0BB5">
        <w:trPr>
          <w:trHeight w:val="302"/>
        </w:trPr>
        <w:tc>
          <w:tcPr>
            <w:tcW w:w="291" w:type="dxa"/>
            <w:tcBorders>
              <w:top w:val="nil"/>
              <w:left w:val="nil"/>
              <w:bottom w:val="nil"/>
              <w:right w:val="nil"/>
            </w:tcBorders>
            <w:shd w:val="clear" w:color="000000" w:fill="FFFFFF"/>
            <w:noWrap/>
            <w:vAlign w:val="bottom"/>
          </w:tcPr>
          <w:p w:rsidR="004F0BB5" w:rsidRPr="005A58FC" w:rsidRDefault="004F0BB5" w:rsidP="00B53E17">
            <w:pPr>
              <w:pStyle w:val="Sinespaciado"/>
            </w:pPr>
          </w:p>
        </w:tc>
        <w:tc>
          <w:tcPr>
            <w:tcW w:w="291" w:type="dxa"/>
            <w:tcBorders>
              <w:top w:val="nil"/>
              <w:left w:val="nil"/>
              <w:bottom w:val="nil"/>
              <w:right w:val="nil"/>
            </w:tcBorders>
            <w:shd w:val="clear" w:color="000000" w:fill="FFFFFF"/>
            <w:noWrap/>
            <w:vAlign w:val="bottom"/>
          </w:tcPr>
          <w:p w:rsidR="004F0BB5" w:rsidRPr="005A58FC" w:rsidRDefault="004F0BB5" w:rsidP="00B53E17">
            <w:pPr>
              <w:pStyle w:val="Sinespaciado"/>
            </w:pPr>
          </w:p>
        </w:tc>
        <w:tc>
          <w:tcPr>
            <w:tcW w:w="1530" w:type="dxa"/>
            <w:gridSpan w:val="2"/>
            <w:tcBorders>
              <w:top w:val="nil"/>
              <w:left w:val="nil"/>
              <w:bottom w:val="single" w:sz="4" w:space="0" w:color="auto"/>
              <w:right w:val="single" w:sz="4" w:space="0" w:color="auto"/>
            </w:tcBorders>
            <w:shd w:val="clear" w:color="000000" w:fill="FFFFFF"/>
            <w:noWrap/>
            <w:vAlign w:val="bottom"/>
          </w:tcPr>
          <w:p w:rsidR="004F0BB5" w:rsidRPr="00F8235F" w:rsidRDefault="004F0BB5" w:rsidP="00B53E17">
            <w:pPr>
              <w:pStyle w:val="Sinespaciad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Dyslipidemia</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30473 (37.4)</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247 (25.72)</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7908 (31.11)</w:t>
            </w:r>
          </w:p>
        </w:tc>
        <w:tc>
          <w:tcPr>
            <w:tcW w:w="1393"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13591 (38.16)</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6408 (43.57)</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1709 (47.32)</w:t>
            </w:r>
          </w:p>
        </w:tc>
        <w:tc>
          <w:tcPr>
            <w:tcW w:w="1394" w:type="dxa"/>
            <w:tcBorders>
              <w:top w:val="single" w:sz="4" w:space="0" w:color="auto"/>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595 (48.36)</w:t>
            </w:r>
          </w:p>
        </w:tc>
        <w:tc>
          <w:tcPr>
            <w:tcW w:w="1065" w:type="dxa"/>
            <w:tcBorders>
              <w:top w:val="nil"/>
              <w:left w:val="nil"/>
              <w:bottom w:val="single" w:sz="4" w:space="0" w:color="auto"/>
              <w:right w:val="single" w:sz="4" w:space="0" w:color="auto"/>
            </w:tcBorders>
            <w:shd w:val="clear" w:color="000000" w:fill="FFFFFF"/>
            <w:noWrap/>
            <w:vAlign w:val="center"/>
          </w:tcPr>
          <w:p w:rsidR="004F0BB5" w:rsidRPr="00F8235F" w:rsidRDefault="004F0BB5" w:rsidP="00B53E17">
            <w:pPr>
              <w:pStyle w:val="Sinespaciad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bl>
    <w:p w:rsidR="00A917FF" w:rsidRDefault="00A917FF" w:rsidP="0052196B">
      <w:pPr>
        <w:jc w:val="both"/>
      </w:pPr>
    </w:p>
    <w:p w:rsidR="00A917FF" w:rsidRDefault="00A917FF" w:rsidP="0052196B">
      <w:pPr>
        <w:jc w:val="both"/>
      </w:pPr>
      <w:r>
        <w:br w:type="page"/>
      </w:r>
    </w:p>
    <w:p w:rsidR="00A917FF" w:rsidRPr="001D19F4" w:rsidRDefault="00A917FF" w:rsidP="0052196B">
      <w:pPr>
        <w:jc w:val="both"/>
      </w:pPr>
      <w:r>
        <w:lastRenderedPageBreak/>
        <w:t>Table 1 cont.:</w:t>
      </w:r>
    </w:p>
    <w:tbl>
      <w:tblPr>
        <w:tblW w:w="13041" w:type="dxa"/>
        <w:tblInd w:w="108" w:type="dxa"/>
        <w:tblLayout w:type="fixed"/>
        <w:tblLook w:val="04A0" w:firstRow="1" w:lastRow="0" w:firstColumn="1" w:lastColumn="0" w:noHBand="0" w:noVBand="1"/>
      </w:tblPr>
      <w:tblGrid>
        <w:gridCol w:w="276"/>
        <w:gridCol w:w="8"/>
        <w:gridCol w:w="283"/>
        <w:gridCol w:w="147"/>
        <w:gridCol w:w="916"/>
        <w:gridCol w:w="780"/>
        <w:gridCol w:w="850"/>
        <w:gridCol w:w="478"/>
        <w:gridCol w:w="1152"/>
        <w:gridCol w:w="177"/>
        <w:gridCol w:w="1329"/>
        <w:gridCol w:w="124"/>
        <w:gridCol w:w="1205"/>
        <w:gridCol w:w="425"/>
        <w:gridCol w:w="904"/>
        <w:gridCol w:w="726"/>
        <w:gridCol w:w="603"/>
        <w:gridCol w:w="1027"/>
        <w:gridCol w:w="302"/>
        <w:gridCol w:w="1329"/>
      </w:tblGrid>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left w:val="nil"/>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Overall</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&lt; 18.5</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18.5 - 24.9</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25 - 29.9</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30 - 34.9</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35 - 39.9</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&gt;= 40</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sz w:val="20"/>
                <w:szCs w:val="20"/>
              </w:rPr>
              <w:t>p value</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Smoking status</w:t>
            </w:r>
          </w:p>
        </w:tc>
        <w:tc>
          <w:tcPr>
            <w:tcW w:w="1328" w:type="dxa"/>
            <w:gridSpan w:val="2"/>
            <w:tcBorders>
              <w:top w:val="nil"/>
              <w:left w:val="single" w:sz="4" w:space="0" w:color="auto"/>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438" w:type="dxa"/>
            <w:gridSpan w:val="3"/>
            <w:tcBorders>
              <w:top w:val="nil"/>
              <w:left w:val="nil"/>
              <w:bottom w:val="nil"/>
              <w:right w:val="nil"/>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1696"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Current</w:t>
            </w:r>
          </w:p>
        </w:tc>
        <w:tc>
          <w:tcPr>
            <w:tcW w:w="1328"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26011 (31.9)</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356 (37.08)</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9054 (35.65)</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10945</w:t>
            </w:r>
            <w:r>
              <w:rPr>
                <w:rFonts w:ascii="Calibri" w:eastAsia="Times New Roman" w:hAnsi="Calibri" w:cs="Times New Roman"/>
                <w:color w:val="000000"/>
                <w:sz w:val="20"/>
                <w:szCs w:val="20"/>
              </w:rPr>
              <w:t xml:space="preserve"> (30.7</w:t>
            </w:r>
            <w:r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4196 (28.56)</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1053 (29.17)</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391 (31.82)</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76" w:type="dxa"/>
            <w:tcBorders>
              <w:top w:val="nil"/>
              <w:left w:val="nil"/>
              <w:bottom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p>
        </w:tc>
        <w:tc>
          <w:tcPr>
            <w:tcW w:w="438" w:type="dxa"/>
            <w:gridSpan w:val="3"/>
            <w:tcBorders>
              <w:top w:val="nil"/>
              <w:left w:val="nil"/>
              <w:bottom w:val="nil"/>
              <w:right w:val="nil"/>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696"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Former</w:t>
            </w:r>
          </w:p>
        </w:tc>
        <w:tc>
          <w:tcPr>
            <w:tcW w:w="1328"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21934 (26.9)</w:t>
            </w:r>
          </w:p>
        </w:tc>
        <w:tc>
          <w:tcPr>
            <w:tcW w:w="1329"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161 (16.77)</w:t>
            </w:r>
          </w:p>
        </w:tc>
        <w:tc>
          <w:tcPr>
            <w:tcW w:w="1329" w:type="dxa"/>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5651 (22.25)</w:t>
            </w:r>
          </w:p>
        </w:tc>
        <w:tc>
          <w:tcPr>
            <w:tcW w:w="1329"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10119</w:t>
            </w:r>
            <w:r>
              <w:rPr>
                <w:rFonts w:ascii="Calibri" w:eastAsia="Times New Roman" w:hAnsi="Calibri" w:cs="Times New Roman"/>
                <w:color w:val="000000"/>
                <w:sz w:val="20"/>
                <w:szCs w:val="20"/>
              </w:rPr>
              <w:t xml:space="preserve"> (28.4</w:t>
            </w:r>
            <w:r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4541 (30.91)</w:t>
            </w:r>
          </w:p>
        </w:tc>
        <w:tc>
          <w:tcPr>
            <w:tcW w:w="1329"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1098 (30.42)</w:t>
            </w:r>
          </w:p>
        </w:tc>
        <w:tc>
          <w:tcPr>
            <w:tcW w:w="1329" w:type="dxa"/>
            <w:gridSpan w:val="2"/>
            <w:tcBorders>
              <w:top w:val="nil"/>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355 (28.85)</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438" w:type="dxa"/>
            <w:gridSpan w:val="3"/>
            <w:tcBorders>
              <w:top w:val="nil"/>
              <w:left w:val="nil"/>
              <w:bottom w:val="nil"/>
              <w:right w:val="nil"/>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1696"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Never</w:t>
            </w:r>
          </w:p>
        </w:tc>
        <w:tc>
          <w:tcPr>
            <w:tcW w:w="1328"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33561 (41.2)</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443 (46.14)</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10691 (42.1</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14516</w:t>
            </w:r>
            <w:r>
              <w:rPr>
                <w:rFonts w:ascii="Calibri" w:eastAsia="Times New Roman" w:hAnsi="Calibri" w:cs="Times New Roman"/>
                <w:color w:val="000000"/>
                <w:sz w:val="20"/>
                <w:szCs w:val="20"/>
              </w:rPr>
              <w:t xml:space="preserve"> (40.7</w:t>
            </w:r>
            <w:r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5953 (40.52)</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1458 (40.39)</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485 (39.33)</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Myocardial infarction</w:t>
            </w:r>
          </w:p>
        </w:tc>
        <w:tc>
          <w:tcPr>
            <w:tcW w:w="132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16738 (20.5)</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155 (16.14)</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5002 (19.67)</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7352 (20.6</w:t>
            </w:r>
            <w:r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3223 (21.91)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759 (21.01)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237 (19.20)</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Revascularization</w:t>
            </w:r>
          </w:p>
        </w:tc>
        <w:tc>
          <w:tcPr>
            <w:tcW w:w="1328" w:type="dxa"/>
            <w:gridSpan w:val="2"/>
            <w:tcBorders>
              <w:top w:val="nil"/>
              <w:left w:val="single" w:sz="4" w:space="0" w:color="auto"/>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nil"/>
              <w:left w:val="nil"/>
              <w:bottom w:val="single" w:sz="4" w:space="0" w:color="auto"/>
              <w:right w:val="nil"/>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438" w:type="dxa"/>
            <w:gridSpan w:val="3"/>
            <w:tcBorders>
              <w:top w:val="nil"/>
              <w:left w:val="nil"/>
              <w:bottom w:val="nil"/>
              <w:right w:val="nil"/>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1696"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PCI</w:t>
            </w:r>
          </w:p>
        </w:tc>
        <w:tc>
          <w:tcPr>
            <w:tcW w:w="1328"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9023 (11.1)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66 (6.87)</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2416 (9.50)</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4022 (11.2</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1827 (12.42)</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492 (13.62)</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196 (15.91)</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438" w:type="dxa"/>
            <w:gridSpan w:val="3"/>
            <w:tcBorders>
              <w:top w:val="nil"/>
              <w:left w:val="nil"/>
              <w:bottom w:val="nil"/>
              <w:right w:val="nil"/>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1696"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CABG</w:t>
            </w:r>
          </w:p>
        </w:tc>
        <w:tc>
          <w:tcPr>
            <w:tcW w:w="1328"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4938 (6.1)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28 (2.91)</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1300 (5.11)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2285 (6.4</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1011 (6.87)</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237 (6.56)</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73 (5.94)</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Heart failure</w:t>
            </w:r>
          </w:p>
        </w:tc>
        <w:tc>
          <w:tcPr>
            <w:tcW w:w="132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2946 (3.6)</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47 (4.89)</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909 (3.57)</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1190 (3.3</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594 (4.03)</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136 (3.76)</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66 (5.45)</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Stroke</w:t>
            </w:r>
          </w:p>
        </w:tc>
        <w:tc>
          <w:tcPr>
            <w:tcW w:w="132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4049 (5.0)</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60 (6.25)</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1355 (5.33)</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1734 (4.8</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677 (4.60)</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158 (4.37)</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63 (5.10)</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0.003</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Peripheral artery disease</w:t>
            </w:r>
          </w:p>
        </w:tc>
        <w:tc>
          <w:tcPr>
            <w:tcW w:w="1328"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4572 (5.6)</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56 (5.83)</w:t>
            </w:r>
          </w:p>
        </w:tc>
        <w:tc>
          <w:tcPr>
            <w:tcW w:w="1329" w:type="dxa"/>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1530 (6.01)</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1965 (5.5</w:t>
            </w:r>
            <w:r w:rsidR="00A917FF" w:rsidRPr="00F8235F">
              <w:rPr>
                <w:rFonts w:ascii="Calibri" w:eastAsia="Times New Roman" w:hAnsi="Calibri" w:cs="Times New Roman"/>
                <w:color w:val="000000"/>
                <w:sz w:val="20"/>
                <w:szCs w:val="20"/>
              </w:rPr>
              <w:t>)</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777 (5.28)</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184 (5.09)</w:t>
            </w:r>
          </w:p>
        </w:tc>
        <w:tc>
          <w:tcPr>
            <w:tcW w:w="1329" w:type="dxa"/>
            <w:gridSpan w:val="2"/>
            <w:tcBorders>
              <w:top w:val="nil"/>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53 (4.31)</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0.004</w:t>
            </w:r>
          </w:p>
        </w:tc>
      </w:tr>
      <w:tr w:rsidR="00A917FF" w:rsidRPr="00F8235F" w:rsidTr="004F0BB5">
        <w:trPr>
          <w:trHeight w:val="300"/>
        </w:trPr>
        <w:tc>
          <w:tcPr>
            <w:tcW w:w="276" w:type="dxa"/>
            <w:tcBorders>
              <w:top w:val="nil"/>
              <w:left w:val="nil"/>
              <w:bottom w:val="nil"/>
              <w:right w:val="nil"/>
            </w:tcBorders>
            <w:shd w:val="clear" w:color="000000" w:fill="FFFFFF"/>
            <w:noWrap/>
            <w:vAlign w:val="bottom"/>
            <w:hideMark/>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Cancer</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3225 (4.0)</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41 (4.27)</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998 (3.92)</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1402 (3.9</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580 (3.94)</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141 (3.90)</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61 (4.90)</w:t>
            </w:r>
          </w:p>
        </w:tc>
        <w:tc>
          <w:tcPr>
            <w:tcW w:w="1329"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0.611</w:t>
            </w:r>
          </w:p>
        </w:tc>
      </w:tr>
      <w:tr w:rsidR="00A917FF" w:rsidRPr="00F8235F" w:rsidTr="004F0BB5">
        <w:trPr>
          <w:trHeight w:val="300"/>
        </w:trPr>
        <w:tc>
          <w:tcPr>
            <w:tcW w:w="276" w:type="dxa"/>
            <w:tcBorders>
              <w:top w:val="nil"/>
              <w:left w:val="nil"/>
              <w:bottom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 </w:t>
            </w: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CKD</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20197 (25.1)</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281 (29.73)</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6306 (25.14)</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8675 (24.6</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3707 (25.51)</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928 (25.92)</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300 (24.63)</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0.004</w:t>
            </w:r>
          </w:p>
        </w:tc>
      </w:tr>
      <w:tr w:rsidR="00A917FF" w:rsidRPr="00F8235F" w:rsidTr="004F0BB5">
        <w:trPr>
          <w:trHeight w:val="300"/>
        </w:trPr>
        <w:tc>
          <w:tcPr>
            <w:tcW w:w="1630" w:type="dxa"/>
            <w:gridSpan w:val="5"/>
            <w:tcBorders>
              <w:top w:val="nil"/>
              <w:left w:val="nil"/>
              <w:bottom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ACS admission</w:t>
            </w:r>
          </w:p>
        </w:tc>
        <w:tc>
          <w:tcPr>
            <w:tcW w:w="1630"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630"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630" w:type="dxa"/>
            <w:gridSpan w:val="3"/>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630"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630"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630"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631"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76" w:type="dxa"/>
            <w:tcBorders>
              <w:top w:val="nil"/>
              <w:left w:val="nil"/>
              <w:bottom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Admission KK 2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4745 (5.8)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79 (8.23)</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1513 (5.95)</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1946 (5.4</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880 (5.98)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236 (6.53)</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88 (7.11)</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bottom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In-hospital HF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3952 (4.8)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56 (5.83)</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1354 (5.32)</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1637 (4.5</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680</w:t>
            </w:r>
            <w:r w:rsidRPr="00F8235F">
              <w:rPr>
                <w:rFonts w:ascii="Calibri" w:eastAsia="Times New Roman" w:hAnsi="Calibri" w:cs="Times New Roman"/>
                <w:color w:val="000000"/>
                <w:sz w:val="20"/>
                <w:szCs w:val="20"/>
              </w:rPr>
              <w:t xml:space="preserve"> (4.62)</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171 (4.73)</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52 (4.22)</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0.006</w:t>
            </w:r>
          </w:p>
        </w:tc>
      </w:tr>
      <w:tr w:rsidR="00A917FF" w:rsidRPr="00F8235F" w:rsidTr="004F0BB5">
        <w:trPr>
          <w:trHeight w:val="300"/>
        </w:trPr>
        <w:tc>
          <w:tcPr>
            <w:tcW w:w="276" w:type="dxa"/>
            <w:tcBorders>
              <w:top w:val="nil"/>
              <w:left w:val="nil"/>
              <w:bottom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roofErr w:type="spellStart"/>
            <w:r w:rsidRPr="00F8235F">
              <w:rPr>
                <w:rFonts w:ascii="Calibri" w:eastAsia="Times New Roman" w:hAnsi="Calibri" w:cs="Times New Roman"/>
                <w:color w:val="000000"/>
                <w:sz w:val="20"/>
                <w:szCs w:val="20"/>
              </w:rPr>
              <w:t>CrCl</w:t>
            </w:r>
            <w:proofErr w:type="spellEnd"/>
            <w:r w:rsidRPr="00F8235F">
              <w:rPr>
                <w:rFonts w:ascii="Calibri" w:eastAsia="Times New Roman" w:hAnsi="Calibri" w:cs="Times New Roman"/>
                <w:color w:val="000000"/>
                <w:sz w:val="20"/>
                <w:szCs w:val="20"/>
              </w:rPr>
              <w:t>, ml/min (</w:t>
            </w:r>
            <w:proofErr w:type="spellStart"/>
            <w:r w:rsidRPr="00F8235F">
              <w:rPr>
                <w:rFonts w:ascii="Calibri" w:eastAsia="Times New Roman" w:hAnsi="Calibri" w:cs="Times New Roman"/>
                <w:color w:val="000000"/>
                <w:sz w:val="20"/>
                <w:szCs w:val="20"/>
              </w:rPr>
              <w:t>mean,SD</w:t>
            </w:r>
            <w:proofErr w:type="spell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75.10 (21.58)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72.60 (22.84)</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75.26 (21.98)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75.11 (21.2)</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74.79 (21.44)</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75.18 (22.06)</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76.70 (23.09)</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76" w:type="dxa"/>
            <w:tcBorders>
              <w:top w:val="nil"/>
              <w:left w:val="nil"/>
              <w:right w:val="nil"/>
            </w:tcBorders>
            <w:shd w:val="clear" w:color="000000" w:fill="FFFFFF"/>
            <w:noWrap/>
            <w:vAlign w:val="bottom"/>
          </w:tcPr>
          <w:p w:rsidR="00A917FF" w:rsidRPr="00F8235F" w:rsidRDefault="00A917FF" w:rsidP="0052196B">
            <w:pPr>
              <w:spacing w:after="0" w:line="240" w:lineRule="auto"/>
              <w:jc w:val="both"/>
              <w:rPr>
                <w:rFonts w:ascii="Calibri" w:eastAsia="Times New Roman" w:hAnsi="Calibri" w:cs="Times New Roman"/>
                <w:color w:val="000000"/>
                <w:sz w:val="20"/>
                <w:szCs w:val="20"/>
              </w:rPr>
            </w:pPr>
          </w:p>
        </w:tc>
        <w:tc>
          <w:tcPr>
            <w:tcW w:w="2134" w:type="dxa"/>
            <w:gridSpan w:val="5"/>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Discharge diagnosis</w:t>
            </w:r>
          </w:p>
        </w:tc>
        <w:tc>
          <w:tcPr>
            <w:tcW w:w="1328" w:type="dxa"/>
            <w:gridSpan w:val="2"/>
            <w:tcBorders>
              <w:top w:val="single" w:sz="4" w:space="0" w:color="auto"/>
              <w:left w:val="single" w:sz="4" w:space="0" w:color="auto"/>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&lt; 0.001</w:t>
            </w:r>
          </w:p>
        </w:tc>
      </w:tr>
      <w:tr w:rsidR="00A917FF" w:rsidRPr="00F8235F" w:rsidTr="004F0BB5">
        <w:trPr>
          <w:trHeight w:val="300"/>
        </w:trPr>
        <w:tc>
          <w:tcPr>
            <w:tcW w:w="284" w:type="dxa"/>
            <w:gridSpan w:val="2"/>
            <w:tcBorders>
              <w:top w:val="nil"/>
              <w:left w:val="nil"/>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283" w:type="dxa"/>
            <w:tcBorders>
              <w:top w:val="nil"/>
            </w:tcBorders>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843" w:type="dxa"/>
            <w:gridSpan w:val="3"/>
            <w:tcBorders>
              <w:top w:val="nil"/>
              <w:left w:val="nil"/>
              <w:bottom w:val="single" w:sz="4" w:space="0" w:color="auto"/>
              <w:right w:val="single" w:sz="4" w:space="0" w:color="auto"/>
            </w:tcBorders>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UA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22657 (27.8)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260 (27.08)</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7096 (27.91)</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9845 (27.6</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4189 (28.47)</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990 (27.40)</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278 (22.07)</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84" w:type="dxa"/>
            <w:gridSpan w:val="2"/>
            <w:tcBorders>
              <w:left w:val="nil"/>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283" w:type="dxa"/>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843" w:type="dxa"/>
            <w:gridSpan w:val="3"/>
            <w:tcBorders>
              <w:top w:val="single" w:sz="4" w:space="0" w:color="auto"/>
              <w:left w:val="nil"/>
              <w:bottom w:val="single" w:sz="4" w:space="0" w:color="auto"/>
              <w:right w:val="single" w:sz="4" w:space="0" w:color="auto"/>
            </w:tcBorders>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NSTEMI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29046 (35.6)</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297 (30.93)</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8411 (33.08)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12731 (35.7</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5632 (38.28)</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1428 (39.53)</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541 (43.95)</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r w:rsidR="00A917FF" w:rsidRPr="00F8235F" w:rsidTr="004F0BB5">
        <w:trPr>
          <w:trHeight w:val="300"/>
        </w:trPr>
        <w:tc>
          <w:tcPr>
            <w:tcW w:w="284" w:type="dxa"/>
            <w:gridSpan w:val="2"/>
            <w:tcBorders>
              <w:left w:val="nil"/>
            </w:tcBorders>
            <w:shd w:val="clear" w:color="000000" w:fill="FFFFFF"/>
            <w:noWrap/>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283" w:type="dxa"/>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p>
        </w:tc>
        <w:tc>
          <w:tcPr>
            <w:tcW w:w="1843" w:type="dxa"/>
            <w:gridSpan w:val="3"/>
            <w:tcBorders>
              <w:top w:val="single" w:sz="4" w:space="0" w:color="auto"/>
              <w:left w:val="nil"/>
              <w:bottom w:val="single" w:sz="4" w:space="0" w:color="auto"/>
              <w:right w:val="single" w:sz="4" w:space="0" w:color="auto"/>
            </w:tcBorders>
            <w:shd w:val="clear" w:color="000000" w:fill="FFFFFF"/>
            <w:vAlign w:val="center"/>
          </w:tcPr>
          <w:p w:rsidR="00A917FF" w:rsidRPr="00F8235F" w:rsidRDefault="00A917FF" w:rsidP="004F0BB5">
            <w:pPr>
              <w:spacing w:after="0" w:line="240" w:lineRule="auto"/>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STEMI (n</w:t>
            </w:r>
            <w:proofErr w:type="gramStart"/>
            <w:r w:rsidRPr="00F8235F">
              <w:rPr>
                <w:rFonts w:ascii="Calibri" w:eastAsia="Times New Roman" w:hAnsi="Calibri" w:cs="Times New Roman"/>
                <w:color w:val="000000"/>
                <w:sz w:val="20"/>
                <w:szCs w:val="20"/>
              </w:rPr>
              <w:t>,%</w:t>
            </w:r>
            <w:proofErr w:type="gramEnd"/>
            <w:r w:rsidRPr="00F8235F">
              <w:rPr>
                <w:rFonts w:ascii="Calibri" w:eastAsia="Times New Roman" w:hAnsi="Calibri" w:cs="Times New Roman"/>
                <w:color w:val="000000"/>
                <w:sz w:val="20"/>
                <w:szCs w:val="20"/>
              </w:rPr>
              <w:t>)</w:t>
            </w:r>
          </w:p>
        </w:tc>
        <w:tc>
          <w:tcPr>
            <w:tcW w:w="13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29850  (36.6)</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403 (41.97)</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9914 (38.99)</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13034 (36.6</w:t>
            </w:r>
            <w:r w:rsidR="00A917FF" w:rsidRPr="00F8235F">
              <w:rPr>
                <w:rFonts w:ascii="Calibri" w:eastAsia="Times New Roman" w:hAnsi="Calibri" w:cs="Times New Roman"/>
                <w:color w:val="000000"/>
                <w:sz w:val="20"/>
                <w:szCs w:val="20"/>
              </w:rPr>
              <w:t>)</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4889 (33.23)</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1194 (33.05)</w:t>
            </w:r>
          </w:p>
        </w:tc>
        <w:tc>
          <w:tcPr>
            <w:tcW w:w="1329" w:type="dxa"/>
            <w:gridSpan w:val="2"/>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r w:rsidRPr="00F8235F">
              <w:rPr>
                <w:rFonts w:ascii="Calibri" w:eastAsia="Times New Roman" w:hAnsi="Calibri" w:cs="Times New Roman"/>
                <w:color w:val="000000"/>
                <w:sz w:val="20"/>
                <w:szCs w:val="20"/>
              </w:rPr>
              <w:t>414 (33.67)</w:t>
            </w:r>
          </w:p>
        </w:tc>
        <w:tc>
          <w:tcPr>
            <w:tcW w:w="1329" w:type="dxa"/>
            <w:tcBorders>
              <w:top w:val="single" w:sz="4" w:space="0" w:color="auto"/>
              <w:left w:val="nil"/>
              <w:bottom w:val="single" w:sz="4" w:space="0" w:color="auto"/>
              <w:right w:val="single" w:sz="4" w:space="0" w:color="auto"/>
            </w:tcBorders>
            <w:shd w:val="clear" w:color="000000" w:fill="FFFFFF"/>
            <w:noWrap/>
            <w:vAlign w:val="center"/>
          </w:tcPr>
          <w:p w:rsidR="00A917FF" w:rsidRPr="00F8235F" w:rsidRDefault="00A917FF" w:rsidP="004F0BB5">
            <w:pPr>
              <w:spacing w:after="0" w:line="240" w:lineRule="auto"/>
              <w:jc w:val="center"/>
              <w:rPr>
                <w:rFonts w:ascii="Calibri" w:eastAsia="Times New Roman" w:hAnsi="Calibri" w:cs="Times New Roman"/>
                <w:color w:val="000000"/>
                <w:sz w:val="20"/>
                <w:szCs w:val="20"/>
              </w:rPr>
            </w:pPr>
          </w:p>
        </w:tc>
      </w:tr>
    </w:tbl>
    <w:p w:rsidR="00A917FF" w:rsidRDefault="00A917FF" w:rsidP="0052196B">
      <w:pPr>
        <w:jc w:val="both"/>
      </w:pPr>
      <w:r>
        <w:br w:type="page"/>
      </w:r>
    </w:p>
    <w:p w:rsidR="00A917FF" w:rsidRPr="001D19F4" w:rsidRDefault="00A917FF" w:rsidP="0052196B">
      <w:pPr>
        <w:jc w:val="both"/>
      </w:pPr>
      <w:r>
        <w:lastRenderedPageBreak/>
        <w:t>Table 1 cont.:</w:t>
      </w:r>
    </w:p>
    <w:tbl>
      <w:tblPr>
        <w:tblW w:w="12915" w:type="dxa"/>
        <w:tblInd w:w="93" w:type="dxa"/>
        <w:tblLayout w:type="fixed"/>
        <w:tblLook w:val="04A0" w:firstRow="1" w:lastRow="0" w:firstColumn="1" w:lastColumn="0" w:noHBand="0" w:noVBand="1"/>
      </w:tblPr>
      <w:tblGrid>
        <w:gridCol w:w="441"/>
        <w:gridCol w:w="15"/>
        <w:gridCol w:w="1969"/>
        <w:gridCol w:w="1377"/>
        <w:gridCol w:w="1377"/>
        <w:gridCol w:w="1377"/>
        <w:gridCol w:w="1377"/>
        <w:gridCol w:w="1377"/>
        <w:gridCol w:w="1377"/>
        <w:gridCol w:w="1377"/>
        <w:gridCol w:w="851"/>
      </w:tblGrid>
      <w:tr w:rsidR="00A917FF" w:rsidRPr="002563CF" w:rsidTr="004F0BB5">
        <w:trPr>
          <w:trHeight w:val="300"/>
        </w:trPr>
        <w:tc>
          <w:tcPr>
            <w:tcW w:w="456" w:type="dxa"/>
            <w:gridSpan w:val="2"/>
            <w:tcBorders>
              <w:top w:val="nil"/>
              <w:left w:val="nil"/>
              <w:bottom w:val="nil"/>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nil"/>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Overall</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18.5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18.5 - 24.9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25 - 29.9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30 - 34.9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35 - 39.9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sz w:val="20"/>
                <w:szCs w:val="20"/>
              </w:rPr>
              <w:t>&gt;= 40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p value</w:t>
            </w:r>
          </w:p>
        </w:tc>
      </w:tr>
      <w:tr w:rsidR="00A917FF" w:rsidRPr="002563CF" w:rsidTr="004F0BB5">
        <w:trPr>
          <w:trHeight w:val="300"/>
        </w:trPr>
        <w:tc>
          <w:tcPr>
            <w:tcW w:w="2425"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Coronary angiogram (n</w:t>
            </w:r>
            <w:proofErr w:type="gramStart"/>
            <w:r w:rsidRPr="002563CF">
              <w:rPr>
                <w:rFonts w:ascii="Calibri" w:eastAsia="Times New Roman" w:hAnsi="Calibri" w:cs="Times New Roman"/>
                <w:color w:val="000000"/>
                <w:sz w:val="20"/>
                <w:szCs w:val="20"/>
              </w:rPr>
              <w:t>,%</w:t>
            </w:r>
            <w:proofErr w:type="gramEnd"/>
            <w:r w:rsidRPr="002563CF">
              <w:rPr>
                <w:rFonts w:ascii="Calibri" w:eastAsia="Times New Roman" w:hAnsi="Calibri" w:cs="Times New Roman"/>
                <w:color w:val="000000"/>
                <w:sz w:val="20"/>
                <w:szCs w:val="20"/>
              </w:rPr>
              <w:t>)</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60681 (74.4)</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628 (65.41)</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18463 (72.62)</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26794 (75.23)</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10984 (74.67)</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2781 (76.99)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999 (81.08)</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2425" w:type="dxa"/>
            <w:gridSpan w:val="3"/>
            <w:tcBorders>
              <w:top w:val="nil"/>
              <w:left w:val="nil"/>
              <w:bottom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Coronary anatomy (n</w:t>
            </w:r>
            <w:proofErr w:type="gramStart"/>
            <w:r w:rsidRPr="002563CF">
              <w:rPr>
                <w:rFonts w:ascii="Calibri" w:eastAsia="Times New Roman" w:hAnsi="Calibri" w:cs="Times New Roman"/>
                <w:color w:val="000000"/>
                <w:sz w:val="20"/>
                <w:szCs w:val="20"/>
              </w:rPr>
              <w:t>,%</w:t>
            </w:r>
            <w:proofErr w:type="gramEnd"/>
            <w:r w:rsidRPr="002563CF">
              <w:rPr>
                <w:rFonts w:ascii="Calibri" w:eastAsia="Times New Roman" w:hAnsi="Calibri" w:cs="Times New Roman"/>
                <w:color w:val="000000"/>
                <w:sz w:val="20"/>
                <w:szCs w:val="20"/>
              </w:rPr>
              <w:t xml:space="preserve">) </w:t>
            </w:r>
          </w:p>
        </w:tc>
        <w:tc>
          <w:tcPr>
            <w:tcW w:w="1377" w:type="dxa"/>
            <w:tcBorders>
              <w:top w:val="nil"/>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56" w:type="dxa"/>
            <w:gridSpan w:val="2"/>
            <w:tcBorders>
              <w:top w:val="nil"/>
              <w:left w:val="nil"/>
              <w:bottom w:val="single" w:sz="4" w:space="0" w:color="auto"/>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 VD</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20520 (39.52)</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202 (36.92)</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6226 (39.69)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9024 (39.40)</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3682 (38.95)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1023 (41.67)</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363 (41.43)</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r>
      <w:tr w:rsidR="00A917FF" w:rsidRPr="002563CF" w:rsidTr="004F0BB5">
        <w:trPr>
          <w:trHeight w:val="300"/>
        </w:trPr>
        <w:tc>
          <w:tcPr>
            <w:tcW w:w="456" w:type="dxa"/>
            <w:gridSpan w:val="2"/>
            <w:tcBorders>
              <w:top w:val="nil"/>
              <w:left w:val="nil"/>
              <w:bottom w:val="single" w:sz="4" w:space="0" w:color="auto"/>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 VD</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16735 (32.23)</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192 (35.10)</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4932 (31.44)</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7424 (32.42)</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3124 (33.05)</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801 (32.62)</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262 (29.90)</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r>
      <w:tr w:rsidR="00A917FF" w:rsidRPr="002563CF" w:rsidTr="004F0BB5">
        <w:trPr>
          <w:trHeight w:val="300"/>
        </w:trPr>
        <w:tc>
          <w:tcPr>
            <w:tcW w:w="456" w:type="dxa"/>
            <w:gridSpan w:val="2"/>
            <w:tcBorders>
              <w:top w:val="nil"/>
              <w:left w:val="nil"/>
              <w:bottom w:val="single" w:sz="4" w:space="0" w:color="auto"/>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 VD</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13838 (26.65)</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139 (25.41)</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4296 (27.39)</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6126 (26.75)</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2464 (26.07)</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586 (23.86)</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227 (25.91)</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r>
      <w:tr w:rsidR="00A917FF" w:rsidRPr="002563CF" w:rsidTr="004F0BB5">
        <w:trPr>
          <w:trHeight w:val="300"/>
        </w:trPr>
        <w:tc>
          <w:tcPr>
            <w:tcW w:w="456" w:type="dxa"/>
            <w:gridSpan w:val="2"/>
            <w:tcBorders>
              <w:top w:val="nil"/>
              <w:left w:val="nil"/>
              <w:bottom w:val="single" w:sz="4" w:space="0" w:color="auto"/>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LMD</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6716 (11.41)</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64 (10.44)</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2189 (12.21)</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2975 (11.45)</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1150 (10.80)</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253 (9.29)</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85 (8.79)</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56" w:type="dxa"/>
            <w:gridSpan w:val="2"/>
            <w:tcBorders>
              <w:top w:val="nil"/>
              <w:left w:val="nil"/>
              <w:bottom w:val="single" w:sz="4" w:space="0" w:color="auto"/>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LMD or 3-VD</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20554 (35.05)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203 (33.22)</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6485 (36.28)</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9101 (35.17)</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3614 (34.09)</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839 (30.98)</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312 (32.46)</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2425" w:type="dxa"/>
            <w:gridSpan w:val="3"/>
            <w:tcBorders>
              <w:top w:val="single" w:sz="4" w:space="0" w:color="auto"/>
              <w:left w:val="nil"/>
              <w:bottom w:val="single" w:sz="4" w:space="0" w:color="000000"/>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Revascularization (n</w:t>
            </w:r>
            <w:proofErr w:type="gramStart"/>
            <w:r w:rsidRPr="002563CF">
              <w:rPr>
                <w:rFonts w:ascii="Calibri" w:eastAsia="Times New Roman" w:hAnsi="Calibri" w:cs="Times New Roman"/>
                <w:color w:val="000000"/>
                <w:sz w:val="20"/>
                <w:szCs w:val="20"/>
              </w:rPr>
              <w:t>,%</w:t>
            </w:r>
            <w:proofErr w:type="gramEnd"/>
            <w:r w:rsidRPr="002563CF">
              <w:rPr>
                <w:rFonts w:ascii="Calibri" w:eastAsia="Times New Roman" w:hAnsi="Calibri" w:cs="Times New Roman"/>
                <w:color w:val="000000"/>
                <w:sz w:val="20"/>
                <w:szCs w:val="20"/>
              </w:rPr>
              <w:t>)</w:t>
            </w:r>
          </w:p>
        </w:tc>
        <w:tc>
          <w:tcPr>
            <w:tcW w:w="1377" w:type="dxa"/>
            <w:tcBorders>
              <w:top w:val="nil"/>
              <w:left w:val="nil"/>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nil"/>
              <w:left w:val="nil"/>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nil"/>
              <w:left w:val="nil"/>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nil"/>
              <w:left w:val="nil"/>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nil"/>
              <w:left w:val="nil"/>
              <w:bottom w:val="single" w:sz="4" w:space="0" w:color="auto"/>
              <w:right w:val="nil"/>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r>
      <w:tr w:rsidR="00A917FF" w:rsidRPr="002563CF" w:rsidTr="004F0BB5">
        <w:trPr>
          <w:trHeight w:val="300"/>
        </w:trPr>
        <w:tc>
          <w:tcPr>
            <w:tcW w:w="456" w:type="dxa"/>
            <w:gridSpan w:val="2"/>
            <w:tcBorders>
              <w:top w:val="nil"/>
              <w:left w:val="nil"/>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nil"/>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PCI</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44626 (54.7)</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450 (46.87)</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13425 (52.80)</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19833 (55.68)</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8087 (54.97)</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2067 (57.22)</w:t>
            </w:r>
          </w:p>
        </w:tc>
        <w:tc>
          <w:tcPr>
            <w:tcW w:w="1377"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736 (59.71)</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56" w:type="dxa"/>
            <w:gridSpan w:val="2"/>
            <w:tcBorders>
              <w:top w:val="nil"/>
              <w:left w:val="nil"/>
              <w:right w:val="nil"/>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 </w:t>
            </w:r>
          </w:p>
        </w:tc>
        <w:tc>
          <w:tcPr>
            <w:tcW w:w="1969" w:type="dxa"/>
            <w:tcBorders>
              <w:top w:val="single" w:sz="4" w:space="0" w:color="auto"/>
              <w:left w:val="nil"/>
              <w:bottom w:val="single" w:sz="4" w:space="0" w:color="auto"/>
              <w:right w:val="single" w:sz="4" w:space="0" w:color="auto"/>
            </w:tcBorders>
            <w:shd w:val="clear" w:color="000000" w:fill="FFFFFF"/>
            <w:noWrap/>
            <w:vAlign w:val="bottom"/>
            <w:hideMark/>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CABG</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5563 (6.8)</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37 (3.85)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1674 (6.58)</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2504 (7.03)</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1016 (6.90)</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253 (7.00)</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79 (6.20)</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0.002</w:t>
            </w:r>
          </w:p>
        </w:tc>
      </w:tr>
      <w:tr w:rsidR="00A917FF" w:rsidRPr="002563CF" w:rsidTr="004F0BB5">
        <w:trPr>
          <w:trHeight w:val="300"/>
        </w:trPr>
        <w:tc>
          <w:tcPr>
            <w:tcW w:w="2425" w:type="dxa"/>
            <w:gridSpan w:val="3"/>
            <w:tcBorders>
              <w:top w:val="nil"/>
              <w:left w:val="nil"/>
              <w:bottom w:val="single" w:sz="4" w:space="0" w:color="auto"/>
              <w:right w:val="single" w:sz="4" w:space="0" w:color="auto"/>
            </w:tcBorders>
            <w:shd w:val="clear" w:color="000000" w:fill="FFFFFF"/>
            <w:noWrap/>
            <w:vAlign w:val="bottom"/>
          </w:tcPr>
          <w:p w:rsidR="00A917FF" w:rsidRPr="002563CF" w:rsidRDefault="00A917FF" w:rsidP="0052196B">
            <w:pPr>
              <w:spacing w:after="0" w:line="240" w:lineRule="auto"/>
              <w:jc w:val="both"/>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IABP (n</w:t>
            </w:r>
            <w:proofErr w:type="gramStart"/>
            <w:r w:rsidRPr="002563CF">
              <w:rPr>
                <w:rFonts w:ascii="Calibri" w:eastAsia="Times New Roman" w:hAnsi="Calibri" w:cs="Times New Roman"/>
                <w:color w:val="000000"/>
                <w:sz w:val="20"/>
                <w:szCs w:val="20"/>
              </w:rPr>
              <w:t>,%</w:t>
            </w:r>
            <w:proofErr w:type="gramEnd"/>
            <w:r w:rsidRPr="002563CF">
              <w:rPr>
                <w:rFonts w:ascii="Calibri" w:eastAsia="Times New Roman" w:hAnsi="Calibri" w:cs="Times New Roman"/>
                <w:color w:val="000000"/>
                <w:sz w:val="20"/>
                <w:szCs w:val="20"/>
              </w:rPr>
              <w:t>)</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1250 (1.5)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13 (1.35)</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432 (1.69)</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529 (1.48)</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209 (1.42)</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51 (1.41)</w:t>
            </w:r>
          </w:p>
        </w:tc>
        <w:tc>
          <w:tcPr>
            <w:tcW w:w="137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16 (1.25)</w:t>
            </w:r>
          </w:p>
        </w:tc>
        <w:tc>
          <w:tcPr>
            <w:tcW w:w="851" w:type="dxa"/>
            <w:tcBorders>
              <w:top w:val="nil"/>
              <w:left w:val="nil"/>
              <w:bottom w:val="single" w:sz="4" w:space="0" w:color="auto"/>
              <w:right w:val="single" w:sz="4" w:space="0" w:color="auto"/>
            </w:tcBorders>
            <w:shd w:val="clear" w:color="000000" w:fill="FFFFFF"/>
            <w:noWrap/>
            <w:vAlign w:val="center"/>
            <w:hideMark/>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0.349</w:t>
            </w:r>
          </w:p>
        </w:tc>
      </w:tr>
      <w:tr w:rsidR="00A917FF" w:rsidRPr="002563CF" w:rsidTr="004F0BB5">
        <w:trPr>
          <w:trHeight w:val="300"/>
        </w:trPr>
        <w:tc>
          <w:tcPr>
            <w:tcW w:w="2425" w:type="dxa"/>
            <w:gridSpan w:val="3"/>
            <w:tcBorders>
              <w:top w:val="single" w:sz="4" w:space="0" w:color="auto"/>
              <w:left w:val="nil"/>
              <w:bottom w:val="single" w:sz="4" w:space="0" w:color="auto"/>
              <w:right w:val="single" w:sz="4" w:space="0" w:color="auto"/>
            </w:tcBorders>
            <w:shd w:val="clear" w:color="000000" w:fill="FFFFFF"/>
            <w:noWrap/>
            <w:vAlign w:val="bottom"/>
          </w:tcPr>
          <w:p w:rsidR="00A917FF" w:rsidRPr="002563C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Discharge medications</w:t>
            </w:r>
          </w:p>
        </w:tc>
        <w:tc>
          <w:tcPr>
            <w:tcW w:w="1377" w:type="dxa"/>
            <w:tcBorders>
              <w:top w:val="single" w:sz="4" w:space="0" w:color="auto"/>
              <w:left w:val="single" w:sz="4" w:space="0" w:color="auto"/>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p>
        </w:tc>
      </w:tr>
      <w:tr w:rsidR="00A917FF" w:rsidRPr="002563CF" w:rsidTr="004F0BB5">
        <w:trPr>
          <w:trHeight w:val="300"/>
        </w:trPr>
        <w:tc>
          <w:tcPr>
            <w:tcW w:w="441" w:type="dxa"/>
            <w:tcBorders>
              <w:top w:val="single" w:sz="4" w:space="0" w:color="auto"/>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Pr="002563C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Betablockers</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0D7AF5">
              <w:rPr>
                <w:rFonts w:ascii="Calibri" w:eastAsia="Times New Roman" w:hAnsi="Calibri" w:cs="Times New Roman"/>
                <w:color w:val="000000"/>
                <w:sz w:val="20"/>
                <w:szCs w:val="20"/>
              </w:rPr>
              <w:t>63826 (81.1)</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637 (71.3)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19157 (78.7)</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28094 (81.5)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12013 (84.1)</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2929 (83.8)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996 (83.1)</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Pr="00FA260A" w:rsidRDefault="00A917FF" w:rsidP="0052196B">
            <w:pPr>
              <w:spacing w:after="0" w:line="240" w:lineRule="auto"/>
              <w:jc w:val="both"/>
              <w:rPr>
                <w:rFonts w:ascii="Calibri" w:eastAsia="Times New Roman" w:hAnsi="Calibri" w:cs="Times New Roman"/>
                <w:color w:val="000000"/>
                <w:sz w:val="20"/>
                <w:szCs w:val="20"/>
                <w:lang w:val="en-CA"/>
              </w:rPr>
            </w:pPr>
            <w:r>
              <w:rPr>
                <w:rFonts w:ascii="Calibri" w:eastAsia="Times New Roman" w:hAnsi="Calibri" w:cs="Times New Roman"/>
                <w:color w:val="000000"/>
                <w:sz w:val="20"/>
                <w:szCs w:val="20"/>
              </w:rPr>
              <w:t>ACEI</w:t>
            </w:r>
            <w:r>
              <w:rPr>
                <w:rFonts w:ascii="Calibri" w:eastAsia="Times New Roman" w:hAnsi="Calibri" w:cs="Times New Roman"/>
                <w:color w:val="000000"/>
                <w:sz w:val="20"/>
                <w:szCs w:val="20"/>
                <w:lang w:val="en-CA"/>
              </w:rPr>
              <w:t>/ARB</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0D7AF5">
              <w:rPr>
                <w:rFonts w:ascii="Calibri" w:eastAsia="Times New Roman" w:hAnsi="Calibri" w:cs="Times New Roman"/>
                <w:color w:val="000000"/>
                <w:sz w:val="20"/>
                <w:szCs w:val="20"/>
              </w:rPr>
              <w:t>56216 (71.4)</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573 (64)</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16587 (68.1)</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24578 (71.2)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10800 (75.5)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2743 (78.5)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935 (77.9)</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Pr="002563C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Statins</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63678 (80.9)</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695 (77.8)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19417 (79.7)</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27991 (81.2)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11718 (82)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2876 (82.3)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981 (81.8)</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Pr="002563C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Diuretics</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17288 (22.3)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171 (19.5)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4666 (19.6)</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7293 (21.4)</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3663 (25.8)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1084 (31.2)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hAnsi="Calibri"/>
                <w:color w:val="000000"/>
              </w:rPr>
              <w:t>411 (34.6)</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Nitrates</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26194 (33.2)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346 (38.7)</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8569 (35.2)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11339 (32.8)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4623 (32.3)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996 (28.5)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321 (26.7)</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Aspirin</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76195 (96.8)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852 (95.4)</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23510 (96.5)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33386 (96.8)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13860 (97)</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3409 (97.6)</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1178 (98.3)</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DAP</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56506 (71.8)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645 (72.1)</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17428 (71.5)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24698 (71.6)</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10186 (71.2)</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2582 (73.8)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967 (80.6)</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2563CF">
              <w:rPr>
                <w:rFonts w:ascii="Calibri" w:eastAsia="Times New Roman" w:hAnsi="Calibri" w:cs="Times New Roman"/>
                <w:color w:val="000000"/>
                <w:sz w:val="20"/>
                <w:szCs w:val="20"/>
              </w:rPr>
              <w:t>&lt; 0.001</w:t>
            </w:r>
          </w:p>
        </w:tc>
      </w:tr>
      <w:tr w:rsidR="00A917FF" w:rsidRPr="002563CF" w:rsidTr="004F0BB5">
        <w:trPr>
          <w:trHeight w:val="300"/>
        </w:trPr>
        <w:tc>
          <w:tcPr>
            <w:tcW w:w="441" w:type="dxa"/>
            <w:tcBorders>
              <w:top w:val="nil"/>
              <w:left w:val="nil"/>
              <w:bottom w:val="nil"/>
            </w:tcBorders>
            <w:shd w:val="clear" w:color="000000" w:fill="FFFFFF"/>
            <w:noWrap/>
            <w:vAlign w:val="bottom"/>
          </w:tcPr>
          <w:p w:rsidR="00A917FF" w:rsidRDefault="00A917FF" w:rsidP="0052196B">
            <w:pPr>
              <w:spacing w:after="0" w:line="240" w:lineRule="auto"/>
              <w:jc w:val="both"/>
              <w:rPr>
                <w:rFonts w:ascii="Calibri" w:eastAsia="Times New Roman" w:hAnsi="Calibri" w:cs="Times New Roman"/>
                <w:color w:val="000000"/>
                <w:sz w:val="20"/>
                <w:szCs w:val="20"/>
              </w:rPr>
            </w:pPr>
          </w:p>
        </w:tc>
        <w:tc>
          <w:tcPr>
            <w:tcW w:w="1984" w:type="dxa"/>
            <w:gridSpan w:val="2"/>
            <w:tcBorders>
              <w:top w:val="single" w:sz="4" w:space="0" w:color="auto"/>
              <w:left w:val="nil"/>
              <w:bottom w:val="single" w:sz="4" w:space="0" w:color="auto"/>
              <w:right w:val="single" w:sz="4" w:space="0" w:color="auto"/>
            </w:tcBorders>
            <w:shd w:val="clear" w:color="000000" w:fill="FFFFFF"/>
            <w:vAlign w:val="bottom"/>
          </w:tcPr>
          <w:p w:rsidR="00A917FF" w:rsidRDefault="00A917FF" w:rsidP="0052196B">
            <w:pPr>
              <w:spacing w:after="0" w:line="240" w:lineRule="auto"/>
              <w:jc w:val="both"/>
              <w:rPr>
                <w:rFonts w:ascii="Calibri" w:eastAsia="Times New Roman" w:hAnsi="Calibri" w:cs="Times New Roman"/>
                <w:color w:val="000000"/>
                <w:sz w:val="20"/>
                <w:szCs w:val="20"/>
              </w:rPr>
            </w:pPr>
            <w:r>
              <w:rPr>
                <w:rFonts w:ascii="Calibri" w:eastAsia="Times New Roman" w:hAnsi="Calibri" w:cs="Times New Roman"/>
                <w:color w:val="000000"/>
                <w:sz w:val="20"/>
                <w:szCs w:val="20"/>
              </w:rPr>
              <w:t>Oral anticoagulant</w:t>
            </w:r>
          </w:p>
        </w:tc>
        <w:tc>
          <w:tcPr>
            <w:tcW w:w="13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sidRPr="00D15D8D">
              <w:rPr>
                <w:rFonts w:ascii="Calibri" w:eastAsia="Times New Roman" w:hAnsi="Calibri" w:cs="Times New Roman"/>
                <w:color w:val="000000"/>
                <w:sz w:val="20"/>
                <w:szCs w:val="20"/>
              </w:rPr>
              <w:t>2310 (2.9)</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14 (1.5)</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687 (2.8)</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1020 (2.9)</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429 (3)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117 (3.3)</w:t>
            </w:r>
          </w:p>
        </w:tc>
        <w:tc>
          <w:tcPr>
            <w:tcW w:w="1377" w:type="dxa"/>
            <w:tcBorders>
              <w:top w:val="single" w:sz="4" w:space="0" w:color="auto"/>
              <w:left w:val="nil"/>
              <w:bottom w:val="single" w:sz="4" w:space="0" w:color="auto"/>
              <w:right w:val="single" w:sz="4" w:space="0" w:color="auto"/>
            </w:tcBorders>
            <w:shd w:val="clear" w:color="000000" w:fill="FFFFFF"/>
            <w:noWrap/>
            <w:vAlign w:val="center"/>
          </w:tcPr>
          <w:p w:rsidR="00A917FF" w:rsidRDefault="00A917FF" w:rsidP="004F0BB5">
            <w:pPr>
              <w:spacing w:after="0" w:line="240" w:lineRule="auto"/>
              <w:jc w:val="center"/>
              <w:rPr>
                <w:rFonts w:ascii="Calibri" w:hAnsi="Calibri"/>
                <w:color w:val="000000"/>
              </w:rPr>
            </w:pPr>
            <w:r>
              <w:rPr>
                <w:rFonts w:ascii="Calibri" w:hAnsi="Calibri"/>
                <w:color w:val="000000"/>
              </w:rPr>
              <w:t>43 (3.5)</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rsidR="00A917FF" w:rsidRPr="002563CF" w:rsidRDefault="00A917FF"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0.27</w:t>
            </w:r>
          </w:p>
        </w:tc>
      </w:tr>
    </w:tbl>
    <w:p w:rsidR="00A917FF" w:rsidRDefault="00A917FF" w:rsidP="0052196B">
      <w:pPr>
        <w:jc w:val="both"/>
      </w:pPr>
    </w:p>
    <w:p w:rsidR="00A917FF" w:rsidRDefault="00A917FF" w:rsidP="00CB12B7">
      <w:r>
        <w:t xml:space="preserve">Notes: Baseline characteristics and outcomes across BMI categories. CKD defined as creatinine clearance &lt; 60 ml/minute. CV: Cardiovascular, HF: heart failure, IABP: intra-aortic balloon pump, PCI: percutaneous coronary intervention, CABG: coronary bypass surgery, UA: unstable angina, NSTEMI: non-ST segment elevation myocardial infarction, STEMI: ST segment elevation myocardial infarction, CKD: chronic kidney disease, ACS: acute coronary syndrome, LMD: left main coronary artery disease, 3-VD: three vessel coronary artery disease, VD: vessel disease, SD: standard deviation, </w:t>
      </w:r>
      <w:proofErr w:type="spellStart"/>
      <w:r>
        <w:t>ClCr</w:t>
      </w:r>
      <w:proofErr w:type="spellEnd"/>
      <w:r>
        <w:t>: creatinine clearance.</w:t>
      </w:r>
      <w:r>
        <w:br w:type="page"/>
      </w:r>
    </w:p>
    <w:p w:rsidR="00A917FF" w:rsidRDefault="00A917FF" w:rsidP="0052196B">
      <w:pPr>
        <w:jc w:val="both"/>
      </w:pPr>
      <w:r>
        <w:lastRenderedPageBreak/>
        <w:t xml:space="preserve">Table 2: </w:t>
      </w:r>
    </w:p>
    <w:tbl>
      <w:tblPr>
        <w:tblW w:w="12929" w:type="dxa"/>
        <w:tblInd w:w="93" w:type="dxa"/>
        <w:tblLayout w:type="fixed"/>
        <w:tblLook w:val="04A0" w:firstRow="1" w:lastRow="0" w:firstColumn="1" w:lastColumn="0" w:noHBand="0" w:noVBand="1"/>
      </w:tblPr>
      <w:tblGrid>
        <w:gridCol w:w="277"/>
        <w:gridCol w:w="1838"/>
        <w:gridCol w:w="1707"/>
        <w:gridCol w:w="1233"/>
        <w:gridCol w:w="1948"/>
        <w:gridCol w:w="1975"/>
        <w:gridCol w:w="1975"/>
        <w:gridCol w:w="1976"/>
      </w:tblGrid>
      <w:tr w:rsidR="00A917FF" w:rsidRPr="00314F3E" w:rsidTr="004F0BB5">
        <w:trPr>
          <w:trHeight w:val="299"/>
        </w:trPr>
        <w:tc>
          <w:tcPr>
            <w:tcW w:w="277" w:type="dxa"/>
            <w:tcBorders>
              <w:top w:val="nil"/>
              <w:left w:val="nil"/>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nil"/>
              <w:left w:val="nil"/>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08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BMI categories</w:t>
            </w:r>
          </w:p>
        </w:tc>
      </w:tr>
      <w:tr w:rsidR="00A917FF" w:rsidRPr="00314F3E" w:rsidTr="004F0BB5">
        <w:trPr>
          <w:trHeight w:val="299"/>
        </w:trPr>
        <w:tc>
          <w:tcPr>
            <w:tcW w:w="277" w:type="dxa"/>
            <w:tcBorders>
              <w:top w:val="nil"/>
              <w:left w:val="nil"/>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nil"/>
              <w:left w:val="nil"/>
              <w:bottom w:val="single" w:sz="4" w:space="0" w:color="auto"/>
              <w:right w:val="single" w:sz="4" w:space="0" w:color="auto"/>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&lt; 18.5</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18.5 - 24.9</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25 - 29.9</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30 - 34.9</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4F0BB5" w:rsidP="004F0BB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35 - 39</w:t>
            </w:r>
            <w:r w:rsidR="00A917FF" w:rsidRPr="00314F3E">
              <w:rPr>
                <w:rFonts w:ascii="Calibri" w:eastAsia="Times New Roman" w:hAnsi="Calibri" w:cs="Times New Roman"/>
                <w:color w:val="000000"/>
                <w:sz w:val="20"/>
                <w:szCs w:val="20"/>
              </w:rPr>
              <w:t>.9</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&gt;= 40</w:t>
            </w:r>
          </w:p>
        </w:tc>
      </w:tr>
      <w:tr w:rsidR="00A917FF" w:rsidRPr="00314F3E" w:rsidTr="004F0BB5">
        <w:trPr>
          <w:trHeight w:val="299"/>
        </w:trPr>
        <w:tc>
          <w:tcPr>
            <w:tcW w:w="277" w:type="dxa"/>
            <w:tcBorders>
              <w:top w:val="nil"/>
              <w:left w:val="nil"/>
              <w:bottom w:val="single" w:sz="4" w:space="0" w:color="auto"/>
              <w:right w:val="single" w:sz="4" w:space="0" w:color="000000"/>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nil"/>
              <w:left w:val="nil"/>
              <w:bottom w:val="single" w:sz="4" w:space="0" w:color="auto"/>
              <w:right w:val="single" w:sz="4" w:space="0" w:color="auto"/>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xml:space="preserve">All-Cause </w:t>
            </w:r>
            <w:r>
              <w:rPr>
                <w:rFonts w:ascii="Calibri" w:eastAsia="Times New Roman" w:hAnsi="Calibri" w:cs="Times New Roman"/>
                <w:color w:val="000000"/>
                <w:sz w:val="20"/>
                <w:szCs w:val="20"/>
              </w:rPr>
              <w:t xml:space="preserve">Death, </w:t>
            </w:r>
            <w:proofErr w:type="gramStart"/>
            <w:r>
              <w:rPr>
                <w:rFonts w:ascii="Calibri" w:eastAsia="Times New Roman" w:hAnsi="Calibri" w:cs="Times New Roman"/>
                <w:color w:val="000000"/>
                <w:sz w:val="20"/>
                <w:szCs w:val="20"/>
              </w:rPr>
              <w:t>n</w:t>
            </w:r>
            <w:r w:rsidRPr="00314F3E">
              <w:rPr>
                <w:rFonts w:ascii="Calibri" w:eastAsia="Times New Roman" w:hAnsi="Calibri" w:cs="Times New Roman"/>
                <w:color w:val="000000"/>
                <w:sz w:val="20"/>
                <w:szCs w:val="20"/>
              </w:rPr>
              <w:t>(</w:t>
            </w:r>
            <w:proofErr w:type="gramEnd"/>
            <w:r w:rsidRPr="00314F3E">
              <w:rPr>
                <w:rFonts w:ascii="Calibri" w:eastAsia="Times New Roman" w:hAnsi="Calibri" w:cs="Times New Roman"/>
                <w:color w:val="000000"/>
                <w:sz w:val="20"/>
                <w:szCs w:val="20"/>
              </w:rPr>
              <w:t>%)</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104/958 (10.86)</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1634/25422 (6.42)</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1644/35613 (4.61)</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608/14708 (4.13)</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142/3611 (3.93)</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53/1233 (4.29)</w:t>
            </w:r>
          </w:p>
        </w:tc>
      </w:tr>
      <w:tr w:rsidR="00A917FF" w:rsidRPr="00314F3E" w:rsidTr="004F0BB5">
        <w:trPr>
          <w:trHeight w:val="210"/>
        </w:trPr>
        <w:tc>
          <w:tcPr>
            <w:tcW w:w="2115" w:type="dxa"/>
            <w:gridSpan w:val="2"/>
            <w:tcBorders>
              <w:top w:val="nil"/>
              <w:left w:val="single" w:sz="4" w:space="0" w:color="auto"/>
              <w:bottom w:val="single" w:sz="4" w:space="0" w:color="000000"/>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Analysis</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Univariate</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1.71 (1.40 - 2.08)</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0.71 (0.68 - 0.78)</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0.66 (0.60 - 0.73)</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0.67 (0.56 - 0.80)</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0.73 (0.55 - 0.97)</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Primary model</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1.33 (1.09 - 1.62)</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0.81 (0.76 - 0.87)</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0.80 (0.73 - 0.88)</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0.89 (0.74 - 1.06)</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1.03 (0.78 - 1.38)</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Two-step approach</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1.53 (1.10 - 2.13)</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0.82 (0.76 - 0.88)</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0.81 (0.74 - 0.90)</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0.97 (0.73, 1.27)</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1.17 (0.88 - 1.57)</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Model 1</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1.37 (1.12 - 1.68)</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0.80 (0.74 - 0.86)</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0.77 (0.70 - 0.85)</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0.83 (0.70 - 0.99)</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0.96 (0.72 - 1.28)</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Model 2</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1.29 (1.05 - 1.57)</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0.87 (0.81 - 0.93)</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0.86 (0.78 - 0.94)</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0.93 (0.78 - 1.11)</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1.11 (0.83 - 1.48)</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Model 3</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1.35 (0.98 - 1.86)</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0.78 (0.71 - 0.87)</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0.75 (0.65 - 0.87)</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0.78 (0.59 - 1.02)</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B6203F">
              <w:rPr>
                <w:rFonts w:ascii="Calibri" w:eastAsia="Times New Roman" w:hAnsi="Calibri" w:cs="Times New Roman"/>
                <w:color w:val="000000"/>
                <w:sz w:val="20"/>
                <w:szCs w:val="20"/>
              </w:rPr>
              <w:t>0.93 (0.59 - 1.46)</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Model 2 + 3</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1.27 (0.93 - 1.75)</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0.83 (0.74 - 0.92)</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0.81 (0.7 - 0.93)</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0.81 (0.62 - 1.07)</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0.96 (0.61 - 1.51)</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single" w:sz="4" w:space="0" w:color="auto"/>
              <w:left w:val="nil"/>
              <w:bottom w:val="single" w:sz="4" w:space="0" w:color="auto"/>
              <w:right w:val="single" w:sz="4" w:space="0" w:color="000000"/>
            </w:tcBorders>
            <w:shd w:val="clear" w:color="auto" w:fill="auto"/>
            <w:noWrap/>
            <w:vAlign w:val="bottom"/>
          </w:tcPr>
          <w:p w:rsidR="00A917FF" w:rsidRPr="00314F3E" w:rsidRDefault="00A917FF" w:rsidP="004F0BB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Model 4</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1.56 (1.15 - 2.13)</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0.81</w:t>
            </w:r>
            <w:r>
              <w:rPr>
                <w:rFonts w:ascii="Calibri" w:eastAsia="Times New Roman" w:hAnsi="Calibri" w:cs="Times New Roman"/>
                <w:color w:val="000000"/>
                <w:sz w:val="20"/>
                <w:szCs w:val="20"/>
              </w:rPr>
              <w:t xml:space="preserve"> </w:t>
            </w:r>
            <w:r w:rsidRPr="00314F3E">
              <w:rPr>
                <w:rFonts w:ascii="Calibri" w:eastAsia="Times New Roman" w:hAnsi="Calibri" w:cs="Times New Roman"/>
                <w:color w:val="000000"/>
                <w:sz w:val="20"/>
                <w:szCs w:val="20"/>
              </w:rPr>
              <w:t>(0.73 - 0.90)</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0.83 (0.72 - 0.95)</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0.71 (0.55 - 0.93)</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1.01 (0.67 - 1.53)</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single" w:sz="4" w:space="0" w:color="auto"/>
              <w:left w:val="nil"/>
              <w:bottom w:val="single" w:sz="4" w:space="0" w:color="auto"/>
              <w:right w:val="single" w:sz="4" w:space="0" w:color="000000"/>
            </w:tcBorders>
            <w:shd w:val="clear" w:color="auto" w:fill="auto"/>
            <w:noWrap/>
            <w:vAlign w:val="bottom"/>
          </w:tcPr>
          <w:p w:rsidR="00A917FF"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Model 2 + 3</w:t>
            </w:r>
            <w:r>
              <w:rPr>
                <w:rFonts w:ascii="Calibri" w:eastAsia="Times New Roman" w:hAnsi="Calibri" w:cs="Times New Roman"/>
                <w:color w:val="000000"/>
                <w:sz w:val="20"/>
                <w:szCs w:val="20"/>
              </w:rPr>
              <w:t xml:space="preserve"> + 4</w:t>
            </w:r>
          </w:p>
        </w:tc>
        <w:tc>
          <w:tcPr>
            <w:tcW w:w="1707"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1.17 (0.67 - 2.05)</w:t>
            </w:r>
          </w:p>
        </w:tc>
        <w:tc>
          <w:tcPr>
            <w:tcW w:w="1233"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0.80 (0.68 - 0.93)</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0.80 (0.64 - 0.99)</w:t>
            </w:r>
          </w:p>
        </w:tc>
        <w:tc>
          <w:tcPr>
            <w:tcW w:w="1975"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0.66 (0.43 - 1.01)</w:t>
            </w:r>
          </w:p>
        </w:tc>
        <w:tc>
          <w:tcPr>
            <w:tcW w:w="1976" w:type="dxa"/>
            <w:tcBorders>
              <w:top w:val="nil"/>
              <w:left w:val="nil"/>
              <w:bottom w:val="single" w:sz="4" w:space="0" w:color="auto"/>
              <w:right w:val="single" w:sz="4" w:space="0" w:color="auto"/>
            </w:tcBorders>
            <w:shd w:val="clear" w:color="auto" w:fill="auto"/>
            <w:noWrap/>
            <w:vAlign w:val="center"/>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C21A37">
              <w:rPr>
                <w:rFonts w:ascii="Calibri" w:eastAsia="Times New Roman" w:hAnsi="Calibri" w:cs="Times New Roman"/>
                <w:color w:val="000000"/>
                <w:sz w:val="20"/>
                <w:szCs w:val="20"/>
              </w:rPr>
              <w:t>0.75 (0.37 - 1.53)</w:t>
            </w:r>
          </w:p>
        </w:tc>
      </w:tr>
      <w:tr w:rsidR="00A917FF" w:rsidRPr="00314F3E" w:rsidTr="004F0BB5">
        <w:trPr>
          <w:trHeight w:val="299"/>
        </w:trPr>
        <w:tc>
          <w:tcPr>
            <w:tcW w:w="277" w:type="dxa"/>
            <w:tcBorders>
              <w:top w:val="nil"/>
              <w:left w:val="single" w:sz="4" w:space="0" w:color="auto"/>
              <w:right w:val="nil"/>
            </w:tcBorders>
            <w:shd w:val="clear" w:color="auto" w:fill="auto"/>
            <w:noWrap/>
            <w:vAlign w:val="bottom"/>
            <w:hideMark/>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rsidR="00A917FF" w:rsidRPr="00314F3E" w:rsidRDefault="00A917FF" w:rsidP="004F0BB5">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Excluding previous CVD, cancer or CKD*</w:t>
            </w:r>
          </w:p>
        </w:tc>
        <w:tc>
          <w:tcPr>
            <w:tcW w:w="1707"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1.23 (0.89 - 1.69)</w:t>
            </w:r>
          </w:p>
        </w:tc>
        <w:tc>
          <w:tcPr>
            <w:tcW w:w="1233"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0.76 (0.68 - 0.86)</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0.78 (0.66 - 0.91)</w:t>
            </w:r>
          </w:p>
        </w:tc>
        <w:tc>
          <w:tcPr>
            <w:tcW w:w="19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0.76 (0.56 - 1.04)</w:t>
            </w:r>
          </w:p>
        </w:tc>
        <w:tc>
          <w:tcPr>
            <w:tcW w:w="19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4F0BB5">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1.01 (0.62 - 1.64)</w:t>
            </w:r>
          </w:p>
        </w:tc>
      </w:tr>
      <w:tr w:rsidR="00A917FF" w:rsidRPr="00314F3E" w:rsidTr="004F0BB5">
        <w:trPr>
          <w:trHeight w:val="299"/>
        </w:trPr>
        <w:tc>
          <w:tcPr>
            <w:tcW w:w="277" w:type="dxa"/>
            <w:tcBorders>
              <w:top w:val="nil"/>
              <w:left w:val="single" w:sz="4" w:space="0" w:color="auto"/>
              <w:bottom w:val="nil"/>
              <w:right w:val="nil"/>
            </w:tcBorders>
            <w:shd w:val="clear" w:color="auto" w:fill="auto"/>
            <w:noWrap/>
            <w:vAlign w:val="bottom"/>
          </w:tcPr>
          <w:p w:rsidR="00A917FF" w:rsidRPr="00314F3E" w:rsidRDefault="00A917FF" w:rsidP="0052196B">
            <w:pPr>
              <w:pStyle w:val="Sinespaciado"/>
              <w:jc w:val="both"/>
            </w:pPr>
          </w:p>
        </w:tc>
        <w:tc>
          <w:tcPr>
            <w:tcW w:w="1838" w:type="dxa"/>
            <w:tcBorders>
              <w:top w:val="single" w:sz="4" w:space="0" w:color="auto"/>
              <w:left w:val="nil"/>
              <w:bottom w:val="single" w:sz="4" w:space="0" w:color="auto"/>
              <w:right w:val="single" w:sz="4" w:space="0" w:color="000000"/>
            </w:tcBorders>
            <w:shd w:val="clear" w:color="auto" w:fill="auto"/>
            <w:noWrap/>
            <w:vAlign w:val="bottom"/>
          </w:tcPr>
          <w:p w:rsidR="00A917FF" w:rsidRPr="00F5622B" w:rsidRDefault="00A917FF" w:rsidP="004F0BB5">
            <w:pPr>
              <w:spacing w:after="0" w:line="240" w:lineRule="auto"/>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BMI 22 - 24.9 as reference category</w:t>
            </w:r>
          </w:p>
        </w:tc>
        <w:tc>
          <w:tcPr>
            <w:tcW w:w="1707"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1.36 (1.11 - 1.66)</w:t>
            </w:r>
          </w:p>
        </w:tc>
        <w:tc>
          <w:tcPr>
            <w:tcW w:w="1233"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1</w:t>
            </w:r>
          </w:p>
        </w:tc>
        <w:tc>
          <w:tcPr>
            <w:tcW w:w="1948"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0.83 (0.77 - 0.89)</w:t>
            </w:r>
          </w:p>
        </w:tc>
        <w:tc>
          <w:tcPr>
            <w:tcW w:w="1975"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0.81 (0.73 - 0.90)</w:t>
            </w:r>
          </w:p>
        </w:tc>
        <w:tc>
          <w:tcPr>
            <w:tcW w:w="1975"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0.90 (0.75 - 1.07)</w:t>
            </w:r>
          </w:p>
        </w:tc>
        <w:tc>
          <w:tcPr>
            <w:tcW w:w="1976" w:type="dxa"/>
            <w:tcBorders>
              <w:top w:val="nil"/>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1.06 (0.8</w:t>
            </w:r>
            <w:r>
              <w:rPr>
                <w:rFonts w:ascii="Calibri" w:eastAsia="Times New Roman" w:hAnsi="Calibri" w:cs="Times New Roman"/>
                <w:color w:val="000000"/>
                <w:sz w:val="20"/>
                <w:szCs w:val="20"/>
              </w:rPr>
              <w:t>0</w:t>
            </w:r>
            <w:r w:rsidRPr="00F5622B">
              <w:rPr>
                <w:rFonts w:ascii="Calibri" w:eastAsia="Times New Roman" w:hAnsi="Calibri" w:cs="Times New Roman"/>
                <w:color w:val="000000"/>
                <w:sz w:val="20"/>
                <w:szCs w:val="20"/>
              </w:rPr>
              <w:t xml:space="preserve"> - 1.42)</w:t>
            </w:r>
          </w:p>
        </w:tc>
      </w:tr>
      <w:tr w:rsidR="00A917FF" w:rsidRPr="00314F3E" w:rsidTr="004F0BB5">
        <w:trPr>
          <w:trHeight w:val="326"/>
        </w:trPr>
        <w:tc>
          <w:tcPr>
            <w:tcW w:w="277" w:type="dxa"/>
            <w:tcBorders>
              <w:top w:val="nil"/>
              <w:left w:val="single" w:sz="4" w:space="0" w:color="auto"/>
              <w:bottom w:val="nil"/>
              <w:right w:val="nil"/>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single" w:sz="4" w:space="0" w:color="auto"/>
              <w:left w:val="nil"/>
              <w:bottom w:val="single" w:sz="4" w:space="0" w:color="auto"/>
              <w:right w:val="single" w:sz="4" w:space="0" w:color="000000"/>
            </w:tcBorders>
            <w:shd w:val="clear" w:color="auto" w:fill="auto"/>
            <w:noWrap/>
            <w:vAlign w:val="center"/>
          </w:tcPr>
          <w:p w:rsidR="00A917FF" w:rsidRPr="00F5622B" w:rsidRDefault="00A917FF" w:rsidP="004F0BB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30-day mortality</w:t>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1.28 (1.01 - 1.63)</w:t>
            </w:r>
          </w:p>
        </w:tc>
        <w:tc>
          <w:tcPr>
            <w:tcW w:w="1233"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1</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0.8</w:t>
            </w:r>
            <w:r>
              <w:rPr>
                <w:rFonts w:ascii="Calibri" w:eastAsia="Times New Roman" w:hAnsi="Calibri" w:cs="Times New Roman"/>
                <w:color w:val="000000"/>
                <w:sz w:val="20"/>
                <w:szCs w:val="20"/>
              </w:rPr>
              <w:t>0</w:t>
            </w:r>
            <w:r w:rsidRPr="00F5622B">
              <w:rPr>
                <w:rFonts w:ascii="Calibri" w:eastAsia="Times New Roman" w:hAnsi="Calibri" w:cs="Times New Roman"/>
                <w:color w:val="000000"/>
                <w:sz w:val="20"/>
                <w:szCs w:val="20"/>
              </w:rPr>
              <w:t xml:space="preserve"> (0.74 - 0.88)</w:t>
            </w:r>
          </w:p>
        </w:tc>
        <w:tc>
          <w:tcPr>
            <w:tcW w:w="1975"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0.8</w:t>
            </w:r>
            <w:r>
              <w:rPr>
                <w:rFonts w:ascii="Calibri" w:eastAsia="Times New Roman" w:hAnsi="Calibri" w:cs="Times New Roman"/>
                <w:color w:val="000000"/>
                <w:sz w:val="20"/>
                <w:szCs w:val="20"/>
              </w:rPr>
              <w:t>0</w:t>
            </w:r>
            <w:r w:rsidRPr="00F5622B">
              <w:rPr>
                <w:rFonts w:ascii="Calibri" w:eastAsia="Times New Roman" w:hAnsi="Calibri" w:cs="Times New Roman"/>
                <w:color w:val="000000"/>
                <w:sz w:val="20"/>
                <w:szCs w:val="20"/>
              </w:rPr>
              <w:t xml:space="preserve"> (0.71 - 0.91)</w:t>
            </w:r>
          </w:p>
        </w:tc>
        <w:tc>
          <w:tcPr>
            <w:tcW w:w="1975"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0.9</w:t>
            </w:r>
            <w:r>
              <w:rPr>
                <w:rFonts w:ascii="Calibri" w:eastAsia="Times New Roman" w:hAnsi="Calibri" w:cs="Times New Roman"/>
                <w:color w:val="000000"/>
                <w:sz w:val="20"/>
                <w:szCs w:val="20"/>
              </w:rPr>
              <w:t>0</w:t>
            </w:r>
            <w:r w:rsidRPr="00F5622B">
              <w:rPr>
                <w:rFonts w:ascii="Calibri" w:eastAsia="Times New Roman" w:hAnsi="Calibri" w:cs="Times New Roman"/>
                <w:color w:val="000000"/>
                <w:sz w:val="20"/>
                <w:szCs w:val="20"/>
              </w:rPr>
              <w:t xml:space="preserve"> (0.73 - 1.12)</w:t>
            </w:r>
          </w:p>
        </w:tc>
        <w:tc>
          <w:tcPr>
            <w:tcW w:w="1976"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F5622B">
              <w:rPr>
                <w:rFonts w:ascii="Calibri" w:eastAsia="Times New Roman" w:hAnsi="Calibri" w:cs="Times New Roman"/>
                <w:color w:val="000000"/>
                <w:sz w:val="20"/>
                <w:szCs w:val="20"/>
              </w:rPr>
              <w:t>0.96 (0.66 - 1.39)</w:t>
            </w:r>
          </w:p>
        </w:tc>
      </w:tr>
      <w:tr w:rsidR="00A917FF" w:rsidRPr="00314F3E" w:rsidTr="004F0BB5">
        <w:trPr>
          <w:trHeight w:val="276"/>
        </w:trPr>
        <w:tc>
          <w:tcPr>
            <w:tcW w:w="277" w:type="dxa"/>
            <w:tcBorders>
              <w:top w:val="nil"/>
              <w:left w:val="single" w:sz="4" w:space="0" w:color="auto"/>
              <w:bottom w:val="single" w:sz="4" w:space="0" w:color="auto"/>
              <w:right w:val="nil"/>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838" w:type="dxa"/>
            <w:tcBorders>
              <w:top w:val="single" w:sz="4" w:space="0" w:color="auto"/>
              <w:left w:val="nil"/>
              <w:bottom w:val="single" w:sz="4" w:space="0" w:color="auto"/>
              <w:right w:val="single" w:sz="4" w:space="0" w:color="000000"/>
            </w:tcBorders>
            <w:shd w:val="clear" w:color="auto" w:fill="auto"/>
            <w:noWrap/>
            <w:vAlign w:val="center"/>
          </w:tcPr>
          <w:p w:rsidR="00A917FF" w:rsidRPr="00F5622B" w:rsidRDefault="00A917FF" w:rsidP="004F0BB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&gt;</w:t>
            </w:r>
            <w:r w:rsidRPr="00F5622B">
              <w:rPr>
                <w:rFonts w:ascii="Calibri" w:eastAsia="Times New Roman" w:hAnsi="Calibri" w:cs="Times New Roman"/>
                <w:color w:val="000000"/>
                <w:sz w:val="20"/>
                <w:szCs w:val="20"/>
              </w:rPr>
              <w:t xml:space="preserve"> 30 days </w:t>
            </w:r>
            <w:r>
              <w:rPr>
                <w:rFonts w:ascii="Calibri" w:eastAsia="Times New Roman" w:hAnsi="Calibri" w:cs="Times New Roman"/>
                <w:color w:val="000000"/>
                <w:sz w:val="20"/>
                <w:szCs w:val="20"/>
              </w:rPr>
              <w:t>l</w:t>
            </w:r>
            <w:r w:rsidRPr="00F5622B">
              <w:rPr>
                <w:rFonts w:ascii="Calibri" w:eastAsia="Times New Roman" w:hAnsi="Calibri" w:cs="Times New Roman"/>
                <w:color w:val="000000"/>
                <w:sz w:val="20"/>
                <w:szCs w:val="20"/>
              </w:rPr>
              <w:t>andmark</w:t>
            </w:r>
            <w:r>
              <w:rPr>
                <w:rFonts w:ascii="Times New Roman" w:eastAsia="Times New Roman" w:hAnsi="Times New Roman" w:cs="Times New Roman"/>
                <w:color w:val="000000"/>
                <w:sz w:val="20"/>
                <w:szCs w:val="20"/>
              </w:rPr>
              <w:t>†</w:t>
            </w:r>
          </w:p>
        </w:tc>
        <w:tc>
          <w:tcPr>
            <w:tcW w:w="1707"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1.42 (0.99 - 2.04)</w:t>
            </w:r>
          </w:p>
        </w:tc>
        <w:tc>
          <w:tcPr>
            <w:tcW w:w="1233"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1</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0.82 (0.73 - 0.92)</w:t>
            </w:r>
          </w:p>
        </w:tc>
        <w:tc>
          <w:tcPr>
            <w:tcW w:w="1975"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0.78 (0.67 - 0.92)</w:t>
            </w:r>
          </w:p>
        </w:tc>
        <w:tc>
          <w:tcPr>
            <w:tcW w:w="1975"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0.85 (0.63 - 1.14)</w:t>
            </w:r>
          </w:p>
        </w:tc>
        <w:tc>
          <w:tcPr>
            <w:tcW w:w="1976" w:type="dxa"/>
            <w:tcBorders>
              <w:top w:val="single" w:sz="4" w:space="0" w:color="auto"/>
              <w:left w:val="nil"/>
              <w:bottom w:val="single" w:sz="4" w:space="0" w:color="auto"/>
              <w:right w:val="single" w:sz="4" w:space="0" w:color="auto"/>
            </w:tcBorders>
            <w:shd w:val="clear" w:color="auto" w:fill="auto"/>
            <w:noWrap/>
            <w:vAlign w:val="center"/>
          </w:tcPr>
          <w:p w:rsidR="00A917FF" w:rsidRPr="00F5622B" w:rsidRDefault="00A917FF" w:rsidP="004F0BB5">
            <w:pPr>
              <w:spacing w:after="0" w:line="240" w:lineRule="auto"/>
              <w:jc w:val="center"/>
              <w:rPr>
                <w:rFonts w:ascii="Calibri" w:eastAsia="Times New Roman" w:hAnsi="Calibri" w:cs="Times New Roman"/>
                <w:color w:val="000000"/>
                <w:sz w:val="20"/>
                <w:szCs w:val="20"/>
              </w:rPr>
            </w:pPr>
            <w:r w:rsidRPr="005908F2">
              <w:rPr>
                <w:rFonts w:ascii="Calibri" w:eastAsia="Times New Roman" w:hAnsi="Calibri" w:cs="Times New Roman"/>
                <w:color w:val="000000"/>
                <w:sz w:val="20"/>
                <w:szCs w:val="20"/>
              </w:rPr>
              <w:t>1.2</w:t>
            </w:r>
            <w:r>
              <w:rPr>
                <w:rFonts w:ascii="Calibri" w:eastAsia="Times New Roman" w:hAnsi="Calibri" w:cs="Times New Roman"/>
                <w:color w:val="000000"/>
                <w:sz w:val="20"/>
                <w:szCs w:val="20"/>
              </w:rPr>
              <w:t>0</w:t>
            </w:r>
            <w:r w:rsidRPr="005908F2">
              <w:rPr>
                <w:rFonts w:ascii="Calibri" w:eastAsia="Times New Roman" w:hAnsi="Calibri" w:cs="Times New Roman"/>
                <w:color w:val="000000"/>
                <w:sz w:val="20"/>
                <w:szCs w:val="20"/>
              </w:rPr>
              <w:t xml:space="preserve"> (0.75 - 1.91)</w:t>
            </w:r>
          </w:p>
        </w:tc>
      </w:tr>
    </w:tbl>
    <w:p w:rsidR="00A917FF" w:rsidRPr="00A439DC" w:rsidRDefault="00A917FF" w:rsidP="004F0BB5">
      <w:pPr>
        <w:pStyle w:val="Sinespaciado"/>
        <w:rPr>
          <w:sz w:val="20"/>
          <w:szCs w:val="20"/>
        </w:rPr>
      </w:pPr>
      <w:r w:rsidRPr="00A439DC">
        <w:rPr>
          <w:sz w:val="20"/>
          <w:szCs w:val="20"/>
        </w:rPr>
        <w:t xml:space="preserve">Notes: Results from shared frailty models including study as random effects. Data is presented in HR (95% confidence intervals). The primary model includes age, sex, geographic region (Asia, Eastern Europe, Western Europe, Latin America, North America, Middle East, South Africa, Australia/New Zealand), smoking status, discharge diagnosis, previous stroke, previous heart failure, previous coronary revascularization, previous myocardial infarction, previous peripheral vascular disease, previous cancer, </w:t>
      </w:r>
      <w:proofErr w:type="spellStart"/>
      <w:r w:rsidRPr="00A439DC">
        <w:rPr>
          <w:sz w:val="20"/>
          <w:szCs w:val="20"/>
        </w:rPr>
        <w:t>Killip</w:t>
      </w:r>
      <w:proofErr w:type="spellEnd"/>
      <w:r w:rsidRPr="00A439DC">
        <w:rPr>
          <w:sz w:val="20"/>
          <w:szCs w:val="20"/>
        </w:rPr>
        <w:t xml:space="preserve"> &amp; Kimball </w:t>
      </w:r>
      <w:r w:rsidRPr="00A439DC">
        <w:rPr>
          <w:sz w:val="20"/>
          <w:szCs w:val="20"/>
          <w:lang w:val="en-CA"/>
        </w:rPr>
        <w:t>&gt;= 2 on admission, and creatinine clearance.</w:t>
      </w:r>
    </w:p>
    <w:p w:rsidR="00A917FF" w:rsidRPr="00A439DC" w:rsidRDefault="00A917FF" w:rsidP="004F0BB5">
      <w:pPr>
        <w:pStyle w:val="Sinespaciado"/>
        <w:rPr>
          <w:sz w:val="20"/>
          <w:szCs w:val="20"/>
        </w:rPr>
      </w:pPr>
      <w:r w:rsidRPr="00A439DC">
        <w:rPr>
          <w:sz w:val="20"/>
          <w:szCs w:val="20"/>
        </w:rPr>
        <w:t>1. Primary model plus previous diabetes, hypertension and dyslipidemia.</w:t>
      </w:r>
    </w:p>
    <w:p w:rsidR="00A917FF" w:rsidRPr="00A439DC" w:rsidRDefault="00A917FF" w:rsidP="004F0BB5">
      <w:pPr>
        <w:pStyle w:val="Sinespaciado"/>
        <w:rPr>
          <w:sz w:val="20"/>
          <w:szCs w:val="20"/>
        </w:rPr>
      </w:pPr>
      <w:r w:rsidRPr="00A439DC">
        <w:rPr>
          <w:sz w:val="20"/>
          <w:szCs w:val="20"/>
        </w:rPr>
        <w:t>2. Primary model plus admission variables: heart rate, systolic blood pressure, hemoglobin levels, heart failure, IABP use and revascularization.</w:t>
      </w:r>
    </w:p>
    <w:p w:rsidR="00A917FF" w:rsidRPr="00A439DC" w:rsidRDefault="00A917FF" w:rsidP="004F0BB5">
      <w:pPr>
        <w:pStyle w:val="Sinespaciado"/>
        <w:rPr>
          <w:sz w:val="20"/>
          <w:szCs w:val="20"/>
        </w:rPr>
      </w:pPr>
      <w:r w:rsidRPr="00A439DC">
        <w:rPr>
          <w:sz w:val="20"/>
          <w:szCs w:val="20"/>
        </w:rPr>
        <w:t>3. Primary model plus discharge medications: betablockers, ACEI or ARB, statins, dual-antiplatelet therapy and diuretics.</w:t>
      </w:r>
    </w:p>
    <w:p w:rsidR="00A917FF" w:rsidRPr="00A439DC" w:rsidRDefault="00A917FF" w:rsidP="004F0BB5">
      <w:pPr>
        <w:pStyle w:val="Sinespaciado"/>
        <w:rPr>
          <w:sz w:val="20"/>
          <w:szCs w:val="20"/>
        </w:rPr>
      </w:pPr>
      <w:r w:rsidRPr="00A439DC">
        <w:rPr>
          <w:sz w:val="20"/>
          <w:szCs w:val="20"/>
        </w:rPr>
        <w:t>4. Primary model plus left main and three vessel disease on the first angiogram.</w:t>
      </w:r>
    </w:p>
    <w:p w:rsidR="00A917FF" w:rsidRPr="00A439DC" w:rsidRDefault="00A917FF" w:rsidP="004F0BB5">
      <w:pPr>
        <w:pStyle w:val="Sinespaciado"/>
        <w:rPr>
          <w:sz w:val="20"/>
          <w:szCs w:val="20"/>
        </w:rPr>
      </w:pPr>
      <w:r w:rsidRPr="00A439DC">
        <w:rPr>
          <w:sz w:val="20"/>
          <w:szCs w:val="20"/>
        </w:rPr>
        <w:t>(*) Severe CKD defined as creatinine clearance less than 30 ml/hr.</w:t>
      </w:r>
    </w:p>
    <w:p w:rsidR="00A917FF" w:rsidRPr="00A439DC" w:rsidRDefault="00A917FF" w:rsidP="004F0BB5">
      <w:pPr>
        <w:pStyle w:val="Sinespaciado"/>
        <w:rPr>
          <w:sz w:val="20"/>
          <w:szCs w:val="20"/>
        </w:rPr>
      </w:pPr>
      <w:r w:rsidRPr="00A439DC">
        <w:rPr>
          <w:sz w:val="20"/>
          <w:szCs w:val="20"/>
        </w:rPr>
        <w:t>(</w:t>
      </w:r>
      <w:r w:rsidRPr="00A439DC">
        <w:rPr>
          <w:rFonts w:ascii="Times New Roman" w:eastAsia="Times New Roman" w:hAnsi="Times New Roman" w:cs="Times New Roman"/>
          <w:color w:val="000000"/>
          <w:sz w:val="20"/>
          <w:szCs w:val="20"/>
        </w:rPr>
        <w:t>†</w:t>
      </w:r>
      <w:r w:rsidRPr="00A439DC">
        <w:rPr>
          <w:sz w:val="20"/>
          <w:szCs w:val="20"/>
        </w:rPr>
        <w:t xml:space="preserve">) </w:t>
      </w:r>
      <w:r w:rsidRPr="00A439DC">
        <w:rPr>
          <w:rFonts w:ascii="Calibri" w:eastAsia="Times New Roman" w:hAnsi="Calibri" w:cs="Times New Roman"/>
          <w:color w:val="000000"/>
          <w:sz w:val="20"/>
          <w:szCs w:val="20"/>
        </w:rPr>
        <w:t>This landmark analysis excludes death or censored participants during the first 30 days.</w:t>
      </w:r>
    </w:p>
    <w:p w:rsidR="00A917FF" w:rsidRPr="00A439DC" w:rsidRDefault="00A917FF" w:rsidP="004F0BB5">
      <w:pPr>
        <w:pStyle w:val="Sinespaciado"/>
        <w:rPr>
          <w:sz w:val="20"/>
          <w:szCs w:val="20"/>
        </w:rPr>
      </w:pPr>
      <w:r w:rsidRPr="00A439DC">
        <w:rPr>
          <w:sz w:val="20"/>
          <w:szCs w:val="20"/>
        </w:rPr>
        <w:t>ACEI: angiotensin converting enzyme inhibitor, ARB: angiotensin receptor blocker, IABP: intra-aortic balloon pump.</w:t>
      </w:r>
    </w:p>
    <w:p w:rsidR="00A917FF" w:rsidRDefault="00A917FF" w:rsidP="0052196B">
      <w:pPr>
        <w:jc w:val="both"/>
        <w:sectPr w:rsidR="00A917FF" w:rsidSect="00081DC9">
          <w:pgSz w:w="15840" w:h="12240" w:orient="landscape"/>
          <w:pgMar w:top="1440" w:right="1440" w:bottom="1134" w:left="1440" w:header="426" w:footer="720" w:gutter="0"/>
          <w:cols w:space="720"/>
          <w:docGrid w:linePitch="360"/>
        </w:sectPr>
      </w:pPr>
    </w:p>
    <w:p w:rsidR="00A917FF" w:rsidRDefault="00A917FF" w:rsidP="0052196B">
      <w:pPr>
        <w:jc w:val="both"/>
      </w:pPr>
      <w:r>
        <w:lastRenderedPageBreak/>
        <w:t>Table 3:</w:t>
      </w:r>
    </w:p>
    <w:tbl>
      <w:tblPr>
        <w:tblW w:w="12987" w:type="dxa"/>
        <w:tblInd w:w="93" w:type="dxa"/>
        <w:tblLayout w:type="fixed"/>
        <w:tblLook w:val="04A0" w:firstRow="1" w:lastRow="0" w:firstColumn="1" w:lastColumn="0" w:noHBand="0" w:noVBand="1"/>
      </w:tblPr>
      <w:tblGrid>
        <w:gridCol w:w="1149"/>
        <w:gridCol w:w="1276"/>
        <w:gridCol w:w="1206"/>
        <w:gridCol w:w="1559"/>
        <w:gridCol w:w="1559"/>
        <w:gridCol w:w="1560"/>
        <w:gridCol w:w="1559"/>
        <w:gridCol w:w="1559"/>
        <w:gridCol w:w="1560"/>
      </w:tblGrid>
      <w:tr w:rsidR="00A917FF" w:rsidRPr="00314F3E" w:rsidTr="00B53E17">
        <w:trPr>
          <w:trHeight w:val="300"/>
        </w:trPr>
        <w:tc>
          <w:tcPr>
            <w:tcW w:w="1149" w:type="dxa"/>
            <w:tcBorders>
              <w:top w:val="nil"/>
              <w:left w:val="nil"/>
              <w:bottom w:val="nil"/>
              <w:right w:val="nil"/>
            </w:tcBorders>
            <w:shd w:val="clear" w:color="auto" w:fill="auto"/>
            <w:noWrap/>
            <w:vAlign w:val="bottom"/>
            <w:hideMark/>
          </w:tcPr>
          <w:p w:rsidR="00A917FF" w:rsidRPr="00314F3E" w:rsidRDefault="00A917FF" w:rsidP="0052196B">
            <w:pPr>
              <w:pStyle w:val="Sinespaciado"/>
              <w:jc w:val="both"/>
              <w:rPr>
                <w:sz w:val="20"/>
                <w:szCs w:val="20"/>
              </w:rPr>
            </w:pPr>
          </w:p>
        </w:tc>
        <w:tc>
          <w:tcPr>
            <w:tcW w:w="1276" w:type="dxa"/>
            <w:tcBorders>
              <w:top w:val="nil"/>
              <w:left w:val="nil"/>
              <w:bottom w:val="nil"/>
              <w:right w:val="nil"/>
            </w:tcBorders>
            <w:shd w:val="clear" w:color="auto" w:fill="auto"/>
            <w:noWrap/>
            <w:vAlign w:val="bottom"/>
            <w:hideMark/>
          </w:tcPr>
          <w:p w:rsidR="00A917FF" w:rsidRPr="00314F3E" w:rsidRDefault="00A917FF" w:rsidP="0052196B">
            <w:pPr>
              <w:pStyle w:val="Sinespaciado"/>
              <w:jc w:val="both"/>
              <w:rPr>
                <w:sz w:val="20"/>
                <w:szCs w:val="20"/>
              </w:rPr>
            </w:pPr>
          </w:p>
        </w:tc>
        <w:tc>
          <w:tcPr>
            <w:tcW w:w="1206" w:type="dxa"/>
            <w:tcBorders>
              <w:top w:val="nil"/>
              <w:left w:val="nil"/>
              <w:bottom w:val="nil"/>
              <w:right w:val="nil"/>
            </w:tcBorders>
            <w:shd w:val="clear" w:color="auto" w:fill="auto"/>
            <w:noWrap/>
            <w:vAlign w:val="bottom"/>
            <w:hideMark/>
          </w:tcPr>
          <w:p w:rsidR="00A917FF" w:rsidRPr="00314F3E" w:rsidRDefault="00A917FF" w:rsidP="0052196B">
            <w:pPr>
              <w:pStyle w:val="Sinespaciado"/>
              <w:jc w:val="both"/>
              <w:rPr>
                <w:sz w:val="20"/>
                <w:szCs w:val="20"/>
              </w:rPr>
            </w:pPr>
          </w:p>
        </w:tc>
        <w:tc>
          <w:tcPr>
            <w:tcW w:w="93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BMI categories</w:t>
            </w:r>
          </w:p>
        </w:tc>
      </w:tr>
      <w:tr w:rsidR="00A917FF" w:rsidRPr="00314F3E" w:rsidTr="00B53E17">
        <w:trPr>
          <w:trHeight w:val="300"/>
        </w:trPr>
        <w:tc>
          <w:tcPr>
            <w:tcW w:w="1149" w:type="dxa"/>
            <w:tcBorders>
              <w:top w:val="nil"/>
              <w:left w:val="nil"/>
              <w:bottom w:val="single" w:sz="4" w:space="0" w:color="auto"/>
              <w:right w:val="nil"/>
            </w:tcBorders>
            <w:shd w:val="clear" w:color="auto" w:fill="auto"/>
            <w:noWrap/>
            <w:vAlign w:val="bottom"/>
            <w:hideMark/>
          </w:tcPr>
          <w:p w:rsidR="00A917FF" w:rsidRPr="00314F3E" w:rsidRDefault="00A917FF" w:rsidP="0052196B">
            <w:pPr>
              <w:pStyle w:val="Sinespaciado"/>
              <w:jc w:val="both"/>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A917FF" w:rsidRPr="00314F3E" w:rsidRDefault="00A917FF" w:rsidP="0052196B">
            <w:pPr>
              <w:pStyle w:val="Sinespaciado"/>
              <w:jc w:val="both"/>
              <w:rPr>
                <w:sz w:val="20"/>
                <w:szCs w:val="20"/>
              </w:rPr>
            </w:pPr>
            <w:r w:rsidRPr="00314F3E">
              <w:rPr>
                <w:sz w:val="20"/>
                <w:szCs w:val="20"/>
              </w:rPr>
              <w:t> </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Overall</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&lt; 18.5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&gt;= 18.5 - 24.9</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25 - 29.9</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30 - 34.9</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35 - 40.9</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&gt;= 40</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CV death</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3835/81553 (4.7)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91/958</w:t>
            </w:r>
          </w:p>
          <w:p w:rsidR="00A917FF" w:rsidRPr="00314F3E" w:rsidRDefault="00A917FF" w:rsidP="00B53E17">
            <w:pPr>
              <w:pStyle w:val="Sinespaciado"/>
              <w:jc w:val="center"/>
              <w:rPr>
                <w:sz w:val="20"/>
                <w:szCs w:val="20"/>
              </w:rPr>
            </w:pPr>
            <w:r w:rsidRPr="00314F3E">
              <w:rPr>
                <w:sz w:val="20"/>
                <w:szCs w:val="20"/>
              </w:rPr>
              <w:t>(9.47)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1503/25422 (5.91)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1510/35613 (4.23)</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557/14708 (3.78)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128/3611</w:t>
            </w:r>
          </w:p>
          <w:p w:rsidR="00A917FF" w:rsidRPr="00314F3E" w:rsidRDefault="00A917FF" w:rsidP="00B53E17">
            <w:pPr>
              <w:pStyle w:val="Sinespaciado"/>
              <w:jc w:val="center"/>
              <w:rPr>
                <w:sz w:val="20"/>
                <w:szCs w:val="20"/>
              </w:rPr>
            </w:pPr>
            <w:r w:rsidRPr="00314F3E">
              <w:rPr>
                <w:sz w:val="20"/>
                <w:szCs w:val="20"/>
              </w:rPr>
              <w:t>(3.54)</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46/1233</w:t>
            </w:r>
          </w:p>
          <w:p w:rsidR="00A917FF" w:rsidRPr="00314F3E" w:rsidRDefault="00A917FF" w:rsidP="00B53E17">
            <w:pPr>
              <w:pStyle w:val="Sinespaciado"/>
              <w:jc w:val="center"/>
              <w:rPr>
                <w:sz w:val="20"/>
                <w:szCs w:val="20"/>
              </w:rPr>
            </w:pPr>
            <w:r w:rsidRPr="00314F3E">
              <w:rPr>
                <w:sz w:val="20"/>
                <w:szCs w:val="20"/>
              </w:rPr>
              <w:t>(3.73)</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1.25</w:t>
            </w:r>
          </w:p>
          <w:p w:rsidR="00A917FF" w:rsidRPr="00314F3E" w:rsidRDefault="00A917FF" w:rsidP="00B53E17">
            <w:pPr>
              <w:pStyle w:val="Sinespaciado"/>
              <w:jc w:val="center"/>
              <w:rPr>
                <w:sz w:val="20"/>
                <w:szCs w:val="20"/>
              </w:rPr>
            </w:pPr>
            <w:r w:rsidRPr="00314F3E">
              <w:rPr>
                <w:sz w:val="20"/>
                <w:szCs w:val="20"/>
              </w:rPr>
              <w:t>(1.01- 1.55)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0.82</w:t>
            </w:r>
          </w:p>
          <w:p w:rsidR="00A917FF" w:rsidRPr="00314F3E" w:rsidRDefault="00A917FF" w:rsidP="00B53E17">
            <w:pPr>
              <w:pStyle w:val="Sinespaciado"/>
              <w:jc w:val="center"/>
              <w:rPr>
                <w:sz w:val="20"/>
                <w:szCs w:val="20"/>
              </w:rPr>
            </w:pPr>
            <w:r w:rsidRPr="00314F3E">
              <w:rPr>
                <w:sz w:val="20"/>
                <w:szCs w:val="20"/>
              </w:rPr>
              <w:t>(0.76 - 0.88)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0.79</w:t>
            </w:r>
          </w:p>
          <w:p w:rsidR="00A917FF" w:rsidRPr="00314F3E" w:rsidRDefault="00A917FF" w:rsidP="00B53E17">
            <w:pPr>
              <w:pStyle w:val="Sinespaciado"/>
              <w:jc w:val="center"/>
              <w:rPr>
                <w:sz w:val="20"/>
                <w:szCs w:val="20"/>
              </w:rPr>
            </w:pPr>
            <w:r w:rsidRPr="00314F3E">
              <w:rPr>
                <w:sz w:val="20"/>
                <w:szCs w:val="20"/>
              </w:rPr>
              <w:t>(0.72 - 0.88)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0.87</w:t>
            </w:r>
          </w:p>
          <w:p w:rsidR="00A917FF" w:rsidRPr="00314F3E" w:rsidRDefault="00A917FF" w:rsidP="00B53E17">
            <w:pPr>
              <w:pStyle w:val="Sinespaciado"/>
              <w:jc w:val="center"/>
              <w:rPr>
                <w:sz w:val="20"/>
                <w:szCs w:val="20"/>
              </w:rPr>
            </w:pPr>
            <w:r w:rsidRPr="00314F3E">
              <w:rPr>
                <w:sz w:val="20"/>
                <w:szCs w:val="20"/>
              </w:rPr>
              <w:t>(0.72 - 1.04)</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0.97</w:t>
            </w:r>
          </w:p>
          <w:p w:rsidR="00A917FF" w:rsidRPr="00314F3E" w:rsidRDefault="00A917FF" w:rsidP="00B53E17">
            <w:pPr>
              <w:pStyle w:val="Sinespaciado"/>
              <w:jc w:val="center"/>
              <w:rPr>
                <w:sz w:val="20"/>
                <w:szCs w:val="20"/>
              </w:rPr>
            </w:pPr>
            <w:r w:rsidRPr="00314F3E">
              <w:rPr>
                <w:sz w:val="20"/>
                <w:szCs w:val="20"/>
              </w:rPr>
              <w:t>(0.71 - 1.32)</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MI</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3323/81553 (4.1)</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25/958</w:t>
            </w:r>
          </w:p>
          <w:p w:rsidR="00A917FF" w:rsidRPr="00314F3E" w:rsidRDefault="00A917FF" w:rsidP="00B53E17">
            <w:pPr>
              <w:pStyle w:val="Sinespaciado"/>
              <w:jc w:val="center"/>
              <w:rPr>
                <w:sz w:val="20"/>
                <w:szCs w:val="20"/>
              </w:rPr>
            </w:pPr>
            <w:r w:rsidRPr="00314F3E">
              <w:rPr>
                <w:sz w:val="20"/>
                <w:szCs w:val="20"/>
              </w:rPr>
              <w:t>(2.60)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1089/25422 (4.28)</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1423/35613 (3.99)</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607/14708 (4.12)</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142/3611</w:t>
            </w:r>
          </w:p>
          <w:p w:rsidR="00A917FF" w:rsidRPr="00314F3E" w:rsidRDefault="00A917FF" w:rsidP="00B53E17">
            <w:pPr>
              <w:pStyle w:val="Sinespaciado"/>
              <w:jc w:val="center"/>
              <w:rPr>
                <w:sz w:val="20"/>
                <w:szCs w:val="20"/>
              </w:rPr>
            </w:pPr>
            <w:r w:rsidRPr="00314F3E">
              <w:rPr>
                <w:sz w:val="20"/>
                <w:szCs w:val="20"/>
              </w:rPr>
              <w:t>(3.93)</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37/1233</w:t>
            </w:r>
          </w:p>
          <w:p w:rsidR="00A917FF" w:rsidRPr="00314F3E" w:rsidRDefault="00A917FF" w:rsidP="00B53E17">
            <w:pPr>
              <w:pStyle w:val="Sinespaciado"/>
              <w:jc w:val="center"/>
              <w:rPr>
                <w:sz w:val="20"/>
                <w:szCs w:val="20"/>
              </w:rPr>
            </w:pPr>
            <w:r w:rsidRPr="00314F3E">
              <w:rPr>
                <w:sz w:val="20"/>
                <w:szCs w:val="20"/>
              </w:rPr>
              <w:t>(3.00)</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0.63</w:t>
            </w:r>
          </w:p>
          <w:p w:rsidR="00A917FF" w:rsidRPr="00314F3E" w:rsidRDefault="00A917FF" w:rsidP="00B53E17">
            <w:pPr>
              <w:pStyle w:val="Sinespaciado"/>
              <w:jc w:val="center"/>
              <w:rPr>
                <w:sz w:val="20"/>
                <w:szCs w:val="20"/>
              </w:rPr>
            </w:pPr>
            <w:r w:rsidRPr="00314F3E">
              <w:rPr>
                <w:sz w:val="20"/>
                <w:szCs w:val="20"/>
              </w:rPr>
              <w:t>(0.43 - 0.94)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0.90</w:t>
            </w:r>
          </w:p>
          <w:p w:rsidR="00A917FF" w:rsidRPr="00314F3E" w:rsidRDefault="00A917FF" w:rsidP="00B53E17">
            <w:pPr>
              <w:pStyle w:val="Sinespaciado"/>
              <w:jc w:val="center"/>
              <w:rPr>
                <w:sz w:val="20"/>
                <w:szCs w:val="20"/>
              </w:rPr>
            </w:pPr>
            <w:r w:rsidRPr="00314F3E">
              <w:rPr>
                <w:sz w:val="20"/>
                <w:szCs w:val="20"/>
              </w:rPr>
              <w:t>(0.84 - 0.98)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0.94</w:t>
            </w:r>
          </w:p>
          <w:p w:rsidR="00A917FF" w:rsidRPr="00314F3E" w:rsidRDefault="00A917FF" w:rsidP="00B53E17">
            <w:pPr>
              <w:pStyle w:val="Sinespaciado"/>
              <w:jc w:val="center"/>
              <w:rPr>
                <w:sz w:val="20"/>
                <w:szCs w:val="20"/>
              </w:rPr>
            </w:pPr>
            <w:r w:rsidRPr="00314F3E">
              <w:rPr>
                <w:sz w:val="20"/>
                <w:szCs w:val="20"/>
              </w:rPr>
              <w:t>(0.84 - 1.04)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0.96</w:t>
            </w:r>
          </w:p>
          <w:p w:rsidR="00A917FF" w:rsidRPr="00314F3E" w:rsidRDefault="00A917FF" w:rsidP="00B53E17">
            <w:pPr>
              <w:pStyle w:val="Sinespaciado"/>
              <w:jc w:val="center"/>
              <w:rPr>
                <w:sz w:val="20"/>
                <w:szCs w:val="20"/>
              </w:rPr>
            </w:pPr>
            <w:r w:rsidRPr="00314F3E">
              <w:rPr>
                <w:sz w:val="20"/>
                <w:szCs w:val="20"/>
              </w:rPr>
              <w:t>(0.80 - 1.15)</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0.77</w:t>
            </w:r>
          </w:p>
          <w:p w:rsidR="00A917FF" w:rsidRPr="00314F3E" w:rsidRDefault="00A917FF" w:rsidP="00B53E17">
            <w:pPr>
              <w:pStyle w:val="Sinespaciado"/>
              <w:jc w:val="center"/>
              <w:rPr>
                <w:sz w:val="20"/>
                <w:szCs w:val="20"/>
              </w:rPr>
            </w:pPr>
            <w:r w:rsidRPr="00314F3E">
              <w:rPr>
                <w:sz w:val="20"/>
                <w:szCs w:val="20"/>
              </w:rPr>
              <w:t>(0.55 - 1.08)</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Refractory ischemia</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2277/81553 (2.8)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20/958</w:t>
            </w:r>
          </w:p>
          <w:p w:rsidR="00A917FF" w:rsidRPr="00314F3E" w:rsidRDefault="00A917FF" w:rsidP="00B53E17">
            <w:pPr>
              <w:pStyle w:val="Sinespaciado"/>
              <w:jc w:val="center"/>
              <w:rPr>
                <w:sz w:val="20"/>
                <w:szCs w:val="20"/>
              </w:rPr>
            </w:pPr>
            <w:r w:rsidRPr="00314F3E">
              <w:rPr>
                <w:sz w:val="20"/>
                <w:szCs w:val="20"/>
              </w:rPr>
              <w:t>(2.08)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735/25422 (2.89)</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992/35613 (2.78)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421/14708 (2.86)</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87/3611</w:t>
            </w:r>
          </w:p>
          <w:p w:rsidR="00A917FF" w:rsidRPr="00314F3E" w:rsidRDefault="00A917FF" w:rsidP="00B53E17">
            <w:pPr>
              <w:pStyle w:val="Sinespaciado"/>
              <w:jc w:val="center"/>
              <w:rPr>
                <w:sz w:val="20"/>
                <w:szCs w:val="20"/>
              </w:rPr>
            </w:pPr>
            <w:r w:rsidRPr="00314F3E">
              <w:rPr>
                <w:sz w:val="20"/>
                <w:szCs w:val="20"/>
              </w:rPr>
              <w:t>(2.40)</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22/1233</w:t>
            </w:r>
          </w:p>
          <w:p w:rsidR="00A917FF" w:rsidRPr="00314F3E" w:rsidRDefault="00A917FF" w:rsidP="00B53E17">
            <w:pPr>
              <w:pStyle w:val="Sinespaciado"/>
              <w:jc w:val="center"/>
              <w:rPr>
                <w:sz w:val="20"/>
                <w:szCs w:val="20"/>
              </w:rPr>
            </w:pPr>
            <w:r w:rsidRPr="00314F3E">
              <w:rPr>
                <w:sz w:val="20"/>
                <w:szCs w:val="20"/>
              </w:rPr>
              <w:t>(1.78)</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0.79</w:t>
            </w:r>
          </w:p>
          <w:p w:rsidR="00A917FF" w:rsidRPr="00314F3E" w:rsidRDefault="00A917FF" w:rsidP="00B53E17">
            <w:pPr>
              <w:pStyle w:val="Sinespaciado"/>
              <w:jc w:val="center"/>
              <w:rPr>
                <w:sz w:val="20"/>
                <w:szCs w:val="20"/>
              </w:rPr>
            </w:pPr>
            <w:r w:rsidRPr="00314F3E">
              <w:rPr>
                <w:sz w:val="20"/>
                <w:szCs w:val="20"/>
              </w:rPr>
              <w:t>(0.50 - 1.24)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0.89</w:t>
            </w:r>
          </w:p>
          <w:p w:rsidR="00A917FF" w:rsidRPr="00314F3E" w:rsidRDefault="00A917FF" w:rsidP="00B53E17">
            <w:pPr>
              <w:pStyle w:val="Sinespaciado"/>
              <w:jc w:val="center"/>
              <w:rPr>
                <w:sz w:val="20"/>
                <w:szCs w:val="20"/>
              </w:rPr>
            </w:pPr>
            <w:r w:rsidRPr="00314F3E">
              <w:rPr>
                <w:sz w:val="20"/>
                <w:szCs w:val="20"/>
              </w:rPr>
              <w:t>(0.81 - 0.98)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0.89</w:t>
            </w:r>
          </w:p>
          <w:p w:rsidR="00A917FF" w:rsidRPr="00314F3E" w:rsidRDefault="00A917FF" w:rsidP="00B53E17">
            <w:pPr>
              <w:pStyle w:val="Sinespaciado"/>
              <w:jc w:val="center"/>
              <w:rPr>
                <w:sz w:val="20"/>
                <w:szCs w:val="20"/>
              </w:rPr>
            </w:pPr>
            <w:r w:rsidRPr="00314F3E">
              <w:rPr>
                <w:sz w:val="20"/>
                <w:szCs w:val="20"/>
              </w:rPr>
              <w:t>(0.78 - 1.00)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0.77</w:t>
            </w:r>
          </w:p>
          <w:p w:rsidR="00A917FF" w:rsidRPr="00314F3E" w:rsidRDefault="00A917FF" w:rsidP="00B53E17">
            <w:pPr>
              <w:pStyle w:val="Sinespaciado"/>
              <w:jc w:val="center"/>
              <w:rPr>
                <w:sz w:val="20"/>
                <w:szCs w:val="20"/>
              </w:rPr>
            </w:pPr>
            <w:r w:rsidRPr="00314F3E">
              <w:rPr>
                <w:sz w:val="20"/>
                <w:szCs w:val="20"/>
              </w:rPr>
              <w:t>(0.61 - 0.97)</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0.53</w:t>
            </w:r>
          </w:p>
          <w:p w:rsidR="00A917FF" w:rsidRPr="00314F3E" w:rsidRDefault="00A917FF" w:rsidP="00B53E17">
            <w:pPr>
              <w:pStyle w:val="Sinespaciado"/>
              <w:jc w:val="center"/>
              <w:rPr>
                <w:sz w:val="20"/>
                <w:szCs w:val="20"/>
              </w:rPr>
            </w:pPr>
            <w:r w:rsidRPr="00314F3E">
              <w:rPr>
                <w:sz w:val="20"/>
                <w:szCs w:val="20"/>
              </w:rPr>
              <w:t>(0.34 - 0.84)</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TVR or CABG</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2101/44944 (4.7)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10/441</w:t>
            </w:r>
          </w:p>
          <w:p w:rsidR="00A917FF" w:rsidRPr="00314F3E" w:rsidRDefault="00A917FF" w:rsidP="00B53E17">
            <w:pPr>
              <w:pStyle w:val="Sinespaciado"/>
              <w:jc w:val="center"/>
              <w:rPr>
                <w:sz w:val="20"/>
                <w:szCs w:val="20"/>
              </w:rPr>
            </w:pPr>
            <w:r w:rsidRPr="00314F3E">
              <w:rPr>
                <w:sz w:val="20"/>
                <w:szCs w:val="20"/>
              </w:rPr>
              <w:t>(2.27)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576/13404 (4.30)</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1015/20074 (5.06)</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374/8210</w:t>
            </w:r>
          </w:p>
          <w:p w:rsidR="00A917FF" w:rsidRPr="00314F3E" w:rsidRDefault="00A917FF" w:rsidP="00B53E17">
            <w:pPr>
              <w:pStyle w:val="Sinespaciado"/>
              <w:jc w:val="center"/>
              <w:rPr>
                <w:sz w:val="20"/>
                <w:szCs w:val="20"/>
              </w:rPr>
            </w:pPr>
            <w:r w:rsidRPr="00314F3E">
              <w:rPr>
                <w:sz w:val="20"/>
                <w:szCs w:val="20"/>
              </w:rPr>
              <w:t>(4.55)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91/2080</w:t>
            </w:r>
          </w:p>
          <w:p w:rsidR="00A917FF" w:rsidRPr="00314F3E" w:rsidRDefault="00A917FF" w:rsidP="00B53E17">
            <w:pPr>
              <w:pStyle w:val="Sinespaciado"/>
              <w:jc w:val="center"/>
              <w:rPr>
                <w:sz w:val="20"/>
                <w:szCs w:val="20"/>
              </w:rPr>
            </w:pPr>
            <w:r w:rsidRPr="00314F3E">
              <w:rPr>
                <w:sz w:val="20"/>
                <w:szCs w:val="20"/>
              </w:rPr>
              <w:t>(4.38)</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35/735</w:t>
            </w:r>
          </w:p>
          <w:p w:rsidR="00A917FF" w:rsidRPr="00314F3E" w:rsidRDefault="00A917FF" w:rsidP="00B53E17">
            <w:pPr>
              <w:pStyle w:val="Sinespaciado"/>
              <w:jc w:val="center"/>
              <w:rPr>
                <w:sz w:val="20"/>
                <w:szCs w:val="20"/>
              </w:rPr>
            </w:pPr>
            <w:r w:rsidRPr="00314F3E">
              <w:rPr>
                <w:sz w:val="20"/>
                <w:szCs w:val="20"/>
              </w:rPr>
              <w:t>(4.76)</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0.62</w:t>
            </w:r>
          </w:p>
          <w:p w:rsidR="00A917FF" w:rsidRPr="00314F3E" w:rsidRDefault="00A917FF" w:rsidP="00B53E17">
            <w:pPr>
              <w:pStyle w:val="Sinespaciado"/>
              <w:jc w:val="center"/>
              <w:rPr>
                <w:sz w:val="20"/>
                <w:szCs w:val="20"/>
              </w:rPr>
            </w:pPr>
            <w:r w:rsidRPr="00314F3E">
              <w:rPr>
                <w:sz w:val="20"/>
                <w:szCs w:val="20"/>
              </w:rPr>
              <w:t>(0.33 - 1.17)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1.10</w:t>
            </w:r>
          </w:p>
          <w:p w:rsidR="00A917FF" w:rsidRPr="00314F3E" w:rsidRDefault="00A917FF" w:rsidP="00B53E17">
            <w:pPr>
              <w:pStyle w:val="Sinespaciado"/>
              <w:jc w:val="center"/>
              <w:rPr>
                <w:sz w:val="20"/>
                <w:szCs w:val="20"/>
              </w:rPr>
            </w:pPr>
            <w:r w:rsidRPr="00314F3E">
              <w:rPr>
                <w:sz w:val="20"/>
                <w:szCs w:val="20"/>
              </w:rPr>
              <w:t>(0.99 - 1.22)</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0.98</w:t>
            </w:r>
          </w:p>
          <w:p w:rsidR="00A917FF" w:rsidRPr="00314F3E" w:rsidRDefault="00A917FF" w:rsidP="00B53E17">
            <w:pPr>
              <w:pStyle w:val="Sinespaciado"/>
              <w:jc w:val="center"/>
              <w:rPr>
                <w:sz w:val="20"/>
                <w:szCs w:val="20"/>
              </w:rPr>
            </w:pPr>
            <w:r w:rsidRPr="00314F3E">
              <w:rPr>
                <w:sz w:val="20"/>
                <w:szCs w:val="20"/>
              </w:rPr>
              <w:t>(0.86 - 1.12)</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0.96</w:t>
            </w:r>
          </w:p>
          <w:p w:rsidR="00A917FF" w:rsidRPr="00314F3E" w:rsidRDefault="00A917FF" w:rsidP="00B53E17">
            <w:pPr>
              <w:pStyle w:val="Sinespaciado"/>
              <w:jc w:val="center"/>
              <w:rPr>
                <w:sz w:val="20"/>
                <w:szCs w:val="20"/>
              </w:rPr>
            </w:pPr>
            <w:r w:rsidRPr="00314F3E">
              <w:rPr>
                <w:sz w:val="20"/>
                <w:szCs w:val="20"/>
              </w:rPr>
              <w:t>(0.77 - 1.21)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1.13</w:t>
            </w:r>
          </w:p>
          <w:p w:rsidR="00A917FF" w:rsidRPr="00314F3E" w:rsidRDefault="00A917FF" w:rsidP="00B53E17">
            <w:pPr>
              <w:pStyle w:val="Sinespaciado"/>
              <w:jc w:val="center"/>
              <w:rPr>
                <w:sz w:val="20"/>
                <w:szCs w:val="20"/>
              </w:rPr>
            </w:pPr>
            <w:r w:rsidRPr="00314F3E">
              <w:rPr>
                <w:sz w:val="20"/>
                <w:szCs w:val="20"/>
              </w:rPr>
              <w:t>(0.80 - 1.6)</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TLR or CABG</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1550/42378 (3.7)</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8/424</w:t>
            </w:r>
          </w:p>
          <w:p w:rsidR="00A917FF" w:rsidRPr="00314F3E" w:rsidRDefault="00A917FF" w:rsidP="00B53E17">
            <w:pPr>
              <w:pStyle w:val="Sinespaciado"/>
              <w:jc w:val="center"/>
              <w:rPr>
                <w:sz w:val="20"/>
                <w:szCs w:val="20"/>
              </w:rPr>
            </w:pPr>
            <w:r w:rsidRPr="00314F3E">
              <w:rPr>
                <w:sz w:val="20"/>
                <w:szCs w:val="20"/>
              </w:rPr>
              <w:t>(1.89)</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428/12704 (3.37)</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751/18850 (3.98)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277/7723</w:t>
            </w:r>
          </w:p>
          <w:p w:rsidR="00A917FF" w:rsidRPr="00314F3E" w:rsidRDefault="00A917FF" w:rsidP="00B53E17">
            <w:pPr>
              <w:pStyle w:val="Sinespaciado"/>
              <w:jc w:val="center"/>
              <w:rPr>
                <w:sz w:val="20"/>
                <w:szCs w:val="20"/>
              </w:rPr>
            </w:pPr>
            <w:r w:rsidRPr="00314F3E">
              <w:rPr>
                <w:sz w:val="20"/>
                <w:szCs w:val="20"/>
              </w:rPr>
              <w:t>(3.59)</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64/1974</w:t>
            </w:r>
          </w:p>
          <w:p w:rsidR="00A917FF" w:rsidRPr="00314F3E" w:rsidRDefault="00A917FF" w:rsidP="00B53E17">
            <w:pPr>
              <w:pStyle w:val="Sinespaciado"/>
              <w:jc w:val="center"/>
              <w:rPr>
                <w:sz w:val="20"/>
                <w:szCs w:val="20"/>
              </w:rPr>
            </w:pPr>
            <w:r w:rsidRPr="00314F3E">
              <w:rPr>
                <w:sz w:val="20"/>
                <w:szCs w:val="20"/>
              </w:rPr>
              <w:t>(3.24)</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22/703</w:t>
            </w:r>
          </w:p>
          <w:p w:rsidR="00A917FF" w:rsidRPr="00314F3E" w:rsidRDefault="00A917FF" w:rsidP="00B53E17">
            <w:pPr>
              <w:pStyle w:val="Sinespaciado"/>
              <w:jc w:val="center"/>
              <w:rPr>
                <w:sz w:val="20"/>
                <w:szCs w:val="20"/>
              </w:rPr>
            </w:pPr>
            <w:r w:rsidRPr="00314F3E">
              <w:rPr>
                <w:sz w:val="20"/>
                <w:szCs w:val="20"/>
              </w:rPr>
              <w:t>(3.13)</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0.67</w:t>
            </w:r>
          </w:p>
          <w:p w:rsidR="00A917FF" w:rsidRPr="00314F3E" w:rsidRDefault="00A917FF" w:rsidP="00B53E17">
            <w:pPr>
              <w:pStyle w:val="Sinespaciado"/>
              <w:jc w:val="center"/>
              <w:rPr>
                <w:sz w:val="20"/>
                <w:szCs w:val="20"/>
              </w:rPr>
            </w:pPr>
            <w:r w:rsidRPr="00314F3E">
              <w:rPr>
                <w:sz w:val="20"/>
                <w:szCs w:val="20"/>
              </w:rPr>
              <w:t>(0.33 - 1.36)</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1.09</w:t>
            </w:r>
          </w:p>
          <w:p w:rsidR="00A917FF" w:rsidRPr="00314F3E" w:rsidRDefault="00A917FF" w:rsidP="00B53E17">
            <w:pPr>
              <w:pStyle w:val="Sinespaciado"/>
              <w:jc w:val="center"/>
              <w:rPr>
                <w:sz w:val="20"/>
                <w:szCs w:val="20"/>
              </w:rPr>
            </w:pPr>
            <w:r w:rsidRPr="00314F3E">
              <w:rPr>
                <w:sz w:val="20"/>
                <w:szCs w:val="20"/>
              </w:rPr>
              <w:t>(0.97 - 1.23)</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0.99</w:t>
            </w:r>
          </w:p>
          <w:p w:rsidR="00A917FF" w:rsidRPr="00314F3E" w:rsidRDefault="00A917FF" w:rsidP="00B53E17">
            <w:pPr>
              <w:pStyle w:val="Sinespaciado"/>
              <w:jc w:val="center"/>
              <w:rPr>
                <w:sz w:val="20"/>
                <w:szCs w:val="20"/>
              </w:rPr>
            </w:pPr>
            <w:r w:rsidRPr="00314F3E">
              <w:rPr>
                <w:sz w:val="20"/>
                <w:szCs w:val="20"/>
              </w:rPr>
              <w:t>(0.84 - 1.15)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0.91</w:t>
            </w:r>
          </w:p>
          <w:p w:rsidR="00A917FF" w:rsidRPr="00314F3E" w:rsidRDefault="00A917FF" w:rsidP="00B53E17">
            <w:pPr>
              <w:pStyle w:val="Sinespaciado"/>
              <w:jc w:val="center"/>
              <w:rPr>
                <w:sz w:val="20"/>
                <w:szCs w:val="20"/>
              </w:rPr>
            </w:pPr>
            <w:r w:rsidRPr="00314F3E">
              <w:rPr>
                <w:sz w:val="20"/>
                <w:szCs w:val="20"/>
              </w:rPr>
              <w:t>(0.70 - 1.19)</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0.97</w:t>
            </w:r>
          </w:p>
          <w:p w:rsidR="00A917FF" w:rsidRPr="00314F3E" w:rsidRDefault="00A917FF" w:rsidP="00B53E17">
            <w:pPr>
              <w:pStyle w:val="Sinespaciado"/>
              <w:jc w:val="center"/>
              <w:rPr>
                <w:sz w:val="20"/>
                <w:szCs w:val="20"/>
              </w:rPr>
            </w:pPr>
            <w:r w:rsidRPr="00314F3E">
              <w:rPr>
                <w:sz w:val="20"/>
                <w:szCs w:val="20"/>
              </w:rPr>
              <w:t>(0.63 - 1.49)</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Stent thrombosis</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500/49858 (1.0)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2/528</w:t>
            </w:r>
          </w:p>
          <w:p w:rsidR="00A917FF" w:rsidRPr="00314F3E" w:rsidRDefault="00A917FF" w:rsidP="00B53E17">
            <w:pPr>
              <w:pStyle w:val="Sinespaciado"/>
              <w:jc w:val="center"/>
              <w:rPr>
                <w:sz w:val="20"/>
                <w:szCs w:val="20"/>
              </w:rPr>
            </w:pPr>
            <w:r w:rsidRPr="00314F3E">
              <w:rPr>
                <w:sz w:val="20"/>
                <w:szCs w:val="20"/>
              </w:rPr>
              <w:t>(0.38)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164/14765 (1.11)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210/21883 (0.96)</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90/9365</w:t>
            </w:r>
          </w:p>
          <w:p w:rsidR="00A917FF" w:rsidRPr="00314F3E" w:rsidRDefault="00A917FF" w:rsidP="00B53E17">
            <w:pPr>
              <w:pStyle w:val="Sinespaciado"/>
              <w:jc w:val="center"/>
              <w:rPr>
                <w:sz w:val="20"/>
                <w:szCs w:val="20"/>
              </w:rPr>
            </w:pPr>
            <w:r w:rsidRPr="00314F3E">
              <w:rPr>
                <w:sz w:val="20"/>
                <w:szCs w:val="20"/>
              </w:rPr>
              <w:t>(0.96)</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21/2406</w:t>
            </w:r>
          </w:p>
          <w:p w:rsidR="00A917FF" w:rsidRPr="00314F3E" w:rsidRDefault="00A917FF" w:rsidP="00B53E17">
            <w:pPr>
              <w:pStyle w:val="Sinespaciado"/>
              <w:jc w:val="center"/>
              <w:rPr>
                <w:sz w:val="20"/>
                <w:szCs w:val="20"/>
              </w:rPr>
            </w:pPr>
            <w:r w:rsidRPr="00314F3E">
              <w:rPr>
                <w:sz w:val="20"/>
                <w:szCs w:val="20"/>
              </w:rPr>
              <w:t>(0.87)</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13/911</w:t>
            </w:r>
          </w:p>
          <w:p w:rsidR="00A917FF" w:rsidRPr="00314F3E" w:rsidRDefault="00A917FF" w:rsidP="00B53E17">
            <w:pPr>
              <w:pStyle w:val="Sinespaciado"/>
              <w:jc w:val="center"/>
              <w:rPr>
                <w:sz w:val="20"/>
                <w:szCs w:val="20"/>
              </w:rPr>
            </w:pPr>
            <w:r w:rsidRPr="00314F3E">
              <w:rPr>
                <w:sz w:val="20"/>
                <w:szCs w:val="20"/>
              </w:rPr>
              <w:t>(1.42)</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0.30</w:t>
            </w:r>
          </w:p>
          <w:p w:rsidR="00A917FF" w:rsidRPr="00314F3E" w:rsidRDefault="00A917FF" w:rsidP="00B53E17">
            <w:pPr>
              <w:pStyle w:val="Sinespaciado"/>
              <w:jc w:val="center"/>
              <w:rPr>
                <w:sz w:val="20"/>
                <w:szCs w:val="20"/>
              </w:rPr>
            </w:pPr>
            <w:r w:rsidRPr="00314F3E">
              <w:rPr>
                <w:sz w:val="20"/>
                <w:szCs w:val="20"/>
              </w:rPr>
              <w:t>(0.07 - 1.20)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0.93</w:t>
            </w:r>
          </w:p>
          <w:p w:rsidR="00A917FF" w:rsidRPr="00314F3E" w:rsidRDefault="00A917FF" w:rsidP="00B53E17">
            <w:pPr>
              <w:pStyle w:val="Sinespaciado"/>
              <w:jc w:val="center"/>
              <w:rPr>
                <w:sz w:val="20"/>
                <w:szCs w:val="20"/>
              </w:rPr>
            </w:pPr>
            <w:r w:rsidRPr="00314F3E">
              <w:rPr>
                <w:sz w:val="20"/>
                <w:szCs w:val="20"/>
              </w:rPr>
              <w:t>(0.75 - 1.14)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1.03</w:t>
            </w:r>
          </w:p>
          <w:p w:rsidR="00A917FF" w:rsidRPr="00314F3E" w:rsidRDefault="00A917FF" w:rsidP="00B53E17">
            <w:pPr>
              <w:pStyle w:val="Sinespaciado"/>
              <w:jc w:val="center"/>
              <w:rPr>
                <w:sz w:val="20"/>
                <w:szCs w:val="20"/>
              </w:rPr>
            </w:pPr>
            <w:r w:rsidRPr="00314F3E">
              <w:rPr>
                <w:sz w:val="20"/>
                <w:szCs w:val="20"/>
              </w:rPr>
              <w:t>(0.73 - 1.34)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0.82</w:t>
            </w:r>
          </w:p>
          <w:p w:rsidR="00A917FF" w:rsidRPr="00314F3E" w:rsidRDefault="00A917FF" w:rsidP="00B53E17">
            <w:pPr>
              <w:pStyle w:val="Sinespaciado"/>
              <w:jc w:val="center"/>
              <w:rPr>
                <w:sz w:val="20"/>
                <w:szCs w:val="20"/>
              </w:rPr>
            </w:pPr>
            <w:r w:rsidRPr="00314F3E">
              <w:rPr>
                <w:sz w:val="20"/>
                <w:szCs w:val="20"/>
              </w:rPr>
              <w:t>(0.51 - 1.32)</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1.44</w:t>
            </w:r>
          </w:p>
          <w:p w:rsidR="00A917FF" w:rsidRPr="00314F3E" w:rsidRDefault="00A917FF" w:rsidP="00B53E17">
            <w:pPr>
              <w:pStyle w:val="Sinespaciado"/>
              <w:jc w:val="center"/>
              <w:rPr>
                <w:sz w:val="20"/>
                <w:szCs w:val="20"/>
              </w:rPr>
            </w:pPr>
            <w:r w:rsidRPr="00314F3E">
              <w:rPr>
                <w:sz w:val="20"/>
                <w:szCs w:val="20"/>
              </w:rPr>
              <w:t>(0.81 - 2.56)</w:t>
            </w:r>
          </w:p>
        </w:tc>
      </w:tr>
      <w:tr w:rsidR="00A917FF" w:rsidRPr="00314F3E" w:rsidTr="00B53E17">
        <w:trPr>
          <w:trHeight w:val="300"/>
        </w:trPr>
        <w:tc>
          <w:tcPr>
            <w:tcW w:w="1149"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Stroke</w:t>
            </w:r>
          </w:p>
          <w:p w:rsidR="00A917FF" w:rsidRPr="00314F3E" w:rsidRDefault="00A917FF" w:rsidP="00B53E17">
            <w:pPr>
              <w:pStyle w:val="Sinespaciado"/>
              <w:rPr>
                <w:sz w:val="20"/>
                <w:szCs w:val="20"/>
              </w:rPr>
            </w:pPr>
            <w:r w:rsidRPr="00314F3E">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roofErr w:type="gramStart"/>
            <w:r w:rsidRPr="00314F3E">
              <w:rPr>
                <w:sz w:val="20"/>
                <w:szCs w:val="20"/>
              </w:rPr>
              <w:t>n/N</w:t>
            </w:r>
            <w:proofErr w:type="gramEnd"/>
            <w:r w:rsidRPr="00314F3E">
              <w:rPr>
                <w:sz w:val="20"/>
                <w:szCs w:val="20"/>
              </w:rPr>
              <w:t xml:space="preserve"> (%)</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841/81553 (1.0)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14/958 (1.45)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290/25422 (1.14)</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350/35613 (0.98)</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140/14708 (0.95)</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39/3611</w:t>
            </w:r>
          </w:p>
          <w:p w:rsidR="00A917FF" w:rsidRPr="00314F3E" w:rsidRDefault="00A917FF" w:rsidP="00B53E17">
            <w:pPr>
              <w:pStyle w:val="Sinespaciado"/>
              <w:jc w:val="center"/>
              <w:rPr>
                <w:sz w:val="20"/>
                <w:szCs w:val="20"/>
              </w:rPr>
            </w:pPr>
            <w:r w:rsidRPr="00314F3E">
              <w:rPr>
                <w:sz w:val="20"/>
                <w:szCs w:val="20"/>
              </w:rPr>
              <w:t>(1.07)</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8/1233</w:t>
            </w:r>
          </w:p>
          <w:p w:rsidR="00A917FF" w:rsidRPr="00314F3E" w:rsidRDefault="00A917FF" w:rsidP="00B53E17">
            <w:pPr>
              <w:pStyle w:val="Sinespaciado"/>
              <w:jc w:val="center"/>
              <w:rPr>
                <w:sz w:val="20"/>
                <w:szCs w:val="20"/>
              </w:rPr>
            </w:pPr>
            <w:r w:rsidRPr="00314F3E">
              <w:rPr>
                <w:sz w:val="20"/>
                <w:szCs w:val="20"/>
              </w:rPr>
              <w:t>(0.64)</w:t>
            </w:r>
          </w:p>
        </w:tc>
      </w:tr>
      <w:tr w:rsidR="00A917FF" w:rsidRPr="00314F3E" w:rsidTr="00B53E17">
        <w:trPr>
          <w:trHeight w:val="300"/>
        </w:trPr>
        <w:tc>
          <w:tcPr>
            <w:tcW w:w="1149"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rPr>
                <w:sz w:val="20"/>
                <w:szCs w:val="20"/>
              </w:rPr>
            </w:pPr>
            <w:r w:rsidRPr="00314F3E">
              <w:rPr>
                <w:sz w:val="20"/>
                <w:szCs w:val="20"/>
              </w:rPr>
              <w:t>HR (95% CI)</w:t>
            </w:r>
          </w:p>
        </w:tc>
        <w:tc>
          <w:tcPr>
            <w:tcW w:w="120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1.19</w:t>
            </w:r>
          </w:p>
          <w:p w:rsidR="00A917FF" w:rsidRPr="00314F3E" w:rsidRDefault="00A917FF" w:rsidP="00B53E17">
            <w:pPr>
              <w:pStyle w:val="Sinespaciado"/>
              <w:jc w:val="center"/>
              <w:rPr>
                <w:sz w:val="20"/>
                <w:szCs w:val="20"/>
              </w:rPr>
            </w:pPr>
            <w:r w:rsidRPr="00314F3E">
              <w:rPr>
                <w:sz w:val="20"/>
                <w:szCs w:val="20"/>
              </w:rPr>
              <w:t>(0.69 - 2.04)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pStyle w:val="Sinespaciado"/>
              <w:jc w:val="center"/>
              <w:rPr>
                <w:sz w:val="20"/>
                <w:szCs w:val="20"/>
              </w:rPr>
            </w:pPr>
            <w:r w:rsidRPr="00314F3E">
              <w:rPr>
                <w:sz w:val="20"/>
                <w:szCs w:val="20"/>
              </w:rPr>
              <w:t>1</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0.89</w:t>
            </w:r>
          </w:p>
          <w:p w:rsidR="00A917FF" w:rsidRPr="00314F3E" w:rsidRDefault="00A917FF" w:rsidP="00B53E17">
            <w:pPr>
              <w:pStyle w:val="Sinespaciado"/>
              <w:jc w:val="center"/>
              <w:rPr>
                <w:sz w:val="20"/>
                <w:szCs w:val="20"/>
              </w:rPr>
            </w:pPr>
            <w:r w:rsidRPr="00314F3E">
              <w:rPr>
                <w:sz w:val="20"/>
                <w:szCs w:val="20"/>
              </w:rPr>
              <w:t>(0.76 - 1.04)</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0.90</w:t>
            </w:r>
          </w:p>
          <w:p w:rsidR="00A917FF" w:rsidRPr="00314F3E" w:rsidRDefault="00A917FF" w:rsidP="00B53E17">
            <w:pPr>
              <w:pStyle w:val="Sinespaciado"/>
              <w:jc w:val="center"/>
              <w:rPr>
                <w:sz w:val="20"/>
                <w:szCs w:val="20"/>
              </w:rPr>
            </w:pPr>
            <w:r w:rsidRPr="00314F3E">
              <w:rPr>
                <w:sz w:val="20"/>
                <w:szCs w:val="20"/>
              </w:rPr>
              <w:t>(0.73 - 1.10)</w:t>
            </w:r>
          </w:p>
        </w:tc>
        <w:tc>
          <w:tcPr>
            <w:tcW w:w="1559"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1.11</w:t>
            </w:r>
          </w:p>
          <w:p w:rsidR="00A917FF" w:rsidRPr="00314F3E" w:rsidRDefault="00A917FF" w:rsidP="00B53E17">
            <w:pPr>
              <w:pStyle w:val="Sinespaciado"/>
              <w:jc w:val="center"/>
              <w:rPr>
                <w:sz w:val="20"/>
                <w:szCs w:val="20"/>
              </w:rPr>
            </w:pPr>
            <w:r w:rsidRPr="00314F3E">
              <w:rPr>
                <w:sz w:val="20"/>
                <w:szCs w:val="20"/>
              </w:rPr>
              <w:t>(0.79 - 1.56)</w:t>
            </w:r>
          </w:p>
        </w:tc>
        <w:tc>
          <w:tcPr>
            <w:tcW w:w="1560"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pStyle w:val="Sinespaciado"/>
              <w:jc w:val="center"/>
              <w:rPr>
                <w:sz w:val="20"/>
                <w:szCs w:val="20"/>
              </w:rPr>
            </w:pPr>
            <w:r w:rsidRPr="00314F3E">
              <w:rPr>
                <w:sz w:val="20"/>
                <w:szCs w:val="20"/>
              </w:rPr>
              <w:t>0.62</w:t>
            </w:r>
          </w:p>
          <w:p w:rsidR="00A917FF" w:rsidRPr="00314F3E" w:rsidRDefault="00A917FF" w:rsidP="00B53E17">
            <w:pPr>
              <w:pStyle w:val="Sinespaciado"/>
              <w:jc w:val="center"/>
              <w:rPr>
                <w:sz w:val="20"/>
                <w:szCs w:val="20"/>
              </w:rPr>
            </w:pPr>
            <w:r w:rsidRPr="00314F3E">
              <w:rPr>
                <w:sz w:val="20"/>
                <w:szCs w:val="20"/>
              </w:rPr>
              <w:t>(0.29 - 1.33)</w:t>
            </w:r>
          </w:p>
        </w:tc>
      </w:tr>
    </w:tbl>
    <w:p w:rsidR="00A917FF" w:rsidRDefault="00A917FF" w:rsidP="0052196B">
      <w:pPr>
        <w:jc w:val="both"/>
      </w:pPr>
    </w:p>
    <w:p w:rsidR="00A917FF" w:rsidRDefault="00A917FF" w:rsidP="0052196B">
      <w:pPr>
        <w:jc w:val="both"/>
      </w:pPr>
      <w:r>
        <w:br w:type="page"/>
      </w:r>
    </w:p>
    <w:p w:rsidR="00A917FF" w:rsidRDefault="00A917FF" w:rsidP="0052196B">
      <w:pPr>
        <w:jc w:val="both"/>
      </w:pPr>
      <w:r>
        <w:lastRenderedPageBreak/>
        <w:t>Table 3 cont.:</w:t>
      </w:r>
    </w:p>
    <w:tbl>
      <w:tblPr>
        <w:tblW w:w="12915" w:type="dxa"/>
        <w:tblInd w:w="93" w:type="dxa"/>
        <w:tblLayout w:type="fixed"/>
        <w:tblLook w:val="04A0" w:firstRow="1" w:lastRow="0" w:firstColumn="1" w:lastColumn="0" w:noHBand="0" w:noVBand="1"/>
      </w:tblPr>
      <w:tblGrid>
        <w:gridCol w:w="1575"/>
        <w:gridCol w:w="1275"/>
        <w:gridCol w:w="1276"/>
        <w:gridCol w:w="1464"/>
        <w:gridCol w:w="1465"/>
        <w:gridCol w:w="1465"/>
        <w:gridCol w:w="1465"/>
        <w:gridCol w:w="1465"/>
        <w:gridCol w:w="1465"/>
      </w:tblGrid>
      <w:tr w:rsidR="00A917FF" w:rsidRPr="00314F3E" w:rsidTr="00B53E17">
        <w:trPr>
          <w:trHeight w:val="300"/>
        </w:trPr>
        <w:tc>
          <w:tcPr>
            <w:tcW w:w="1575" w:type="dxa"/>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275" w:type="dxa"/>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p>
        </w:tc>
        <w:tc>
          <w:tcPr>
            <w:tcW w:w="1276" w:type="dxa"/>
            <w:tcBorders>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p>
        </w:tc>
        <w:tc>
          <w:tcPr>
            <w:tcW w:w="87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BMI categories</w:t>
            </w:r>
          </w:p>
        </w:tc>
      </w:tr>
      <w:tr w:rsidR="00A917FF" w:rsidRPr="00314F3E" w:rsidTr="00B53E17">
        <w:trPr>
          <w:trHeight w:val="300"/>
        </w:trPr>
        <w:tc>
          <w:tcPr>
            <w:tcW w:w="1575" w:type="dxa"/>
            <w:tcBorders>
              <w:bottom w:val="single" w:sz="4" w:space="0" w:color="auto"/>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275" w:type="dxa"/>
            <w:tcBorders>
              <w:bottom w:val="single" w:sz="4" w:space="0" w:color="auto"/>
              <w:right w:val="single" w:sz="4" w:space="0" w:color="auto"/>
            </w:tcBorders>
            <w:shd w:val="clear" w:color="auto" w:fill="auto"/>
            <w:noWrap/>
            <w:vAlign w:val="bottom"/>
          </w:tcPr>
          <w:p w:rsidR="00A917FF" w:rsidRPr="00314F3E" w:rsidRDefault="00A917FF" w:rsidP="0052196B">
            <w:pPr>
              <w:spacing w:after="0" w:line="240" w:lineRule="auto"/>
              <w:jc w:val="both"/>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Overall</w:t>
            </w:r>
          </w:p>
        </w:tc>
        <w:tc>
          <w:tcPr>
            <w:tcW w:w="1464"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&lt; 18.5</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&gt;= 18.5 - 24.9</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25 - 29.9</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30 - 34.9</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35 - 40.9</w:t>
            </w:r>
          </w:p>
        </w:tc>
        <w:tc>
          <w:tcPr>
            <w:tcW w:w="1465" w:type="dxa"/>
            <w:tcBorders>
              <w:top w:val="single" w:sz="4" w:space="0" w:color="auto"/>
              <w:left w:val="nil"/>
              <w:bottom w:val="single" w:sz="4" w:space="0" w:color="auto"/>
              <w:right w:val="single" w:sz="4" w:space="0" w:color="auto"/>
            </w:tcBorders>
            <w:shd w:val="clear" w:color="auto" w:fill="auto"/>
            <w:noWrap/>
            <w:vAlign w:val="center"/>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&gt;= 40</w:t>
            </w:r>
          </w:p>
        </w:tc>
      </w:tr>
      <w:tr w:rsidR="00A917FF" w:rsidRPr="00314F3E" w:rsidTr="00B53E17">
        <w:trPr>
          <w:trHeight w:val="300"/>
        </w:trPr>
        <w:tc>
          <w:tcPr>
            <w:tcW w:w="1575" w:type="dxa"/>
            <w:vMerge w:val="restart"/>
            <w:tcBorders>
              <w:top w:val="single" w:sz="4" w:space="0" w:color="auto"/>
              <w:left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HF hospitalization</w:t>
            </w:r>
          </w:p>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roofErr w:type="gramStart"/>
            <w:r w:rsidRPr="00314F3E">
              <w:rPr>
                <w:rFonts w:ascii="Calibri" w:eastAsia="Times New Roman" w:hAnsi="Calibri" w:cs="Times New Roman"/>
                <w:color w:val="000000"/>
                <w:sz w:val="20"/>
                <w:szCs w:val="20"/>
              </w:rPr>
              <w:t>n/N</w:t>
            </w:r>
            <w:proofErr w:type="gramEnd"/>
            <w:r w:rsidRPr="00314F3E">
              <w:rPr>
                <w:rFonts w:ascii="Calibri" w:eastAsia="Times New Roman" w:hAnsi="Calibri" w:cs="Times New Roman"/>
                <w:color w:val="000000"/>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1298/81553 (1.6)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17/958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(1.77)</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430/25422 (1.69)</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505/35613 (1.41)</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258/14708 (1.75)</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65/3611</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(1.79)</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23/1233</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(1.86)</w:t>
            </w:r>
          </w:p>
        </w:tc>
      </w:tr>
      <w:tr w:rsidR="00A917FF" w:rsidRPr="00314F3E" w:rsidTr="00B53E17">
        <w:trPr>
          <w:trHeight w:val="300"/>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HR (95% CI)</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0.93</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(0.57 - 1.51)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0.87</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(0.75 - 0.98)</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1.09</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(0.93 - 1.28)</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1.22</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(0.94 - 1.59)</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1.15</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(0.73 - 1.79)</w:t>
            </w:r>
          </w:p>
        </w:tc>
      </w:tr>
      <w:tr w:rsidR="00A917FF" w:rsidRPr="00314F3E" w:rsidTr="00B53E17">
        <w:trPr>
          <w:trHeight w:val="300"/>
        </w:trPr>
        <w:tc>
          <w:tcPr>
            <w:tcW w:w="1575"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HF related death</w:t>
            </w:r>
          </w:p>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roofErr w:type="gramStart"/>
            <w:r w:rsidRPr="00314F3E">
              <w:rPr>
                <w:rFonts w:ascii="Calibri" w:eastAsia="Times New Roman" w:hAnsi="Calibri" w:cs="Times New Roman"/>
                <w:color w:val="000000"/>
                <w:sz w:val="20"/>
                <w:szCs w:val="20"/>
              </w:rPr>
              <w:t>n/N</w:t>
            </w:r>
            <w:proofErr w:type="gramEnd"/>
            <w:r w:rsidRPr="00314F3E">
              <w:rPr>
                <w:rFonts w:ascii="Calibri" w:eastAsia="Times New Roman" w:hAnsi="Calibri" w:cs="Times New Roman"/>
                <w:color w:val="00000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1160/81553 (1.42)</w:t>
            </w: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37/958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(3.86)</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440/25422 (1.73)</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462/35613 (1.30)</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178/14708 (1.21)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29/3611</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(0.80)</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14/1233</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(1.14)</w:t>
            </w:r>
          </w:p>
        </w:tc>
      </w:tr>
      <w:tr w:rsidR="00A917FF" w:rsidRPr="00314F3E" w:rsidTr="00B53E17">
        <w:trPr>
          <w:trHeight w:val="300"/>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HR (95% CI)</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1.6</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(1.14 - 2.25)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0.87</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(0.76 - 0.99)</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0.89</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(0.74 - 1.07)</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0.68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(0.47 - 1)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1.09</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(0.63 - 1.87)</w:t>
            </w:r>
          </w:p>
        </w:tc>
      </w:tr>
      <w:tr w:rsidR="00A917FF" w:rsidRPr="00314F3E" w:rsidTr="00B53E17">
        <w:trPr>
          <w:trHeight w:val="300"/>
        </w:trPr>
        <w:tc>
          <w:tcPr>
            <w:tcW w:w="1575"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Major bleeding</w:t>
            </w:r>
            <w:r>
              <w:rPr>
                <w:rFonts w:ascii="Calibri" w:eastAsia="Times New Roman" w:hAnsi="Calibri" w:cs="Times New Roman"/>
                <w:color w:val="000000"/>
                <w:sz w:val="20"/>
                <w:szCs w:val="20"/>
              </w:rPr>
              <w:t>*</w:t>
            </w:r>
          </w:p>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roofErr w:type="gramStart"/>
            <w:r w:rsidRPr="00314F3E">
              <w:rPr>
                <w:rFonts w:ascii="Calibri" w:eastAsia="Times New Roman" w:hAnsi="Calibri" w:cs="Times New Roman"/>
                <w:color w:val="000000"/>
                <w:sz w:val="20"/>
                <w:szCs w:val="20"/>
              </w:rPr>
              <w:t>n/N</w:t>
            </w:r>
            <w:proofErr w:type="gramEnd"/>
            <w:r w:rsidRPr="00314F3E">
              <w:rPr>
                <w:rFonts w:ascii="Calibri" w:eastAsia="Times New Roman" w:hAnsi="Calibri" w:cs="Times New Roman"/>
                <w:color w:val="00000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2520/81553 (3.1)</w:t>
            </w: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33/958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(3.40)</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926/25425 (3.6)</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1070/35617 (3.00)</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360/14709 (2.4)</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97/3611</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(2.70)</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34/1233</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(2.80)</w:t>
            </w:r>
          </w:p>
        </w:tc>
      </w:tr>
      <w:tr w:rsidR="00A917FF" w:rsidRPr="00314F3E" w:rsidTr="00B53E17">
        <w:trPr>
          <w:trHeight w:val="300"/>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HR (95% CI)</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0.77</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(0.51 - 1.15)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0.85</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(0.77 - 0.94)</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0.65</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(0.56 - 0.75)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0.74</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(0.59 - 0.94)</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(0.53 - 1.14)</w:t>
            </w:r>
          </w:p>
        </w:tc>
      </w:tr>
      <w:tr w:rsidR="00A917FF" w:rsidRPr="00314F3E" w:rsidTr="00B53E17">
        <w:trPr>
          <w:trHeight w:val="300"/>
        </w:trPr>
        <w:tc>
          <w:tcPr>
            <w:tcW w:w="1575" w:type="dxa"/>
            <w:vMerge w:val="restart"/>
            <w:tcBorders>
              <w:top w:val="nil"/>
              <w:left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Major or Minor bleeding</w:t>
            </w:r>
            <w:r>
              <w:rPr>
                <w:rFonts w:ascii="Calibri" w:eastAsia="Times New Roman" w:hAnsi="Calibri" w:cs="Times New Roman"/>
                <w:color w:val="000000"/>
                <w:sz w:val="20"/>
                <w:szCs w:val="20"/>
              </w:rPr>
              <w:t>*</w:t>
            </w:r>
          </w:p>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roofErr w:type="gramStart"/>
            <w:r w:rsidRPr="00314F3E">
              <w:rPr>
                <w:rFonts w:ascii="Calibri" w:eastAsia="Times New Roman" w:hAnsi="Calibri" w:cs="Times New Roman"/>
                <w:color w:val="000000"/>
                <w:sz w:val="20"/>
                <w:szCs w:val="20"/>
              </w:rPr>
              <w:t>n/N</w:t>
            </w:r>
            <w:proofErr w:type="gramEnd"/>
            <w:r w:rsidRPr="00314F3E">
              <w:rPr>
                <w:rFonts w:ascii="Calibri" w:eastAsia="Times New Roman" w:hAnsi="Calibri" w:cs="Times New Roman"/>
                <w:color w:val="00000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6369/81553 (7.8)</w:t>
            </w: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81/958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(8.45)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2200/25425 (8.65)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2715/35617 (7.62)</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1008/14709 (6.85)</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263/3611 (7.28)</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102/1233 (8.27)</w:t>
            </w:r>
          </w:p>
        </w:tc>
      </w:tr>
      <w:tr w:rsidR="00A917FF" w:rsidRPr="00314F3E" w:rsidTr="00B53E17">
        <w:trPr>
          <w:trHeight w:val="300"/>
        </w:trPr>
        <w:tc>
          <w:tcPr>
            <w:tcW w:w="1575" w:type="dxa"/>
            <w:vMerge/>
            <w:tcBorders>
              <w:left w:val="single" w:sz="4" w:space="0" w:color="auto"/>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rPr>
                <w:rFonts w:ascii="Calibri" w:eastAsia="Times New Roman" w:hAnsi="Calibri" w:cs="Times New Roman"/>
                <w:color w:val="000000"/>
                <w:sz w:val="20"/>
                <w:szCs w:val="20"/>
              </w:rPr>
            </w:pPr>
            <w:r w:rsidRPr="00314F3E">
              <w:rPr>
                <w:rFonts w:ascii="Calibri" w:eastAsia="Times New Roman" w:hAnsi="Calibri" w:cs="Times New Roman"/>
                <w:color w:val="000000"/>
                <w:sz w:val="20"/>
                <w:szCs w:val="20"/>
              </w:rPr>
              <w:t>HR (95% CI)</w:t>
            </w: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p>
        </w:tc>
        <w:tc>
          <w:tcPr>
            <w:tcW w:w="1464"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0.88</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(0.69 - 1.12)</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0.86</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(0.81 - 0.92)</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0.73</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(0.68 - 0.8</w:t>
            </w:r>
            <w:r>
              <w:rPr>
                <w:rFonts w:ascii="Calibri" w:eastAsia="Times New Roman" w:hAnsi="Calibri" w:cs="Times New Roman"/>
                <w:color w:val="000000"/>
                <w:sz w:val="20"/>
                <w:szCs w:val="20"/>
              </w:rPr>
              <w:t>0</w:t>
            </w:r>
            <w:r w:rsidRPr="00247657">
              <w:rPr>
                <w:rFonts w:ascii="Calibri" w:eastAsia="Times New Roman" w:hAnsi="Calibri" w:cs="Times New Roman"/>
                <w:color w:val="000000"/>
                <w:sz w:val="20"/>
                <w:szCs w:val="20"/>
              </w:rPr>
              <w:t>)</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0.77</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(0.67 - 0.89)</w:t>
            </w:r>
          </w:p>
        </w:tc>
        <w:tc>
          <w:tcPr>
            <w:tcW w:w="1465" w:type="dxa"/>
            <w:tcBorders>
              <w:top w:val="nil"/>
              <w:left w:val="nil"/>
              <w:bottom w:val="single" w:sz="4" w:space="0" w:color="auto"/>
              <w:right w:val="single" w:sz="4" w:space="0" w:color="auto"/>
            </w:tcBorders>
            <w:shd w:val="clear" w:color="auto" w:fill="auto"/>
            <w:noWrap/>
            <w:vAlign w:val="center"/>
            <w:hideMark/>
          </w:tcPr>
          <w:p w:rsidR="00A917FF"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0.79</w:t>
            </w:r>
          </w:p>
          <w:p w:rsidR="00A917FF" w:rsidRPr="00314F3E" w:rsidRDefault="00A917FF" w:rsidP="00B53E17">
            <w:pPr>
              <w:spacing w:after="0" w:line="240" w:lineRule="auto"/>
              <w:jc w:val="center"/>
              <w:rPr>
                <w:rFonts w:ascii="Calibri" w:eastAsia="Times New Roman" w:hAnsi="Calibri" w:cs="Times New Roman"/>
                <w:color w:val="000000"/>
                <w:sz w:val="20"/>
                <w:szCs w:val="20"/>
              </w:rPr>
            </w:pPr>
            <w:r w:rsidRPr="00247657">
              <w:rPr>
                <w:rFonts w:ascii="Calibri" w:eastAsia="Times New Roman" w:hAnsi="Calibri" w:cs="Times New Roman"/>
                <w:color w:val="000000"/>
                <w:sz w:val="20"/>
                <w:szCs w:val="20"/>
              </w:rPr>
              <w:t>(0.64 - 0.97)</w:t>
            </w:r>
          </w:p>
        </w:tc>
      </w:tr>
    </w:tbl>
    <w:p w:rsidR="00A917FF" w:rsidRDefault="00A917FF" w:rsidP="0052196B">
      <w:pPr>
        <w:jc w:val="both"/>
      </w:pPr>
    </w:p>
    <w:p w:rsidR="00A917FF" w:rsidRDefault="00A917FF" w:rsidP="0052196B">
      <w:pPr>
        <w:jc w:val="both"/>
        <w:rPr>
          <w:lang w:val="en-CA"/>
        </w:rPr>
      </w:pPr>
      <w:r>
        <w:t xml:space="preserve">Notes: Secondary outcomes results from shared frailty models including study as random effects. The primary model includes age, sex, geographic region (Asia, Eastern Europe, Western Europe, Latin America, North America, Middle East, South Africa, Australia/New Zealand), smoking status, discharge diagnosis, previous stroke, previous heart failure, previous coronary revascularization, previous myocardial infarction, previous peripheral vascular disease, previous cancer, </w:t>
      </w:r>
      <w:proofErr w:type="spellStart"/>
      <w:r>
        <w:t>Killip</w:t>
      </w:r>
      <w:proofErr w:type="spellEnd"/>
      <w:r>
        <w:t xml:space="preserve"> &amp; Kimball </w:t>
      </w:r>
      <w:r>
        <w:rPr>
          <w:lang w:val="en-CA"/>
        </w:rPr>
        <w:t xml:space="preserve">&gt;= 2 on admission, and creatinine clearance. </w:t>
      </w:r>
    </w:p>
    <w:p w:rsidR="00A917FF" w:rsidRDefault="00A917FF" w:rsidP="0052196B">
      <w:pPr>
        <w:jc w:val="both"/>
        <w:rPr>
          <w:lang w:val="en-CA"/>
        </w:rPr>
      </w:pPr>
      <w:r>
        <w:rPr>
          <w:lang w:val="en-CA"/>
        </w:rPr>
        <w:t>(*) Bleeding outcomes include anticoagulation on discharge, dual anti-platelet therapy on discharge, heart rate on admission, systolic blood pressure on admission, hemoglobin on admission, and thrombolytic use during the admission in the multivariate model.</w:t>
      </w:r>
    </w:p>
    <w:p w:rsidR="00A917FF" w:rsidRDefault="00A917FF" w:rsidP="0052196B">
      <w:pPr>
        <w:jc w:val="both"/>
      </w:pPr>
      <w:r>
        <w:t xml:space="preserve">HF: heart failure; TVR: target vessel revascularization; TLR: Target lesion revascularization; CABG: Coronary artery bypass surgery. </w:t>
      </w:r>
    </w:p>
    <w:p w:rsidR="00A917FF" w:rsidRDefault="00A917FF" w:rsidP="0052196B">
      <w:pPr>
        <w:jc w:val="both"/>
      </w:pPr>
      <w:r>
        <w:br w:type="page"/>
      </w:r>
    </w:p>
    <w:p w:rsidR="00A917FF" w:rsidRDefault="00A917FF" w:rsidP="0052196B">
      <w:pPr>
        <w:jc w:val="both"/>
      </w:pPr>
      <w:r>
        <w:lastRenderedPageBreak/>
        <w:t>Table 4:</w:t>
      </w:r>
    </w:p>
    <w:tbl>
      <w:tblPr>
        <w:tblW w:w="13202" w:type="dxa"/>
        <w:tblInd w:w="93" w:type="dxa"/>
        <w:tblLayout w:type="fixed"/>
        <w:tblLook w:val="04A0" w:firstRow="1" w:lastRow="0" w:firstColumn="1" w:lastColumn="0" w:noHBand="0" w:noVBand="1"/>
      </w:tblPr>
      <w:tblGrid>
        <w:gridCol w:w="2283"/>
        <w:gridCol w:w="1819"/>
        <w:gridCol w:w="1820"/>
        <w:gridCol w:w="1820"/>
        <w:gridCol w:w="1820"/>
        <w:gridCol w:w="1820"/>
        <w:gridCol w:w="1820"/>
      </w:tblGrid>
      <w:tr w:rsidR="00A917FF" w:rsidRPr="00E73AD6" w:rsidTr="00B53E17">
        <w:trPr>
          <w:trHeight w:val="300"/>
        </w:trPr>
        <w:tc>
          <w:tcPr>
            <w:tcW w:w="2283" w:type="dxa"/>
            <w:tcBorders>
              <w:top w:val="nil"/>
              <w:left w:val="nil"/>
              <w:bottom w:val="nil"/>
              <w:right w:val="single" w:sz="4" w:space="0" w:color="auto"/>
            </w:tcBorders>
            <w:shd w:val="clear" w:color="auto" w:fill="auto"/>
            <w:noWrap/>
            <w:vAlign w:val="bottom"/>
            <w:hideMark/>
          </w:tcPr>
          <w:p w:rsidR="00A917FF" w:rsidRPr="00E73AD6" w:rsidRDefault="00A917FF" w:rsidP="0052196B">
            <w:pPr>
              <w:spacing w:after="0" w:line="240" w:lineRule="auto"/>
              <w:jc w:val="both"/>
              <w:rPr>
                <w:rFonts w:ascii="Calibri" w:eastAsia="Times New Roman" w:hAnsi="Calibri" w:cs="Times New Roman"/>
                <w:color w:val="000000"/>
              </w:rPr>
            </w:pPr>
            <w:r w:rsidRPr="00E73AD6">
              <w:rPr>
                <w:rFonts w:ascii="Calibri" w:eastAsia="Times New Roman" w:hAnsi="Calibri" w:cs="Times New Roman"/>
                <w:color w:val="000000"/>
              </w:rPr>
              <w:t> </w:t>
            </w:r>
          </w:p>
        </w:tc>
        <w:tc>
          <w:tcPr>
            <w:tcW w:w="10919" w:type="dxa"/>
            <w:gridSpan w:val="6"/>
            <w:tcBorders>
              <w:top w:val="single" w:sz="4" w:space="0" w:color="auto"/>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rPr>
            </w:pPr>
            <w:r w:rsidRPr="00E73AD6">
              <w:rPr>
                <w:rFonts w:ascii="Calibri" w:eastAsia="Times New Roman" w:hAnsi="Calibri" w:cs="Times New Roman"/>
                <w:color w:val="000000"/>
              </w:rPr>
              <w:t>BMI categories</w:t>
            </w:r>
          </w:p>
        </w:tc>
      </w:tr>
      <w:tr w:rsidR="00A917FF" w:rsidRPr="00E73AD6" w:rsidTr="00B53E17">
        <w:trPr>
          <w:trHeight w:val="300"/>
        </w:trPr>
        <w:tc>
          <w:tcPr>
            <w:tcW w:w="2283" w:type="dxa"/>
            <w:tcBorders>
              <w:top w:val="nil"/>
              <w:left w:val="nil"/>
              <w:bottom w:val="single" w:sz="4" w:space="0" w:color="auto"/>
              <w:right w:val="single" w:sz="4" w:space="0" w:color="auto"/>
            </w:tcBorders>
            <w:shd w:val="clear" w:color="auto" w:fill="auto"/>
            <w:noWrap/>
            <w:vAlign w:val="bottom"/>
            <w:hideMark/>
          </w:tcPr>
          <w:p w:rsidR="00A917FF" w:rsidRPr="00E73AD6" w:rsidRDefault="00A917FF" w:rsidP="0052196B">
            <w:pPr>
              <w:spacing w:after="0" w:line="240" w:lineRule="auto"/>
              <w:jc w:val="both"/>
              <w:rPr>
                <w:rFonts w:ascii="Calibri" w:eastAsia="Times New Roman" w:hAnsi="Calibri" w:cs="Times New Roman"/>
                <w:color w:val="000000"/>
              </w:rPr>
            </w:pPr>
            <w:r w:rsidRPr="00E73AD6">
              <w:rPr>
                <w:rFonts w:ascii="Calibri" w:eastAsia="Times New Roman" w:hAnsi="Calibri" w:cs="Times New Roman"/>
                <w:color w:val="000000"/>
              </w:rPr>
              <w:t> </w:t>
            </w:r>
          </w:p>
        </w:tc>
        <w:tc>
          <w:tcPr>
            <w:tcW w:w="1819"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&lt; 18.5</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&gt;= 18.5 - 24.9</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25 - 29.9</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30 - 34.9</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35 - 40.9</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&gt;= 40</w:t>
            </w:r>
          </w:p>
        </w:tc>
      </w:tr>
      <w:tr w:rsidR="00A917FF" w:rsidRPr="00E73AD6" w:rsidTr="00B53E1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No WHR in the model</w:t>
            </w:r>
          </w:p>
        </w:tc>
        <w:tc>
          <w:tcPr>
            <w:tcW w:w="1819"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1.85 (1.07 - 3.18)</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0.81 (0.68 - 0.97)</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0.73 (0.57 - 0.92)</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1.2</w:t>
            </w:r>
            <w:r>
              <w:rPr>
                <w:rFonts w:ascii="Calibri" w:eastAsia="Times New Roman" w:hAnsi="Calibri" w:cs="Times New Roman"/>
                <w:color w:val="000000"/>
                <w:sz w:val="20"/>
                <w:szCs w:val="20"/>
              </w:rPr>
              <w:t>0</w:t>
            </w:r>
            <w:r w:rsidRPr="00E73AD6">
              <w:rPr>
                <w:rFonts w:ascii="Calibri" w:eastAsia="Times New Roman" w:hAnsi="Calibri" w:cs="Times New Roman"/>
                <w:color w:val="000000"/>
                <w:sz w:val="20"/>
                <w:szCs w:val="20"/>
              </w:rPr>
              <w:t xml:space="preserve"> (0.81 - 1.75)</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1.43 (0.83 - 2.65)</w:t>
            </w:r>
          </w:p>
        </w:tc>
      </w:tr>
      <w:tr w:rsidR="00A917FF" w:rsidRPr="00E73AD6" w:rsidTr="00B53E1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With WHR in the model</w:t>
            </w:r>
          </w:p>
        </w:tc>
        <w:tc>
          <w:tcPr>
            <w:tcW w:w="1819"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1.91 (1.09 - 3.36)</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0.8</w:t>
            </w:r>
            <w:r>
              <w:rPr>
                <w:rFonts w:ascii="Calibri" w:eastAsia="Times New Roman" w:hAnsi="Calibri" w:cs="Times New Roman"/>
                <w:color w:val="000000"/>
                <w:sz w:val="20"/>
                <w:szCs w:val="20"/>
              </w:rPr>
              <w:t>0</w:t>
            </w:r>
            <w:r w:rsidRPr="00E73AD6">
              <w:rPr>
                <w:rFonts w:ascii="Calibri" w:eastAsia="Times New Roman" w:hAnsi="Calibri" w:cs="Times New Roman"/>
                <w:color w:val="000000"/>
                <w:sz w:val="20"/>
                <w:szCs w:val="20"/>
              </w:rPr>
              <w:t xml:space="preserve"> (0.67 - 0.96)</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0.72 (0.57 - 0.92)</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1.15 (0.78 - 1.71)</w:t>
            </w:r>
          </w:p>
        </w:tc>
        <w:tc>
          <w:tcPr>
            <w:tcW w:w="1820" w:type="dxa"/>
            <w:tcBorders>
              <w:top w:val="nil"/>
              <w:left w:val="nil"/>
              <w:bottom w:val="single" w:sz="4" w:space="0" w:color="auto"/>
              <w:right w:val="single" w:sz="4" w:space="0" w:color="auto"/>
            </w:tcBorders>
            <w:shd w:val="clear" w:color="auto" w:fill="auto"/>
            <w:noWrap/>
            <w:vAlign w:val="center"/>
            <w:hideMark/>
          </w:tcPr>
          <w:p w:rsidR="00A917FF" w:rsidRPr="00E73AD6" w:rsidRDefault="00A917FF" w:rsidP="00B53E17">
            <w:pPr>
              <w:spacing w:after="0" w:line="240" w:lineRule="auto"/>
              <w:jc w:val="center"/>
              <w:rPr>
                <w:rFonts w:ascii="Calibri" w:eastAsia="Times New Roman" w:hAnsi="Calibri" w:cs="Times New Roman"/>
                <w:color w:val="000000"/>
                <w:sz w:val="20"/>
                <w:szCs w:val="20"/>
              </w:rPr>
            </w:pPr>
            <w:r w:rsidRPr="00E73AD6">
              <w:rPr>
                <w:rFonts w:ascii="Calibri" w:eastAsia="Times New Roman" w:hAnsi="Calibri" w:cs="Times New Roman"/>
                <w:color w:val="000000"/>
                <w:sz w:val="20"/>
                <w:szCs w:val="20"/>
              </w:rPr>
              <w:t>1.49 (0.8</w:t>
            </w:r>
            <w:r>
              <w:rPr>
                <w:rFonts w:ascii="Calibri" w:eastAsia="Times New Roman" w:hAnsi="Calibri" w:cs="Times New Roman"/>
                <w:color w:val="000000"/>
                <w:sz w:val="20"/>
                <w:szCs w:val="20"/>
              </w:rPr>
              <w:t>0</w:t>
            </w:r>
            <w:r w:rsidRPr="00E73AD6">
              <w:rPr>
                <w:rFonts w:ascii="Calibri" w:eastAsia="Times New Roman" w:hAnsi="Calibri" w:cs="Times New Roman"/>
                <w:color w:val="000000"/>
                <w:sz w:val="20"/>
                <w:szCs w:val="20"/>
              </w:rPr>
              <w:t xml:space="preserve"> - 2.78)</w:t>
            </w:r>
          </w:p>
        </w:tc>
      </w:tr>
    </w:tbl>
    <w:p w:rsidR="00A917FF" w:rsidRDefault="00A917FF" w:rsidP="0052196B">
      <w:pPr>
        <w:jc w:val="both"/>
      </w:pPr>
    </w:p>
    <w:p w:rsidR="00A917FF" w:rsidRDefault="00A917FF" w:rsidP="0052196B">
      <w:pPr>
        <w:jc w:val="both"/>
      </w:pPr>
      <w:r>
        <w:t>Notes: OASIS 4 analysis not including and including WHR in the model. Results are presented in HR (95% CI) from Cox-regression analysis, using the primary model. WHR: waist-to-hip ratio.</w:t>
      </w:r>
    </w:p>
    <w:p w:rsidR="00A917FF" w:rsidRDefault="00A917FF" w:rsidP="0052196B">
      <w:pPr>
        <w:jc w:val="both"/>
      </w:pPr>
    </w:p>
    <w:p w:rsidR="00A917FF" w:rsidRDefault="00A917FF" w:rsidP="0052196B">
      <w:pPr>
        <w:jc w:val="both"/>
        <w:sectPr w:rsidR="00A917FF" w:rsidSect="00081DC9">
          <w:pgSz w:w="15840" w:h="12240" w:orient="landscape"/>
          <w:pgMar w:top="1440" w:right="1440" w:bottom="1134" w:left="1440" w:header="426" w:footer="720" w:gutter="0"/>
          <w:cols w:space="720"/>
          <w:docGrid w:linePitch="360"/>
        </w:sectPr>
      </w:pPr>
    </w:p>
    <w:p w:rsidR="00A917FF" w:rsidRDefault="00A917FF" w:rsidP="0052196B">
      <w:pPr>
        <w:jc w:val="both"/>
      </w:pPr>
      <w:r>
        <w:lastRenderedPageBreak/>
        <w:t>Table 5:</w:t>
      </w:r>
    </w:p>
    <w:tbl>
      <w:tblPr>
        <w:tblW w:w="9774" w:type="dxa"/>
        <w:tblInd w:w="108" w:type="dxa"/>
        <w:tblLayout w:type="fixed"/>
        <w:tblLook w:val="04A0" w:firstRow="1" w:lastRow="0" w:firstColumn="1" w:lastColumn="0" w:noHBand="0" w:noVBand="1"/>
      </w:tblPr>
      <w:tblGrid>
        <w:gridCol w:w="450"/>
        <w:gridCol w:w="360"/>
        <w:gridCol w:w="2160"/>
        <w:gridCol w:w="1530"/>
        <w:gridCol w:w="1800"/>
        <w:gridCol w:w="270"/>
        <w:gridCol w:w="1440"/>
        <w:gridCol w:w="1764"/>
      </w:tblGrid>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4"/>
                <w:szCs w:val="24"/>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Matched cohort 1</w:t>
            </w:r>
          </w:p>
        </w:tc>
        <w:tc>
          <w:tcPr>
            <w:tcW w:w="270" w:type="dxa"/>
            <w:tcBorders>
              <w:left w:val="nil"/>
              <w:bottom w:val="nil"/>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3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Matched cohort 2</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BMI category</w:t>
            </w:r>
          </w:p>
        </w:tc>
        <w:tc>
          <w:tcPr>
            <w:tcW w:w="153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18.5 - 24.9</w:t>
            </w:r>
          </w:p>
        </w:tc>
        <w:tc>
          <w:tcPr>
            <w:tcW w:w="180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25 - 29.9</w:t>
            </w:r>
          </w:p>
        </w:tc>
        <w:tc>
          <w:tcPr>
            <w:tcW w:w="27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18.5 - 24.9</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30 - 34.9</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Participants (n)</w:t>
            </w:r>
          </w:p>
        </w:tc>
        <w:tc>
          <w:tcPr>
            <w:tcW w:w="153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22554</w:t>
            </w:r>
          </w:p>
        </w:tc>
        <w:tc>
          <w:tcPr>
            <w:tcW w:w="180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22554</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11760</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11760</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Mortality (n, %)</w:t>
            </w:r>
          </w:p>
        </w:tc>
        <w:tc>
          <w:tcPr>
            <w:tcW w:w="153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1408 (6.2)</w:t>
            </w:r>
          </w:p>
        </w:tc>
        <w:tc>
          <w:tcPr>
            <w:tcW w:w="180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1154 (5.1)</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658 (5.6)</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528 (4.5)</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HR (95% CI)</w:t>
            </w:r>
          </w:p>
        </w:tc>
        <w:tc>
          <w:tcPr>
            <w:tcW w:w="153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w:t>
            </w:r>
          </w:p>
        </w:tc>
        <w:tc>
          <w:tcPr>
            <w:tcW w:w="180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0.81 (0.74 - 0.88)</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0.85 (0.75 - 0.96)</w:t>
            </w:r>
          </w:p>
        </w:tc>
      </w:tr>
      <w:tr w:rsidR="00A917FF" w:rsidRPr="00FC63FC" w:rsidTr="00B53E17">
        <w:trPr>
          <w:trHeight w:val="300"/>
        </w:trPr>
        <w:tc>
          <w:tcPr>
            <w:tcW w:w="2970" w:type="dxa"/>
            <w:gridSpan w:val="3"/>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Age, years (mean, SD)</w:t>
            </w:r>
          </w:p>
        </w:tc>
        <w:tc>
          <w:tcPr>
            <w:tcW w:w="153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64.4 (12.1)</w:t>
            </w:r>
          </w:p>
        </w:tc>
        <w:tc>
          <w:tcPr>
            <w:tcW w:w="180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64.5 (11.5)</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62.8 (12.1)</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63 (11.2)</w:t>
            </w:r>
          </w:p>
        </w:tc>
      </w:tr>
      <w:tr w:rsidR="00A917FF" w:rsidRPr="00FC63FC" w:rsidTr="00B53E17">
        <w:trPr>
          <w:trHeight w:val="300"/>
        </w:trPr>
        <w:tc>
          <w:tcPr>
            <w:tcW w:w="2970" w:type="dxa"/>
            <w:gridSpan w:val="3"/>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Sex, male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69.6</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69.6</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66.9</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67</w:t>
            </w:r>
          </w:p>
        </w:tc>
      </w:tr>
      <w:tr w:rsidR="00A917FF" w:rsidRPr="00FC63FC" w:rsidTr="00B53E17">
        <w:trPr>
          <w:trHeight w:val="300"/>
        </w:trPr>
        <w:tc>
          <w:tcPr>
            <w:tcW w:w="2970" w:type="dxa"/>
            <w:gridSpan w:val="3"/>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Geographic region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South Africa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0.7</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0.7</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0.9</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Pr>
                <w:rFonts w:ascii="Calibri" w:eastAsia="Times New Roman" w:hAnsi="Calibri" w:cs="Times New Roman"/>
                <w:color w:val="000000"/>
              </w:rPr>
              <w:t>Asia</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16.9</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16.4</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6.5</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5.8</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Australia / New Zealand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2.4</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2.5</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2.8</w:t>
            </w:r>
          </w:p>
        </w:tc>
        <w:tc>
          <w:tcPr>
            <w:tcW w:w="1764"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2.9</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Eastern Europe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23.1</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22.8</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28.2</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28.2</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Latin America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8.4</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8.8</w:t>
            </w:r>
          </w:p>
        </w:tc>
        <w:tc>
          <w:tcPr>
            <w:tcW w:w="270" w:type="dxa"/>
            <w:tcBorders>
              <w:top w:val="nil"/>
              <w:left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8.8</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8.7</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Middle East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2.1</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2.2</w:t>
            </w:r>
          </w:p>
        </w:tc>
        <w:tc>
          <w:tcPr>
            <w:tcW w:w="270" w:type="dxa"/>
            <w:tcBorders>
              <w:top w:val="nil"/>
              <w:left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2.4</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2.5</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North America</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16.6</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16.6</w:t>
            </w:r>
          </w:p>
        </w:tc>
        <w:tc>
          <w:tcPr>
            <w:tcW w:w="270" w:type="dxa"/>
            <w:tcBorders>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20</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20.4</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Western Europe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29.3</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29.9</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30.3</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30.6</w:t>
            </w:r>
          </w:p>
        </w:tc>
      </w:tr>
      <w:tr w:rsidR="00A917FF" w:rsidRPr="00FC63FC" w:rsidTr="00B53E17">
        <w:trPr>
          <w:trHeight w:val="300"/>
        </w:trPr>
        <w:tc>
          <w:tcPr>
            <w:tcW w:w="2970" w:type="dxa"/>
            <w:gridSpan w:val="3"/>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Past history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Hypertension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54.5</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54</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64.6</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64.1</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Diabetes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18.6</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18.3</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23</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22.8</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Dyslipidemia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33</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33</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39.5</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39.8</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Smoking status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Current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34.5</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34.6</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30.5</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30.9</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Former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23.7</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23.7</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28</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28.1</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Never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41.8</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41.7</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41.5</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Myocardial infarction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20</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20</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21.2</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21.1</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Revascularization</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PCI</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9.9</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9.8</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11.3</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11.4</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Times New Roman" w:eastAsia="Times New Roman" w:hAnsi="Times New Roman" w:cs="Times New Roman"/>
                <w:sz w:val="20"/>
                <w:szCs w:val="20"/>
              </w:rPr>
            </w:pPr>
          </w:p>
        </w:tc>
        <w:tc>
          <w:tcPr>
            <w:tcW w:w="2160" w:type="dxa"/>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CABG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5.5</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5.5</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6.5</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6.4</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Heart failure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3.6</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3.6</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3.9</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3.9</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Stroke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5.1</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5.1</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4.7</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4.6</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Peripheral artery disease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6.1</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6.2</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5.6</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5.7</w:t>
            </w:r>
          </w:p>
        </w:tc>
      </w:tr>
      <w:tr w:rsidR="00A917FF" w:rsidRPr="00FC63FC" w:rsidTr="00B53E17">
        <w:trPr>
          <w:trHeight w:val="300"/>
        </w:trPr>
        <w:tc>
          <w:tcPr>
            <w:tcW w:w="450" w:type="dxa"/>
            <w:tcBorders>
              <w:top w:val="nil"/>
              <w:left w:val="nil"/>
              <w:bottom w:val="nil"/>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p>
        </w:tc>
        <w:tc>
          <w:tcPr>
            <w:tcW w:w="2520" w:type="dxa"/>
            <w:gridSpan w:val="2"/>
            <w:tcBorders>
              <w:top w:val="nil"/>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rPr>
                <w:rFonts w:ascii="Calibri" w:eastAsia="Times New Roman" w:hAnsi="Calibri" w:cs="Times New Roman"/>
                <w:color w:val="000000"/>
              </w:rPr>
            </w:pPr>
            <w:r w:rsidRPr="00FC63FC">
              <w:rPr>
                <w:rFonts w:ascii="Calibri" w:eastAsia="Times New Roman" w:hAnsi="Calibri" w:cs="Times New Roman"/>
                <w:color w:val="000000"/>
              </w:rPr>
              <w:t>Cancer</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w:t>
            </w:r>
          </w:p>
        </w:tc>
        <w:tc>
          <w:tcPr>
            <w:tcW w:w="1800" w:type="dxa"/>
            <w:tcBorders>
              <w:top w:val="single" w:sz="4" w:space="0" w:color="auto"/>
              <w:left w:val="nil"/>
              <w:bottom w:val="single" w:sz="4" w:space="0" w:color="auto"/>
              <w:right w:val="nil"/>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w:t>
            </w:r>
          </w:p>
        </w:tc>
        <w:tc>
          <w:tcPr>
            <w:tcW w:w="270" w:type="dxa"/>
            <w:tcBorders>
              <w:top w:val="nil"/>
              <w:left w:val="single" w:sz="4" w:space="0" w:color="auto"/>
              <w:bottom w:val="nil"/>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3.9</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A917FF" w:rsidRPr="00FC63FC" w:rsidRDefault="00A917FF" w:rsidP="00B53E17">
            <w:pPr>
              <w:spacing w:after="0" w:line="240" w:lineRule="auto"/>
              <w:jc w:val="center"/>
              <w:rPr>
                <w:rFonts w:ascii="Calibri" w:eastAsia="Times New Roman" w:hAnsi="Calibri" w:cs="Times New Roman"/>
                <w:color w:val="000000"/>
              </w:rPr>
            </w:pPr>
            <w:r w:rsidRPr="00FC63FC">
              <w:rPr>
                <w:rFonts w:ascii="Calibri" w:eastAsia="Times New Roman" w:hAnsi="Calibri" w:cs="Times New Roman"/>
                <w:color w:val="000000"/>
              </w:rPr>
              <w:t>4.1</w:t>
            </w:r>
          </w:p>
        </w:tc>
      </w:tr>
    </w:tbl>
    <w:p w:rsidR="00A917FF" w:rsidRDefault="00A917FF" w:rsidP="0052196B">
      <w:pPr>
        <w:jc w:val="both"/>
      </w:pPr>
      <w:r>
        <w:t xml:space="preserve"> </w:t>
      </w:r>
    </w:p>
    <w:p w:rsidR="00A917FF" w:rsidRDefault="00A917FF" w:rsidP="0052196B">
      <w:pPr>
        <w:jc w:val="both"/>
      </w:pPr>
      <w:r>
        <w:br w:type="page"/>
      </w:r>
    </w:p>
    <w:p w:rsidR="00A917FF" w:rsidRDefault="00A917FF" w:rsidP="0052196B">
      <w:pPr>
        <w:jc w:val="both"/>
      </w:pPr>
      <w:r>
        <w:lastRenderedPageBreak/>
        <w:t>Table 5 cont.:</w:t>
      </w:r>
    </w:p>
    <w:tbl>
      <w:tblPr>
        <w:tblW w:w="10221" w:type="dxa"/>
        <w:tblInd w:w="93" w:type="dxa"/>
        <w:tblLook w:val="04A0" w:firstRow="1" w:lastRow="0" w:firstColumn="1" w:lastColumn="0" w:noHBand="0" w:noVBand="1"/>
      </w:tblPr>
      <w:tblGrid>
        <w:gridCol w:w="582"/>
        <w:gridCol w:w="709"/>
        <w:gridCol w:w="3260"/>
        <w:gridCol w:w="1418"/>
        <w:gridCol w:w="1276"/>
        <w:gridCol w:w="283"/>
        <w:gridCol w:w="1369"/>
        <w:gridCol w:w="1324"/>
      </w:tblGrid>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709"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260" w:type="dxa"/>
            <w:tcBorders>
              <w:top w:val="nil"/>
              <w:left w:val="nil"/>
              <w:right w:val="nil"/>
            </w:tcBorders>
            <w:shd w:val="clear" w:color="auto" w:fill="auto"/>
            <w:noWrap/>
            <w:vAlign w:val="center"/>
            <w:hideMark/>
          </w:tcPr>
          <w:p w:rsidR="00A917FF" w:rsidRPr="005B5FBE" w:rsidRDefault="00A917FF" w:rsidP="00B53E17">
            <w:pPr>
              <w:pStyle w:val="Sinespaciado"/>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Matched cohort 1</w:t>
            </w:r>
          </w:p>
        </w:tc>
        <w:tc>
          <w:tcPr>
            <w:tcW w:w="283" w:type="dxa"/>
            <w:tcBorders>
              <w:top w:val="nil"/>
              <w:left w:val="nil"/>
              <w:right w:val="nil"/>
            </w:tcBorders>
            <w:shd w:val="clear" w:color="auto" w:fill="auto"/>
            <w:noWrap/>
            <w:vAlign w:val="center"/>
            <w:hideMark/>
          </w:tcPr>
          <w:p w:rsidR="00A917FF" w:rsidRPr="005B5FBE" w:rsidRDefault="00A917FF" w:rsidP="00B53E17">
            <w:pPr>
              <w:pStyle w:val="Sinespaciado"/>
              <w:jc w:val="cente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Matched cohort 2</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709"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260" w:type="dxa"/>
            <w:tcBorders>
              <w:top w:val="nil"/>
              <w:left w:val="nil"/>
              <w:right w:val="single" w:sz="4" w:space="0" w:color="auto"/>
            </w:tcBorders>
            <w:shd w:val="clear" w:color="auto" w:fill="auto"/>
            <w:noWrap/>
            <w:vAlign w:val="center"/>
          </w:tcPr>
          <w:p w:rsidR="00A917FF" w:rsidRPr="005B5FBE" w:rsidRDefault="00A917FF" w:rsidP="00B53E17">
            <w:pPr>
              <w:pStyle w:val="Sinespaciado"/>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18.5 - 24.9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25 - 29.9</w:t>
            </w:r>
          </w:p>
        </w:tc>
        <w:tc>
          <w:tcPr>
            <w:tcW w:w="283" w:type="dxa"/>
            <w:tcBorders>
              <w:top w:val="nil"/>
              <w:left w:val="nil"/>
              <w:right w:val="nil"/>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18.5 - 24.9</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30 - 34.9</w:t>
            </w:r>
          </w:p>
        </w:tc>
      </w:tr>
      <w:tr w:rsidR="00A917FF" w:rsidRPr="005B5FBE" w:rsidTr="00B53E17">
        <w:trPr>
          <w:trHeight w:val="300"/>
        </w:trPr>
        <w:tc>
          <w:tcPr>
            <w:tcW w:w="4551" w:type="dxa"/>
            <w:gridSpan w:val="3"/>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 xml:space="preserve">ACS admission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283" w:type="dxa"/>
            <w:tcBorders>
              <w:left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Admission KK &gt;= 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5.7</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6</w:t>
            </w:r>
          </w:p>
        </w:tc>
        <w:tc>
          <w:tcPr>
            <w:tcW w:w="283" w:type="dxa"/>
            <w:tcBorders>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5.4</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6.1</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Creatinine clearance, ml/min (mean, 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75.2 (21.9)</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75.1 (21.3)</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74.9 (22.1)</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74.7 (21.2)</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Heart rate, bpm (mean, 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74.8 (16.1)</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74.9 (16)</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75.1 (16.1)</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74.9 (15.3)</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SBP, mmHg (mean, 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133.3 (23.8)</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133.3 (23)</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136.9 (24.1)</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136.7 (23.1)</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Hemoglobin, gr/</w:t>
            </w:r>
            <w:proofErr w:type="spellStart"/>
            <w:r w:rsidRPr="005B5FBE">
              <w:t>dL</w:t>
            </w:r>
            <w:proofErr w:type="spellEnd"/>
            <w:r w:rsidRPr="005B5FBE">
              <w:t xml:space="preserve"> (mean, SD)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13.7 (1.7)</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13.7 (1.7)</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13.9 (1.6)</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13.9 (1.6)</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Discharge diagnosis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709"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260" w:type="dxa"/>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UA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28</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28</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29</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28.5</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709"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260" w:type="dxa"/>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NSTEMI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34.1</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34.3</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36.6</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37</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709"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260" w:type="dxa"/>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STEMI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37.9</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37.7</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34.4</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34.5</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HF during admission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5.2</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5</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4.7</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4.8</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IABP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1.6</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1.6</w:t>
            </w:r>
          </w:p>
        </w:tc>
        <w:tc>
          <w:tcPr>
            <w:tcW w:w="283" w:type="dxa"/>
            <w:tcBorders>
              <w:top w:val="nil"/>
              <w:left w:val="single" w:sz="4" w:space="0" w:color="auto"/>
              <w:bottom w:val="nil"/>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1.5</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1.4</w:t>
            </w:r>
          </w:p>
        </w:tc>
      </w:tr>
      <w:tr w:rsidR="00A917FF" w:rsidRPr="005B5FBE" w:rsidTr="00B53E17">
        <w:trPr>
          <w:trHeight w:val="300"/>
        </w:trPr>
        <w:tc>
          <w:tcPr>
            <w:tcW w:w="582" w:type="dxa"/>
            <w:tcBorders>
              <w:top w:val="nil"/>
              <w:left w:val="nil"/>
              <w:bottom w:val="nil"/>
              <w:right w:val="nil"/>
            </w:tcBorders>
            <w:shd w:val="clear" w:color="auto" w:fill="auto"/>
            <w:noWrap/>
            <w:vAlign w:val="center"/>
            <w:hideMark/>
          </w:tcPr>
          <w:p w:rsidR="00A917FF" w:rsidRPr="005B5FBE" w:rsidRDefault="00A917FF" w:rsidP="00B53E17">
            <w:pPr>
              <w:pStyle w:val="Sinespaciado"/>
            </w:pPr>
          </w:p>
        </w:tc>
        <w:tc>
          <w:tcPr>
            <w:tcW w:w="3969" w:type="dxa"/>
            <w:gridSpan w:val="2"/>
            <w:tcBorders>
              <w:top w:val="nil"/>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pPr>
            <w:r w:rsidRPr="005B5FBE">
              <w:t>LM or 3-VD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35.8</w:t>
            </w:r>
          </w:p>
        </w:tc>
        <w:tc>
          <w:tcPr>
            <w:tcW w:w="1276" w:type="dxa"/>
            <w:tcBorders>
              <w:top w:val="single" w:sz="4" w:space="0" w:color="auto"/>
              <w:left w:val="nil"/>
              <w:bottom w:val="single" w:sz="4" w:space="0" w:color="auto"/>
              <w:right w:val="nil"/>
            </w:tcBorders>
            <w:shd w:val="clear" w:color="auto" w:fill="auto"/>
            <w:noWrap/>
            <w:vAlign w:val="center"/>
            <w:hideMark/>
          </w:tcPr>
          <w:p w:rsidR="00A917FF" w:rsidRPr="005B5FBE" w:rsidRDefault="00A917FF" w:rsidP="00B53E17">
            <w:pPr>
              <w:pStyle w:val="Sinespaciado"/>
              <w:jc w:val="center"/>
            </w:pPr>
            <w:r w:rsidRPr="005B5FBE">
              <w:t>35</w:t>
            </w:r>
          </w:p>
        </w:tc>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35.3</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rsidR="00A917FF" w:rsidRPr="005B5FBE" w:rsidRDefault="00A917FF" w:rsidP="00B53E17">
            <w:pPr>
              <w:pStyle w:val="Sinespaciado"/>
              <w:jc w:val="center"/>
            </w:pPr>
            <w:r w:rsidRPr="005B5FBE">
              <w:t>33.8</w:t>
            </w:r>
          </w:p>
        </w:tc>
      </w:tr>
    </w:tbl>
    <w:p w:rsidR="00A917FF" w:rsidRDefault="00A917FF" w:rsidP="0052196B">
      <w:pPr>
        <w:jc w:val="both"/>
      </w:pPr>
    </w:p>
    <w:p w:rsidR="00A917FF" w:rsidRDefault="00A917FF" w:rsidP="0052196B">
      <w:pPr>
        <w:jc w:val="both"/>
      </w:pPr>
      <w:r>
        <w:t xml:space="preserve">Notes: Propensity score matched cohorts, for the overweight category (matched cohort 1) and type I obesity (matched cohort 2). IABP: intra-aortic balloon pump; LM: left main coronary artery disease, 3-VD: three vessel coronary artery disease, KK: </w:t>
      </w:r>
      <w:proofErr w:type="spellStart"/>
      <w:r>
        <w:t>Killip</w:t>
      </w:r>
      <w:proofErr w:type="spellEnd"/>
      <w:r>
        <w:t xml:space="preserve"> &amp; Kimball. </w:t>
      </w:r>
      <w:r>
        <w:br w:type="page"/>
      </w:r>
    </w:p>
    <w:p w:rsidR="00A917FF" w:rsidRDefault="00A917FF" w:rsidP="0052196B">
      <w:pPr>
        <w:jc w:val="both"/>
      </w:pPr>
      <w:r>
        <w:lastRenderedPageBreak/>
        <w:t>Table 6:</w:t>
      </w:r>
    </w:p>
    <w:tbl>
      <w:tblPr>
        <w:tblW w:w="4541" w:type="dxa"/>
        <w:jc w:val="center"/>
        <w:tblLook w:val="04A0" w:firstRow="1" w:lastRow="0" w:firstColumn="1" w:lastColumn="0" w:noHBand="0" w:noVBand="1"/>
      </w:tblPr>
      <w:tblGrid>
        <w:gridCol w:w="639"/>
        <w:gridCol w:w="693"/>
        <w:gridCol w:w="606"/>
        <w:gridCol w:w="606"/>
        <w:gridCol w:w="1040"/>
        <w:gridCol w:w="957"/>
      </w:tblGrid>
      <w:tr w:rsidR="00CB12B7" w:rsidRPr="00FD44EF" w:rsidTr="00CB12B7">
        <w:trPr>
          <w:trHeight w:val="255"/>
          <w:jc w:val="center"/>
        </w:trPr>
        <w:tc>
          <w:tcPr>
            <w:tcW w:w="454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BMI 25 - 29.9</w:t>
            </w:r>
          </w:p>
        </w:tc>
      </w:tr>
      <w:tr w:rsidR="00CB12B7" w:rsidRPr="00FD44EF" w:rsidTr="00CB12B7">
        <w:trPr>
          <w:trHeight w:val="28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r w:rsidRPr="00FD44EF">
              <w:rPr>
                <w:rFonts w:ascii="Arial" w:eastAsia="Times New Roman" w:hAnsi="Arial" w:cs="Arial"/>
                <w:color w:val="000000"/>
                <w:sz w:val="20"/>
                <w:szCs w:val="20"/>
              </w:rPr>
              <w:t>ARR</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r w:rsidRPr="00FD44EF">
              <w:rPr>
                <w:rFonts w:ascii="Arial" w:eastAsia="Times New Roman" w:hAnsi="Arial" w:cs="Arial"/>
                <w:color w:val="000000"/>
                <w:sz w:val="20"/>
                <w:szCs w:val="20"/>
              </w:rPr>
              <w:t>RR</w:t>
            </w:r>
            <w:r w:rsidRPr="00FD44EF">
              <w:rPr>
                <w:rFonts w:ascii="Arial" w:eastAsia="Times New Roman" w:hAnsi="Arial" w:cs="Arial"/>
                <w:b/>
                <w:bCs/>
                <w:color w:val="000000"/>
                <w:sz w:val="20"/>
                <w:szCs w:val="20"/>
                <w:vertAlign w:val="subscript"/>
              </w:rPr>
              <w:t>CD</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r w:rsidRPr="00FD44EF">
              <w:rPr>
                <w:rFonts w:ascii="Arial" w:eastAsia="Times New Roman" w:hAnsi="Arial" w:cs="Arial"/>
                <w:color w:val="000000"/>
                <w:sz w:val="20"/>
                <w:szCs w:val="20"/>
              </w:rPr>
              <w:t>P</w:t>
            </w:r>
            <w:r w:rsidRPr="00FD44EF">
              <w:rPr>
                <w:rFonts w:ascii="Arial" w:eastAsia="Times New Roman" w:hAnsi="Arial" w:cs="Arial"/>
                <w:b/>
                <w:bCs/>
                <w:color w:val="000000"/>
                <w:sz w:val="20"/>
                <w:szCs w:val="20"/>
                <w:vertAlign w:val="subscript"/>
              </w:rPr>
              <w:t>C1</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r w:rsidRPr="00FD44EF">
              <w:rPr>
                <w:rFonts w:ascii="Arial" w:eastAsia="Times New Roman" w:hAnsi="Arial" w:cs="Arial"/>
                <w:color w:val="000000"/>
                <w:sz w:val="20"/>
                <w:szCs w:val="20"/>
              </w:rPr>
              <w:t>P</w:t>
            </w:r>
            <w:r w:rsidRPr="00FD44EF">
              <w:rPr>
                <w:rFonts w:ascii="Arial" w:eastAsia="Times New Roman" w:hAnsi="Arial" w:cs="Arial"/>
                <w:b/>
                <w:bCs/>
                <w:color w:val="000000"/>
                <w:sz w:val="20"/>
                <w:szCs w:val="20"/>
                <w:vertAlign w:val="subscript"/>
              </w:rPr>
              <w:t>C0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proofErr w:type="spellStart"/>
            <w:r w:rsidRPr="00FD44EF">
              <w:rPr>
                <w:rFonts w:ascii="Arial" w:eastAsia="Times New Roman" w:hAnsi="Arial" w:cs="Arial"/>
                <w:color w:val="000000"/>
                <w:sz w:val="20"/>
                <w:szCs w:val="20"/>
              </w:rPr>
              <w:t>RR</w:t>
            </w:r>
            <w:r w:rsidRPr="00FD44EF">
              <w:rPr>
                <w:rFonts w:ascii="Arial" w:eastAsia="Times New Roman" w:hAnsi="Arial" w:cs="Arial"/>
                <w:b/>
                <w:bCs/>
                <w:color w:val="000000"/>
                <w:sz w:val="20"/>
                <w:szCs w:val="20"/>
                <w:vertAlign w:val="subscript"/>
              </w:rPr>
              <w:t>adjusted</w:t>
            </w:r>
            <w:proofErr w:type="spellEnd"/>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color w:val="000000"/>
                <w:sz w:val="20"/>
                <w:szCs w:val="20"/>
              </w:rPr>
            </w:pPr>
            <w:r w:rsidRPr="00FD44EF">
              <w:rPr>
                <w:rFonts w:ascii="Arial" w:eastAsia="Times New Roman" w:hAnsi="Arial" w:cs="Arial"/>
                <w:color w:val="000000"/>
                <w:sz w:val="20"/>
                <w:szCs w:val="20"/>
              </w:rPr>
              <w:t>% Bias</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1.50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2.38</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4.55</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1.14</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8.33</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11.54</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5.50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1.06</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15.52</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1.50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1.17</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4.76</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1.13</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9.09</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1.05</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16.67</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1.00</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23.08</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4.50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0.98</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25.93</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5.50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0.94</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31.03</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1.50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7.14</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2.50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1.03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19.57</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25.00</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0.91</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34.62</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5.00</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0.25</w:t>
            </w:r>
          </w:p>
        </w:tc>
        <w:tc>
          <w:tcPr>
            <w:tcW w:w="606"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0.86</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42.86</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1.50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1.12</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9.52</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1.04</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18.18</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2.50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0.98</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26.09</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0.92</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33.33</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0.84</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46.15</w:t>
            </w:r>
          </w:p>
        </w:tc>
      </w:tr>
      <w:tr w:rsidR="00CB12B7" w:rsidRPr="00FD44EF" w:rsidTr="00CB12B7">
        <w:trPr>
          <w:trHeight w:val="255"/>
          <w:jc w:val="center"/>
        </w:trPr>
        <w:tc>
          <w:tcPr>
            <w:tcW w:w="639"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1.23</w:t>
            </w:r>
          </w:p>
        </w:tc>
        <w:tc>
          <w:tcPr>
            <w:tcW w:w="693"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5.00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0.30</w:t>
            </w:r>
          </w:p>
        </w:tc>
        <w:tc>
          <w:tcPr>
            <w:tcW w:w="606"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0.10</w:t>
            </w:r>
          </w:p>
        </w:tc>
        <w:tc>
          <w:tcPr>
            <w:tcW w:w="1040" w:type="dxa"/>
            <w:tcBorders>
              <w:top w:val="nil"/>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0.78</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CB12B7" w:rsidRPr="00FD44EF" w:rsidRDefault="00CB12B7" w:rsidP="00B53E17">
            <w:pPr>
              <w:spacing w:after="0" w:line="240" w:lineRule="auto"/>
              <w:jc w:val="center"/>
              <w:rPr>
                <w:rFonts w:ascii="Arial" w:eastAsia="Times New Roman" w:hAnsi="Arial" w:cs="Arial"/>
                <w:sz w:val="20"/>
                <w:szCs w:val="20"/>
              </w:rPr>
            </w:pPr>
            <w:r w:rsidRPr="00FD44EF">
              <w:rPr>
                <w:rFonts w:ascii="Arial" w:eastAsia="Times New Roman" w:hAnsi="Arial" w:cs="Arial"/>
                <w:sz w:val="20"/>
                <w:szCs w:val="20"/>
              </w:rPr>
              <w:t>57.14</w:t>
            </w:r>
          </w:p>
        </w:tc>
      </w:tr>
    </w:tbl>
    <w:p w:rsidR="00A917FF" w:rsidRDefault="00A917FF" w:rsidP="0052196B">
      <w:pPr>
        <w:jc w:val="both"/>
      </w:pPr>
    </w:p>
    <w:p w:rsidR="00A917FF" w:rsidRPr="00B2748C" w:rsidRDefault="00A917FF" w:rsidP="0052196B">
      <w:pPr>
        <w:jc w:val="both"/>
      </w:pPr>
      <w:r>
        <w:t xml:space="preserve">Notes: Array analysis for </w:t>
      </w:r>
      <w:r w:rsidR="00CB12B7">
        <w:t xml:space="preserve">the </w:t>
      </w:r>
      <w:r>
        <w:t xml:space="preserve">overweight </w:t>
      </w:r>
      <w:r w:rsidR="00CB12B7">
        <w:t xml:space="preserve">category compared to normal weight patients. </w:t>
      </w:r>
      <w:r>
        <w:t>AAR of 1.23 corresponds to a HR 0.81 in the overweight category. AAR: apparent relative risk, RR</w:t>
      </w:r>
      <w:r>
        <w:rPr>
          <w:vertAlign w:val="subscript"/>
        </w:rPr>
        <w:t>CD</w:t>
      </w:r>
      <w:r>
        <w:t>: relative risk between the confounder and the disease, P</w:t>
      </w:r>
      <w:r>
        <w:rPr>
          <w:vertAlign w:val="subscript"/>
        </w:rPr>
        <w:t>c1</w:t>
      </w:r>
      <w:r>
        <w:t>: confounder prevalence in the exposed group, P</w:t>
      </w:r>
      <w:r>
        <w:rPr>
          <w:vertAlign w:val="subscript"/>
        </w:rPr>
        <w:t>C0</w:t>
      </w:r>
      <w:r>
        <w:t xml:space="preserve">: confounder prevalence in the non-exposed group, </w:t>
      </w:r>
      <w:proofErr w:type="spellStart"/>
      <w:r>
        <w:t>RR</w:t>
      </w:r>
      <w:r>
        <w:rPr>
          <w:vertAlign w:val="subscript"/>
        </w:rPr>
        <w:t>adjusted</w:t>
      </w:r>
      <w:proofErr w:type="spellEnd"/>
      <w:r>
        <w:t>: adjusted or “real” relative risk.</w:t>
      </w:r>
    </w:p>
    <w:p w:rsidR="00A917FF" w:rsidRDefault="00A917FF" w:rsidP="0052196B">
      <w:pPr>
        <w:jc w:val="both"/>
      </w:pPr>
    </w:p>
    <w:p w:rsidR="00A917FF" w:rsidRPr="001D19F4" w:rsidRDefault="00A917FF" w:rsidP="0052196B">
      <w:pPr>
        <w:jc w:val="both"/>
        <w:sectPr w:rsidR="00A917FF" w:rsidRPr="001D19F4" w:rsidSect="00081DC9">
          <w:pgSz w:w="12240" w:h="15840"/>
          <w:pgMar w:top="1440" w:right="1134" w:bottom="1440" w:left="1440" w:header="426" w:footer="720" w:gutter="0"/>
          <w:cols w:space="720"/>
          <w:docGrid w:linePitch="360"/>
        </w:sectPr>
      </w:pPr>
    </w:p>
    <w:p w:rsidR="00A917FF" w:rsidRDefault="00A917FF" w:rsidP="0052196B">
      <w:pPr>
        <w:pStyle w:val="Sinespaciado"/>
        <w:spacing w:line="480" w:lineRule="auto"/>
        <w:jc w:val="both"/>
        <w:rPr>
          <w:noProof/>
          <w:sz w:val="24"/>
          <w:szCs w:val="24"/>
        </w:rPr>
      </w:pPr>
      <w:r>
        <w:rPr>
          <w:noProof/>
          <w:sz w:val="24"/>
          <w:szCs w:val="24"/>
        </w:rPr>
        <w:lastRenderedPageBreak/>
        <w:t>Figure 1:</w:t>
      </w:r>
    </w:p>
    <w:p w:rsidR="00A917FF" w:rsidRDefault="00A917FF" w:rsidP="0052196B">
      <w:pPr>
        <w:pStyle w:val="Sinespaciado"/>
        <w:spacing w:line="480" w:lineRule="auto"/>
        <w:jc w:val="both"/>
        <w:rPr>
          <w:noProof/>
          <w:sz w:val="24"/>
          <w:szCs w:val="24"/>
        </w:rPr>
      </w:pPr>
      <w:r>
        <w:rPr>
          <w:noProof/>
          <w:sz w:val="24"/>
          <w:szCs w:val="24"/>
        </w:rPr>
        <w:drawing>
          <wp:inline distT="0" distB="0" distL="0" distR="0" wp14:anchorId="42A36A95" wp14:editId="123C9F30">
            <wp:extent cx="5492822" cy="318196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420" cy="3182891"/>
                    </a:xfrm>
                    <a:prstGeom prst="rect">
                      <a:avLst/>
                    </a:prstGeom>
                    <a:noFill/>
                  </pic:spPr>
                </pic:pic>
              </a:graphicData>
            </a:graphic>
          </wp:inline>
        </w:drawing>
      </w:r>
    </w:p>
    <w:p w:rsidR="00A917FF" w:rsidRDefault="00A917FF" w:rsidP="00CB12B7">
      <w:pPr>
        <w:pStyle w:val="Sinespaciado"/>
        <w:spacing w:line="480" w:lineRule="auto"/>
        <w:rPr>
          <w:noProof/>
          <w:sz w:val="24"/>
          <w:szCs w:val="24"/>
        </w:rPr>
      </w:pPr>
      <w:r>
        <w:rPr>
          <w:noProof/>
          <w:sz w:val="24"/>
          <w:szCs w:val="24"/>
        </w:rPr>
        <w:t xml:space="preserve">Notes: Study flowchart. Implausible BMI </w:t>
      </w:r>
      <w:r w:rsidRPr="00D51048">
        <w:rPr>
          <w:noProof/>
          <w:sz w:val="24"/>
          <w:szCs w:val="24"/>
        </w:rPr>
        <w:t xml:space="preserve">data </w:t>
      </w:r>
      <w:r>
        <w:rPr>
          <w:noProof/>
          <w:sz w:val="24"/>
          <w:szCs w:val="24"/>
        </w:rPr>
        <w:t>defined as &lt; 10 or &gt; 80 kg/m</w:t>
      </w:r>
      <w:r>
        <w:rPr>
          <w:noProof/>
          <w:sz w:val="24"/>
          <w:szCs w:val="24"/>
          <w:vertAlign w:val="superscript"/>
        </w:rPr>
        <w:t>2</w:t>
      </w:r>
      <w:r w:rsidRPr="00D51048">
        <w:rPr>
          <w:noProof/>
          <w:sz w:val="24"/>
          <w:szCs w:val="24"/>
        </w:rPr>
        <w:t>.</w:t>
      </w:r>
      <w:r>
        <w:rPr>
          <w:noProof/>
          <w:sz w:val="24"/>
          <w:szCs w:val="24"/>
        </w:rPr>
        <w:t xml:space="preserve"> ACS: acute coronary syndrome. </w:t>
      </w:r>
      <w:r>
        <w:t>NSTEMI: non-ST segment elevation myocardial infarction, STEMI: ST segment elevation myocardial infarction.</w:t>
      </w:r>
    </w:p>
    <w:p w:rsidR="00A917FF" w:rsidRDefault="00A917FF" w:rsidP="0052196B">
      <w:pPr>
        <w:jc w:val="both"/>
        <w:rPr>
          <w:noProof/>
          <w:sz w:val="24"/>
          <w:szCs w:val="24"/>
        </w:rPr>
      </w:pPr>
      <w:r>
        <w:rPr>
          <w:noProof/>
          <w:sz w:val="24"/>
          <w:szCs w:val="24"/>
        </w:rPr>
        <w:br w:type="page"/>
      </w:r>
    </w:p>
    <w:p w:rsidR="00A917FF" w:rsidRDefault="00A917FF" w:rsidP="0052196B">
      <w:pPr>
        <w:pStyle w:val="Sinespaciado"/>
        <w:spacing w:line="480" w:lineRule="auto"/>
        <w:jc w:val="both"/>
        <w:rPr>
          <w:noProof/>
          <w:sz w:val="24"/>
          <w:szCs w:val="24"/>
        </w:rPr>
      </w:pPr>
      <w:r>
        <w:rPr>
          <w:noProof/>
          <w:sz w:val="24"/>
          <w:szCs w:val="24"/>
        </w:rPr>
        <w:lastRenderedPageBreak/>
        <w:t xml:space="preserve">Figure 2: </w:t>
      </w:r>
    </w:p>
    <w:p w:rsidR="00A917FF" w:rsidRDefault="000F1FBC" w:rsidP="000F1FBC">
      <w:pPr>
        <w:pStyle w:val="Sinespaciado"/>
        <w:spacing w:line="480" w:lineRule="auto"/>
        <w:jc w:val="center"/>
        <w:rPr>
          <w:noProof/>
          <w:sz w:val="24"/>
          <w:szCs w:val="24"/>
        </w:rPr>
      </w:pPr>
      <w:r w:rsidRPr="000F1FBC">
        <w:rPr>
          <w:noProof/>
          <w:sz w:val="24"/>
          <w:szCs w:val="24"/>
        </w:rPr>
        <w:drawing>
          <wp:inline distT="0" distB="0" distL="0" distR="0" wp14:anchorId="17F288BE" wp14:editId="4E74A4AF">
            <wp:extent cx="4863152" cy="5349828"/>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3152" cy="53498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917FF" w:rsidRPr="00626E53" w:rsidRDefault="00A917FF" w:rsidP="00CB12B7">
      <w:pPr>
        <w:pStyle w:val="Sinespaciado"/>
        <w:jc w:val="both"/>
      </w:pPr>
      <w:r>
        <w:t xml:space="preserve">Notes: BMI and all-cause mortality from restricted cubic spline analysis with 4 knots. Data is presented in HR (95% confidence intervals). The multivariate Cox-regression model includes age, sex, geographic region (Asia, Eastern Europe, Western Europe, Latin America, North America, Middle East, South Africa, Australia/New Zealand), smoking status, discharge diagnosis, previous stroke, previous heart failure, previous coronary revascularization, previous myocardial infarction, previous peripheral vascular disease, previous cancer, </w:t>
      </w:r>
      <w:proofErr w:type="spellStart"/>
      <w:r>
        <w:t>Killip</w:t>
      </w:r>
      <w:proofErr w:type="spellEnd"/>
      <w:r>
        <w:t xml:space="preserve"> &amp; Kimball </w:t>
      </w:r>
      <w:r>
        <w:rPr>
          <w:lang w:val="en-CA"/>
        </w:rPr>
        <w:t>&gt;= 2 on admission, and creatinine clearance. Vertical lines denote BMI categories thresholds. Note that, for this specific plot, hazard ratios are relative to 30 kg/m</w:t>
      </w:r>
      <w:r>
        <w:rPr>
          <w:vertAlign w:val="superscript"/>
          <w:lang w:val="en-CA"/>
        </w:rPr>
        <w:t>2</w:t>
      </w:r>
      <w:r>
        <w:rPr>
          <w:lang w:val="en-CA"/>
        </w:rPr>
        <w:t>, lowest risk BMI value.</w:t>
      </w:r>
    </w:p>
    <w:p w:rsidR="00A917FF" w:rsidRDefault="00A917FF" w:rsidP="0052196B">
      <w:pPr>
        <w:pStyle w:val="Sinespaciado"/>
        <w:spacing w:line="480" w:lineRule="auto"/>
        <w:jc w:val="both"/>
        <w:rPr>
          <w:noProof/>
          <w:sz w:val="24"/>
          <w:szCs w:val="24"/>
        </w:rPr>
        <w:sectPr w:rsidR="00A917FF" w:rsidSect="00081DC9">
          <w:pgSz w:w="12240" w:h="15840"/>
          <w:pgMar w:top="1440" w:right="1440" w:bottom="1440" w:left="1440" w:header="426" w:footer="720" w:gutter="0"/>
          <w:cols w:space="720"/>
          <w:docGrid w:linePitch="360"/>
        </w:sectPr>
      </w:pPr>
    </w:p>
    <w:p w:rsidR="00A917FF" w:rsidRDefault="00A917FF" w:rsidP="0052196B">
      <w:pPr>
        <w:pStyle w:val="Sinespaciado"/>
        <w:spacing w:line="480" w:lineRule="auto"/>
        <w:jc w:val="both"/>
        <w:rPr>
          <w:noProof/>
          <w:sz w:val="24"/>
          <w:szCs w:val="24"/>
        </w:rPr>
      </w:pPr>
      <w:r>
        <w:rPr>
          <w:noProof/>
          <w:sz w:val="24"/>
          <w:szCs w:val="24"/>
        </w:rPr>
        <w:lastRenderedPageBreak/>
        <w:t>Figure 3A and 3B:</w:t>
      </w:r>
    </w:p>
    <w:p w:rsidR="00A917FF" w:rsidRDefault="00A917FF" w:rsidP="0052196B">
      <w:pPr>
        <w:pStyle w:val="Sinespaciado"/>
        <w:spacing w:line="480" w:lineRule="auto"/>
        <w:jc w:val="both"/>
        <w:rPr>
          <w:noProof/>
          <w:sz w:val="24"/>
          <w:szCs w:val="24"/>
        </w:rPr>
      </w:pPr>
      <w:r>
        <w:rPr>
          <w:noProof/>
          <w:sz w:val="24"/>
          <w:szCs w:val="24"/>
        </w:rPr>
        <w:drawing>
          <wp:anchor distT="0" distB="0" distL="114300" distR="114300" simplePos="0" relativeHeight="251651072" behindDoc="0" locked="0" layoutInCell="1" allowOverlap="1" wp14:anchorId="61783E06" wp14:editId="5CF04D83">
            <wp:simplePos x="0" y="0"/>
            <wp:positionH relativeFrom="column">
              <wp:posOffset>4067175</wp:posOffset>
            </wp:positionH>
            <wp:positionV relativeFrom="paragraph">
              <wp:posOffset>162560</wp:posOffset>
            </wp:positionV>
            <wp:extent cx="3010535" cy="374840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0535" cy="374840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0048" behindDoc="0" locked="0" layoutInCell="1" allowOverlap="1" wp14:anchorId="09DA728F" wp14:editId="1C6994DE">
            <wp:simplePos x="0" y="0"/>
            <wp:positionH relativeFrom="column">
              <wp:posOffset>237490</wp:posOffset>
            </wp:positionH>
            <wp:positionV relativeFrom="paragraph">
              <wp:posOffset>164795</wp:posOffset>
            </wp:positionV>
            <wp:extent cx="3010535" cy="370586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0535" cy="37058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A)</w:t>
      </w:r>
      <w:r>
        <w:rPr>
          <w:noProof/>
          <w:sz w:val="24"/>
          <w:szCs w:val="24"/>
        </w:rPr>
        <w:tab/>
        <w:t xml:space="preserve">                                                                                               B)</w:t>
      </w: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Default="00A917FF" w:rsidP="0052196B">
      <w:pPr>
        <w:pStyle w:val="Sinespaciado"/>
        <w:spacing w:line="480" w:lineRule="auto"/>
        <w:jc w:val="both"/>
        <w:rPr>
          <w:noProof/>
          <w:sz w:val="24"/>
          <w:szCs w:val="24"/>
        </w:rPr>
      </w:pPr>
    </w:p>
    <w:p w:rsidR="00A917FF" w:rsidRPr="00626E53" w:rsidRDefault="00A917FF" w:rsidP="0052196B">
      <w:pPr>
        <w:pStyle w:val="Sinespaciado"/>
        <w:jc w:val="both"/>
      </w:pPr>
      <w:r w:rsidRPr="00DB34DC">
        <w:rPr>
          <w:noProof/>
          <w:sz w:val="24"/>
          <w:szCs w:val="24"/>
        </w:rPr>
        <w:t xml:space="preserve">Note: BMI and all-cause mortality by sex (A) and geographic region (B). </w:t>
      </w:r>
      <w:r w:rsidRPr="00DB34DC">
        <w:rPr>
          <w:sz w:val="24"/>
          <w:szCs w:val="24"/>
        </w:rPr>
        <w:t>BMI and all-cause mortality from restricted cubic spline analysis with 4 knots. Data is presented in HR (95% confidence intervals)</w:t>
      </w:r>
      <w:r>
        <w:rPr>
          <w:sz w:val="24"/>
          <w:szCs w:val="24"/>
        </w:rPr>
        <w:t>, results from the primary model with interaction term</w:t>
      </w:r>
      <w:r w:rsidRPr="00DB34DC">
        <w:rPr>
          <w:sz w:val="24"/>
          <w:szCs w:val="24"/>
        </w:rPr>
        <w:t>.</w:t>
      </w:r>
      <w:r>
        <w:rPr>
          <w:sz w:val="24"/>
          <w:szCs w:val="24"/>
        </w:rPr>
        <w:t xml:space="preserve"> </w:t>
      </w:r>
      <w:r>
        <w:rPr>
          <w:lang w:val="en-CA"/>
        </w:rPr>
        <w:t xml:space="preserve">Note that, for this </w:t>
      </w:r>
      <w:r w:rsidRPr="00A67BFA">
        <w:rPr>
          <w:noProof/>
          <w:lang w:val="en-CA"/>
        </w:rPr>
        <w:t>specific</w:t>
      </w:r>
      <w:r>
        <w:rPr>
          <w:lang w:val="en-CA"/>
        </w:rPr>
        <w:t xml:space="preserve"> plot, hazard ratios are relative to 30 kg/m</w:t>
      </w:r>
      <w:r>
        <w:rPr>
          <w:vertAlign w:val="superscript"/>
          <w:lang w:val="en-CA"/>
        </w:rPr>
        <w:t>2</w:t>
      </w:r>
      <w:r>
        <w:rPr>
          <w:lang w:val="en-CA"/>
        </w:rPr>
        <w:t>, lowest risk BMI value.</w:t>
      </w:r>
    </w:p>
    <w:p w:rsidR="00A917FF" w:rsidRDefault="00A917FF" w:rsidP="0052196B">
      <w:pPr>
        <w:pStyle w:val="Sinespaciado"/>
        <w:jc w:val="both"/>
        <w:rPr>
          <w:sz w:val="24"/>
          <w:szCs w:val="24"/>
        </w:rPr>
      </w:pPr>
    </w:p>
    <w:p w:rsidR="00A917FF" w:rsidRDefault="00A917FF" w:rsidP="0052196B">
      <w:pPr>
        <w:jc w:val="both"/>
        <w:rPr>
          <w:sz w:val="24"/>
          <w:szCs w:val="24"/>
        </w:rPr>
      </w:pPr>
      <w:r>
        <w:rPr>
          <w:sz w:val="24"/>
          <w:szCs w:val="24"/>
        </w:rPr>
        <w:br w:type="page"/>
      </w:r>
    </w:p>
    <w:p w:rsidR="00A917FF" w:rsidRDefault="00A917FF" w:rsidP="0052196B">
      <w:pPr>
        <w:pStyle w:val="Sinespaciado"/>
        <w:jc w:val="both"/>
        <w:rPr>
          <w:noProof/>
          <w:sz w:val="24"/>
          <w:szCs w:val="24"/>
        </w:rPr>
      </w:pPr>
      <w:r>
        <w:rPr>
          <w:sz w:val="24"/>
          <w:szCs w:val="24"/>
        </w:rPr>
        <w:lastRenderedPageBreak/>
        <w:t>Figure 4:</w:t>
      </w:r>
    </w:p>
    <w:p w:rsidR="00A917FF" w:rsidRDefault="00A917FF" w:rsidP="0052196B">
      <w:pPr>
        <w:jc w:val="both"/>
      </w:pPr>
      <w:r>
        <w:rPr>
          <w:noProof/>
          <w:sz w:val="24"/>
          <w:szCs w:val="24"/>
        </w:rPr>
        <w:drawing>
          <wp:anchor distT="0" distB="0" distL="114300" distR="114300" simplePos="0" relativeHeight="251652096" behindDoc="0" locked="0" layoutInCell="1" allowOverlap="1" wp14:anchorId="1980D5FA" wp14:editId="7E9D9CAD">
            <wp:simplePos x="0" y="0"/>
            <wp:positionH relativeFrom="column">
              <wp:posOffset>-27305</wp:posOffset>
            </wp:positionH>
            <wp:positionV relativeFrom="paragraph">
              <wp:posOffset>116205</wp:posOffset>
            </wp:positionV>
            <wp:extent cx="8227695" cy="2847975"/>
            <wp:effectExtent l="0" t="0" r="1905" b="952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mark analysis.jpg"/>
                    <pic:cNvPicPr/>
                  </pic:nvPicPr>
                  <pic:blipFill rotWithShape="1">
                    <a:blip r:embed="rId35" cstate="print">
                      <a:extLst>
                        <a:ext uri="{28A0092B-C50C-407E-A947-70E740481C1C}">
                          <a14:useLocalDpi xmlns:a14="http://schemas.microsoft.com/office/drawing/2010/main" val="0"/>
                        </a:ext>
                      </a:extLst>
                    </a:blip>
                    <a:srcRect t="6270"/>
                    <a:stretch/>
                  </pic:blipFill>
                  <pic:spPr bwMode="auto">
                    <a:xfrm>
                      <a:off x="0" y="0"/>
                      <a:ext cx="822769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r>
        <w:t xml:space="preserve">Notes:  30-day all-cause mortality landmark analysis. Survival plot is generated by multivariate analysis using the primary model. X axis is interrupted at the 30-day line, and starting from zero towards the right part of the plot. For ease in visualization, only results from the normal weight, overweight and type I obesity are presented. </w:t>
      </w: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pStyle w:val="Sinespaciado"/>
        <w:jc w:val="both"/>
      </w:pPr>
      <w:r>
        <w:lastRenderedPageBreak/>
        <w:t>Figure 5:</w:t>
      </w:r>
    </w:p>
    <w:p w:rsidR="00A917FF" w:rsidRDefault="00A917FF" w:rsidP="0052196B">
      <w:pPr>
        <w:pStyle w:val="Sinespaciado"/>
        <w:jc w:val="both"/>
      </w:pPr>
    </w:p>
    <w:p w:rsidR="00A917FF" w:rsidRDefault="00A917FF" w:rsidP="0052196B">
      <w:pPr>
        <w:pStyle w:val="Sinespaciado"/>
        <w:jc w:val="both"/>
      </w:pPr>
      <w:r>
        <w:t xml:space="preserve">                A)</w:t>
      </w:r>
      <w:r>
        <w:tab/>
        <w:t xml:space="preserve"> </w:t>
      </w:r>
      <w:r>
        <w:tab/>
      </w:r>
      <w:r>
        <w:tab/>
      </w:r>
      <w:r>
        <w:tab/>
      </w:r>
      <w:r>
        <w:tab/>
      </w:r>
      <w:r>
        <w:tab/>
      </w:r>
      <w:r>
        <w:tab/>
      </w:r>
      <w:r>
        <w:tab/>
        <w:t xml:space="preserve">       B)</w:t>
      </w:r>
    </w:p>
    <w:p w:rsidR="00A917FF" w:rsidRDefault="00A917FF" w:rsidP="0052196B">
      <w:pPr>
        <w:pStyle w:val="Sinespaciado"/>
        <w:jc w:val="both"/>
      </w:pPr>
      <w:r>
        <w:rPr>
          <w:rFonts w:ascii="Times New Roman" w:hAnsi="Times New Roman" w:cs="Times New Roman"/>
          <w:noProof/>
          <w:sz w:val="24"/>
          <w:szCs w:val="24"/>
        </w:rPr>
        <w:drawing>
          <wp:anchor distT="0" distB="0" distL="114300" distR="114300" simplePos="0" relativeHeight="251653120" behindDoc="0" locked="0" layoutInCell="1" allowOverlap="1" wp14:anchorId="7F909646" wp14:editId="68E1FE2D">
            <wp:simplePos x="0" y="0"/>
            <wp:positionH relativeFrom="column">
              <wp:posOffset>4047215</wp:posOffset>
            </wp:positionH>
            <wp:positionV relativeFrom="paragraph">
              <wp:posOffset>12976</wp:posOffset>
            </wp:positionV>
            <wp:extent cx="3753016" cy="3001789"/>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1174" cy="30003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5168" behindDoc="0" locked="0" layoutInCell="1" allowOverlap="1" wp14:anchorId="40E10334" wp14:editId="1344A93A">
            <wp:simplePos x="0" y="0"/>
            <wp:positionH relativeFrom="column">
              <wp:posOffset>123825</wp:posOffset>
            </wp:positionH>
            <wp:positionV relativeFrom="paragraph">
              <wp:posOffset>7620</wp:posOffset>
            </wp:positionV>
            <wp:extent cx="3823335" cy="3057525"/>
            <wp:effectExtent l="0" t="0" r="571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333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7FF" w:rsidRDefault="00A917FF" w:rsidP="0052196B">
      <w:pPr>
        <w:pStyle w:val="Sinespaciado"/>
        <w:jc w:val="both"/>
      </w:pPr>
    </w:p>
    <w:p w:rsidR="00A917FF" w:rsidRDefault="00A917FF" w:rsidP="0052196B">
      <w:pPr>
        <w:pStyle w:val="Sinespaciado"/>
        <w:jc w:val="both"/>
      </w:pPr>
    </w:p>
    <w:p w:rsidR="00A917FF" w:rsidRPr="00EE5E06" w:rsidRDefault="00A917FF" w:rsidP="0052196B">
      <w:pPr>
        <w:pStyle w:val="Sinespaciado"/>
        <w:jc w:val="both"/>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400" w:lineRule="atLeast"/>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400" w:lineRule="atLeast"/>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pStyle w:val="Sinespaciado"/>
        <w:jc w:val="both"/>
      </w:pPr>
      <w:r w:rsidRPr="00EE5E06">
        <w:t xml:space="preserve">Notes: </w:t>
      </w:r>
      <w:r>
        <w:t xml:space="preserve">All-cause mortality according to </w:t>
      </w:r>
      <w:r w:rsidRPr="00A67BFA">
        <w:rPr>
          <w:noProof/>
        </w:rPr>
        <w:t>Kaplan Meier</w:t>
      </w:r>
      <w:r>
        <w:t xml:space="preserve"> survival analysis among overweight (A) and type I obese (B) participants in propensity score matched cohorts.</w:t>
      </w:r>
    </w:p>
    <w:p w:rsidR="00A917FF" w:rsidRDefault="00A917FF" w:rsidP="0052196B">
      <w:pPr>
        <w:jc w:val="both"/>
      </w:pPr>
      <w:r>
        <w:br w:type="page"/>
      </w:r>
    </w:p>
    <w:p w:rsidR="00A917FF" w:rsidRDefault="00A917FF" w:rsidP="0052196B">
      <w:pPr>
        <w:pStyle w:val="Sinespaciado"/>
        <w:jc w:val="both"/>
      </w:pPr>
      <w:r>
        <w:lastRenderedPageBreak/>
        <w:t>Figure 6:</w:t>
      </w:r>
    </w:p>
    <w:p w:rsidR="00A917FF" w:rsidRDefault="00A917FF" w:rsidP="0052196B">
      <w:pPr>
        <w:pStyle w:val="Sinespaciado"/>
        <w:jc w:val="both"/>
      </w:pPr>
    </w:p>
    <w:p w:rsidR="00A917FF" w:rsidRDefault="00A917FF" w:rsidP="0052196B">
      <w:pPr>
        <w:pStyle w:val="Sinespaciado"/>
        <w:jc w:val="both"/>
      </w:pPr>
      <w:r>
        <w:t>A)</w:t>
      </w:r>
      <w:r>
        <w:tab/>
      </w:r>
      <w:r>
        <w:tab/>
      </w:r>
      <w:r>
        <w:tab/>
      </w:r>
      <w:r>
        <w:tab/>
      </w:r>
      <w:r>
        <w:tab/>
      </w:r>
      <w:r>
        <w:tab/>
      </w:r>
      <w:r>
        <w:tab/>
      </w:r>
      <w:r>
        <w:tab/>
      </w:r>
      <w:r>
        <w:tab/>
        <w:t>B)</w:t>
      </w: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4C1CC68C" wp14:editId="06F9D6B5">
            <wp:simplePos x="0" y="0"/>
            <wp:positionH relativeFrom="column">
              <wp:posOffset>3949700</wp:posOffset>
            </wp:positionH>
            <wp:positionV relativeFrom="paragraph">
              <wp:posOffset>-2540</wp:posOffset>
            </wp:positionV>
            <wp:extent cx="3778885" cy="3020695"/>
            <wp:effectExtent l="0" t="0" r="0" b="825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8885" cy="302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6192" behindDoc="0" locked="0" layoutInCell="1" allowOverlap="1" wp14:anchorId="39AE9C2B" wp14:editId="7AAA0338">
            <wp:simplePos x="0" y="0"/>
            <wp:positionH relativeFrom="column">
              <wp:posOffset>0</wp:posOffset>
            </wp:positionH>
            <wp:positionV relativeFrom="paragraph">
              <wp:posOffset>-2540</wp:posOffset>
            </wp:positionV>
            <wp:extent cx="3789045" cy="3028950"/>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904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400" w:lineRule="atLeast"/>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400" w:lineRule="atLeast"/>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240" w:lineRule="auto"/>
        <w:jc w:val="both"/>
        <w:rPr>
          <w:rFonts w:ascii="Times New Roman" w:hAnsi="Times New Roman" w:cs="Times New Roman"/>
          <w:sz w:val="24"/>
          <w:szCs w:val="24"/>
        </w:rPr>
      </w:pPr>
    </w:p>
    <w:p w:rsidR="00A917FF" w:rsidRDefault="00A917FF" w:rsidP="0052196B">
      <w:pPr>
        <w:autoSpaceDE w:val="0"/>
        <w:autoSpaceDN w:val="0"/>
        <w:adjustRightInd w:val="0"/>
        <w:spacing w:after="0" w:line="400" w:lineRule="atLeast"/>
        <w:jc w:val="both"/>
        <w:rPr>
          <w:rFonts w:ascii="Times New Roman" w:hAnsi="Times New Roman" w:cs="Times New Roman"/>
          <w:sz w:val="24"/>
          <w:szCs w:val="24"/>
        </w:rPr>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p>
    <w:p w:rsidR="00A917FF" w:rsidRDefault="00A917FF" w:rsidP="0052196B">
      <w:pPr>
        <w:pStyle w:val="Sinespaciado"/>
        <w:jc w:val="both"/>
      </w:pPr>
      <w:r w:rsidRPr="00EE5E06">
        <w:t xml:space="preserve">Notes: </w:t>
      </w:r>
      <w:r>
        <w:t xml:space="preserve">All-cause mortality according to </w:t>
      </w:r>
      <w:r w:rsidRPr="00A67BFA">
        <w:rPr>
          <w:noProof/>
        </w:rPr>
        <w:t>Kaplan Meier</w:t>
      </w:r>
      <w:r>
        <w:t xml:space="preserve"> survival analysis among overweight (A) and type I obese (B) participants in stratified propensity score analysis.</w:t>
      </w:r>
    </w:p>
    <w:p w:rsidR="00A917FF" w:rsidRDefault="00A917FF" w:rsidP="0052196B">
      <w:pPr>
        <w:jc w:val="both"/>
      </w:pPr>
    </w:p>
    <w:p w:rsidR="00A917FF" w:rsidRDefault="00A917FF" w:rsidP="0052196B">
      <w:pPr>
        <w:jc w:val="both"/>
        <w:rPr>
          <w:noProof/>
          <w:sz w:val="24"/>
          <w:szCs w:val="24"/>
        </w:rPr>
      </w:pPr>
      <w:r>
        <w:br w:type="page"/>
      </w:r>
      <w:r>
        <w:rPr>
          <w:noProof/>
          <w:sz w:val="24"/>
          <w:szCs w:val="24"/>
        </w:rPr>
        <w:lastRenderedPageBreak/>
        <w:t>Figure 7:</w:t>
      </w:r>
    </w:p>
    <w:p w:rsidR="00A917FF" w:rsidRDefault="00A917FF" w:rsidP="00CB12B7">
      <w:pPr>
        <w:pStyle w:val="Sinespaciado"/>
        <w:spacing w:line="480" w:lineRule="auto"/>
        <w:jc w:val="center"/>
        <w:rPr>
          <w:noProof/>
          <w:sz w:val="24"/>
          <w:szCs w:val="24"/>
        </w:rPr>
      </w:pPr>
      <w:r>
        <w:rPr>
          <w:noProof/>
          <w:sz w:val="24"/>
          <w:szCs w:val="24"/>
        </w:rPr>
        <w:drawing>
          <wp:inline distT="0" distB="0" distL="0" distR="0" wp14:anchorId="674A873C" wp14:editId="3132E76F">
            <wp:extent cx="5505450" cy="363347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3633470"/>
                    </a:xfrm>
                    <a:prstGeom prst="rect">
                      <a:avLst/>
                    </a:prstGeom>
                    <a:noFill/>
                  </pic:spPr>
                </pic:pic>
              </a:graphicData>
            </a:graphic>
          </wp:inline>
        </w:drawing>
      </w:r>
    </w:p>
    <w:p w:rsidR="00A917FF" w:rsidRDefault="00A917FF" w:rsidP="0052196B">
      <w:pPr>
        <w:pStyle w:val="Sinespaciado"/>
        <w:jc w:val="both"/>
      </w:pPr>
      <w:r w:rsidRPr="00205F92">
        <w:t xml:space="preserve">Notes: Rule out analysis. The </w:t>
      </w:r>
      <w:r>
        <w:t xml:space="preserve">line with marks, </w:t>
      </w:r>
      <w:r w:rsidRPr="00205F92">
        <w:t>overweight (crosses) and type I obesity (circles)</w:t>
      </w:r>
      <w:r>
        <w:t>,</w:t>
      </w:r>
      <w:r w:rsidRPr="00205F92">
        <w:t xml:space="preserve"> r</w:t>
      </w:r>
      <w:r>
        <w:t xml:space="preserve">epresent the combinations of </w:t>
      </w:r>
      <w:r w:rsidRPr="00205F92">
        <w:t>OR</w:t>
      </w:r>
      <w:r>
        <w:rPr>
          <w:vertAlign w:val="subscript"/>
        </w:rPr>
        <w:t>EC</w:t>
      </w:r>
      <w:r>
        <w:t xml:space="preserve"> </w:t>
      </w:r>
      <w:r w:rsidRPr="00205F92">
        <w:t>and</w:t>
      </w:r>
      <w:r>
        <w:t xml:space="preserve"> the RR</w:t>
      </w:r>
      <w:r>
        <w:rPr>
          <w:vertAlign w:val="subscript"/>
        </w:rPr>
        <w:t xml:space="preserve">CD </w:t>
      </w:r>
      <w:r w:rsidRPr="00205F92">
        <w:t xml:space="preserve">that would make the </w:t>
      </w:r>
      <w:r>
        <w:t>exposure-</w:t>
      </w:r>
      <w:r w:rsidRPr="00205F92">
        <w:t>disease</w:t>
      </w:r>
      <w:r>
        <w:t xml:space="preserve"> RR</w:t>
      </w:r>
      <w:r w:rsidRPr="00205F92">
        <w:t xml:space="preserve"> to 1. </w:t>
      </w:r>
      <w:r>
        <w:t xml:space="preserve">All the possible combinations on the lower left side of the graph will not be enough to generate an RR of 1 between the exposure and the disease, and all combinations on the upper right will. </w:t>
      </w:r>
      <w:r w:rsidRPr="00205F92">
        <w:t xml:space="preserve">AAR of 1.23 corresponds to a HR 0.81 in the overweight category and an ARR of 1.25 to a HR of 0.80 in the type I obesity group. </w:t>
      </w:r>
      <w:r>
        <w:t xml:space="preserve">Exposure prevalence of 35% is based on the study prevalence of overweight and type I obesity, while the 20% prevalence of the confounder was selected arbitrarily. </w:t>
      </w:r>
      <w:r w:rsidRPr="00205F92">
        <w:t>A</w:t>
      </w:r>
      <w:r>
        <w:t>AR: apparent relative risk, RR</w:t>
      </w:r>
      <w:r>
        <w:rPr>
          <w:vertAlign w:val="subscript"/>
        </w:rPr>
        <w:t>CD</w:t>
      </w:r>
      <w:r w:rsidRPr="00205F92">
        <w:t>: relative risk between the confounder and the disease, P</w:t>
      </w:r>
      <w:r>
        <w:rPr>
          <w:vertAlign w:val="subscript"/>
        </w:rPr>
        <w:t>C</w:t>
      </w:r>
      <w:r w:rsidRPr="00205F92">
        <w:t>: confounder prev</w:t>
      </w:r>
      <w:r>
        <w:t>alence, P</w:t>
      </w:r>
      <w:r>
        <w:rPr>
          <w:vertAlign w:val="subscript"/>
        </w:rPr>
        <w:t>E</w:t>
      </w:r>
      <w:r w:rsidRPr="00205F92">
        <w:t xml:space="preserve">: </w:t>
      </w:r>
      <w:r>
        <w:t>exposed group prevalence</w:t>
      </w:r>
      <w:r w:rsidRPr="00205F92">
        <w:t xml:space="preserve">, </w:t>
      </w:r>
      <w:r>
        <w:t>OR</w:t>
      </w:r>
      <w:r>
        <w:rPr>
          <w:vertAlign w:val="subscript"/>
        </w:rPr>
        <w:t>EC</w:t>
      </w:r>
      <w:r w:rsidRPr="00205F92">
        <w:t xml:space="preserve">: </w:t>
      </w:r>
      <w:r>
        <w:t>odds ratio between the exposure and the confounder</w:t>
      </w:r>
      <w:r w:rsidRPr="00205F92">
        <w:t>.</w:t>
      </w:r>
    </w:p>
    <w:p w:rsidR="00A917FF" w:rsidRDefault="00A917FF" w:rsidP="0052196B">
      <w:pPr>
        <w:jc w:val="both"/>
        <w:sectPr w:rsidR="00A917FF" w:rsidSect="00081DC9">
          <w:pgSz w:w="15840" w:h="12240" w:orient="landscape"/>
          <w:pgMar w:top="1440" w:right="1440" w:bottom="1440" w:left="1440" w:header="426" w:footer="720" w:gutter="0"/>
          <w:cols w:space="720"/>
          <w:docGrid w:linePitch="360"/>
        </w:sectPr>
      </w:pPr>
    </w:p>
    <w:p w:rsidR="00A917FF" w:rsidRPr="00503D39" w:rsidRDefault="00A917FF" w:rsidP="0052196B">
      <w:pPr>
        <w:spacing w:line="480" w:lineRule="auto"/>
        <w:jc w:val="both"/>
        <w:rPr>
          <w:sz w:val="24"/>
          <w:szCs w:val="24"/>
        </w:rPr>
      </w:pPr>
      <w:r w:rsidRPr="00503D39">
        <w:rPr>
          <w:sz w:val="24"/>
          <w:szCs w:val="24"/>
        </w:rPr>
        <w:lastRenderedPageBreak/>
        <w:t>Chapter 4 supplementary appendix:</w:t>
      </w:r>
    </w:p>
    <w:p w:rsidR="00A917FF" w:rsidRPr="00503D39" w:rsidRDefault="00A917FF" w:rsidP="0052196B">
      <w:pPr>
        <w:pStyle w:val="Prrafodelista"/>
        <w:numPr>
          <w:ilvl w:val="0"/>
          <w:numId w:val="12"/>
        </w:numPr>
        <w:spacing w:line="480" w:lineRule="auto"/>
        <w:jc w:val="both"/>
        <w:rPr>
          <w:sz w:val="24"/>
          <w:szCs w:val="24"/>
        </w:rPr>
      </w:pPr>
      <w:r w:rsidRPr="00503D39">
        <w:rPr>
          <w:sz w:val="24"/>
          <w:szCs w:val="24"/>
        </w:rPr>
        <w:t>Table S1: Study-level baseline, admission and follow-up variables.</w:t>
      </w:r>
    </w:p>
    <w:p w:rsidR="00A917FF" w:rsidRPr="00503D39" w:rsidRDefault="00A917FF" w:rsidP="0052196B">
      <w:pPr>
        <w:pStyle w:val="Prrafodelista"/>
        <w:numPr>
          <w:ilvl w:val="0"/>
          <w:numId w:val="12"/>
        </w:numPr>
        <w:spacing w:line="480" w:lineRule="auto"/>
        <w:jc w:val="both"/>
        <w:rPr>
          <w:sz w:val="24"/>
          <w:szCs w:val="24"/>
        </w:rPr>
      </w:pPr>
      <w:r w:rsidRPr="00503D39">
        <w:rPr>
          <w:sz w:val="24"/>
          <w:szCs w:val="24"/>
        </w:rPr>
        <w:t xml:space="preserve">Table S2: BMI mean and standard deviation across difference baseline variables. </w:t>
      </w:r>
    </w:p>
    <w:p w:rsidR="00A917FF" w:rsidRPr="00503D39" w:rsidRDefault="00A917FF" w:rsidP="0052196B">
      <w:pPr>
        <w:pStyle w:val="Prrafodelista"/>
        <w:numPr>
          <w:ilvl w:val="0"/>
          <w:numId w:val="12"/>
        </w:numPr>
        <w:spacing w:line="480" w:lineRule="auto"/>
        <w:jc w:val="both"/>
        <w:rPr>
          <w:sz w:val="24"/>
          <w:szCs w:val="24"/>
        </w:rPr>
      </w:pPr>
      <w:r w:rsidRPr="00503D39">
        <w:rPr>
          <w:sz w:val="24"/>
          <w:szCs w:val="24"/>
        </w:rPr>
        <w:t xml:space="preserve">Table S3: Subgroup analysis with interaction tests. </w:t>
      </w:r>
    </w:p>
    <w:p w:rsidR="00A917FF" w:rsidRPr="00503D39" w:rsidRDefault="00A917FF" w:rsidP="0052196B">
      <w:pPr>
        <w:pStyle w:val="Prrafodelista"/>
        <w:numPr>
          <w:ilvl w:val="0"/>
          <w:numId w:val="12"/>
        </w:numPr>
        <w:spacing w:line="480" w:lineRule="auto"/>
        <w:jc w:val="both"/>
        <w:rPr>
          <w:sz w:val="24"/>
          <w:szCs w:val="24"/>
        </w:rPr>
      </w:pPr>
      <w:r w:rsidRPr="00503D39">
        <w:rPr>
          <w:sz w:val="24"/>
          <w:szCs w:val="24"/>
        </w:rPr>
        <w:t>Figure S1: BMI according to age group.</w:t>
      </w:r>
    </w:p>
    <w:p w:rsidR="00A917FF" w:rsidRPr="000E6AC2" w:rsidRDefault="00A917FF" w:rsidP="0052196B">
      <w:pPr>
        <w:jc w:val="both"/>
        <w:rPr>
          <w:sz w:val="24"/>
          <w:szCs w:val="24"/>
        </w:rPr>
      </w:pPr>
    </w:p>
    <w:p w:rsidR="00A917FF" w:rsidRPr="000E6AC2" w:rsidRDefault="00A917FF" w:rsidP="0052196B">
      <w:pPr>
        <w:jc w:val="both"/>
        <w:rPr>
          <w:sz w:val="24"/>
          <w:szCs w:val="24"/>
        </w:rPr>
        <w:sectPr w:rsidR="00A917FF" w:rsidRPr="000E6AC2" w:rsidSect="00081DC9">
          <w:pgSz w:w="12240" w:h="15840"/>
          <w:pgMar w:top="1440" w:right="1440" w:bottom="1440" w:left="1440" w:header="426" w:footer="720" w:gutter="0"/>
          <w:cols w:space="720"/>
          <w:docGrid w:linePitch="360"/>
        </w:sectPr>
      </w:pPr>
    </w:p>
    <w:p w:rsidR="00A917FF" w:rsidRDefault="00A917FF" w:rsidP="0052196B">
      <w:pPr>
        <w:tabs>
          <w:tab w:val="left" w:pos="1888"/>
        </w:tabs>
        <w:jc w:val="both"/>
      </w:pPr>
      <w:r>
        <w:lastRenderedPageBreak/>
        <w:t>Table S1:</w:t>
      </w:r>
    </w:p>
    <w:tbl>
      <w:tblPr>
        <w:tblW w:w="12977" w:type="dxa"/>
        <w:tblInd w:w="108" w:type="dxa"/>
        <w:tblLook w:val="04A0" w:firstRow="1" w:lastRow="0" w:firstColumn="1" w:lastColumn="0" w:noHBand="0" w:noVBand="1"/>
      </w:tblPr>
      <w:tblGrid>
        <w:gridCol w:w="300"/>
        <w:gridCol w:w="301"/>
        <w:gridCol w:w="1191"/>
        <w:gridCol w:w="1442"/>
        <w:gridCol w:w="1566"/>
        <w:gridCol w:w="1442"/>
        <w:gridCol w:w="1566"/>
        <w:gridCol w:w="1320"/>
        <w:gridCol w:w="1195"/>
        <w:gridCol w:w="1320"/>
        <w:gridCol w:w="1334"/>
      </w:tblGrid>
      <w:tr w:rsidR="00A917FF" w:rsidRPr="0010191A" w:rsidTr="00CB12B7">
        <w:trPr>
          <w:trHeight w:val="525"/>
        </w:trPr>
        <w:tc>
          <w:tcPr>
            <w:tcW w:w="1792" w:type="dxa"/>
            <w:gridSpan w:val="3"/>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Demographics</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OASIS 4</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11313)</w:t>
            </w:r>
          </w:p>
        </w:tc>
        <w:tc>
          <w:tcPr>
            <w:tcW w:w="15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OASIS 5</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18706)</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OASIS 6</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11716)</w:t>
            </w:r>
          </w:p>
        </w:tc>
        <w:tc>
          <w:tcPr>
            <w:tcW w:w="15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OASIS 7</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22714)</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OASIS 8</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2927)</w:t>
            </w:r>
          </w:p>
        </w:tc>
        <w:tc>
          <w:tcPr>
            <w:tcW w:w="1195"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TIMACS</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1273)</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RIVAL</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2811)</w:t>
            </w:r>
          </w:p>
        </w:tc>
        <w:tc>
          <w:tcPr>
            <w:tcW w:w="1334"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TOTAL</w:t>
            </w:r>
          </w:p>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(n = 10091)</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491"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Age</w:t>
            </w:r>
            <w:r>
              <w:rPr>
                <w:rFonts w:ascii="Calibri" w:eastAsia="Times New Roman" w:hAnsi="Calibri" w:cs="Times New Roman"/>
                <w:color w:val="000000"/>
              </w:rPr>
              <w:t>, years (</w:t>
            </w:r>
            <w:proofErr w:type="spellStart"/>
            <w:r>
              <w:rPr>
                <w:rFonts w:ascii="Calibri" w:eastAsia="Times New Roman" w:hAnsi="Calibri" w:cs="Times New Roman"/>
                <w:color w:val="000000"/>
              </w:rPr>
              <w:t>mean,SD</w:t>
            </w:r>
            <w:proofErr w:type="spellEnd"/>
            <w:r>
              <w:rPr>
                <w:rFonts w:ascii="Calibri" w:eastAsia="Times New Roman" w:hAnsi="Calibri" w:cs="Times New Roman"/>
                <w:color w:val="000000"/>
              </w:rPr>
              <w:t>)</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64.7 (11.1)</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66.8 (10.8)</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61.6 (12.1)</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61.6 (11.6)</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65.8 (11.1)</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65.1 (10.4)</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62.4 (11.7)</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61.1 (11.9)</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49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Pr>
                <w:rFonts w:ascii="Calibri" w:eastAsia="Times New Roman" w:hAnsi="Calibri" w:cs="Times New Roman"/>
                <w:color w:val="000000"/>
              </w:rPr>
              <w:t>Sex, male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7092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62.68)</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11827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63.21)</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8489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72.40)</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16966</w:t>
            </w:r>
            <w:r w:rsidRPr="0010191A">
              <w:rPr>
                <w:rFonts w:ascii="Calibri" w:eastAsia="Times New Roman" w:hAnsi="Calibri" w:cs="Times New Roman"/>
                <w:color w:val="000000"/>
                <w:sz w:val="20"/>
                <w:szCs w:val="20"/>
              </w:rPr>
              <w:t xml:space="preserve"> (74.61)</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1962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67.05)</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872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68.44)</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2128</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75.67)</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7804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77.29)</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49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BMI</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mean,SD</w:t>
            </w:r>
            <w:proofErr w:type="spellEnd"/>
            <w:r>
              <w:rPr>
                <w:rFonts w:ascii="Calibri" w:eastAsia="Times New Roman" w:hAnsi="Calibri" w:cs="Times New Roman"/>
                <w:color w:val="000000"/>
              </w:rPr>
              <w:t>)</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27.6 (4.5)</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27.3 (4.5)</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26.5 (4.4)</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27.5 (5.0)</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27.1 (4.51)</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26 (4.8)</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27.8 (4.7)</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27.6 (4.9)</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491" w:type="dxa"/>
            <w:gridSpan w:val="2"/>
            <w:tcBorders>
              <w:top w:val="single" w:sz="4" w:space="0" w:color="auto"/>
              <w:left w:val="nil"/>
              <w:bottom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Geographic region</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44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5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44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5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320"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195"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320"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South Africa</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283</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2.50)</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189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1.01)</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123</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1.04)</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68</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0.29)</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Asia</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1390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7.43)</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2286</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19.51)</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4970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21.88)</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654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22.35)</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762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59.85)</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9.93)</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571</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5.65)</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Australia / New Zealand</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710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6.27)</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485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2.59)</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182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1.55)</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437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1.92)</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1.88)</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41</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1.46)</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247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2.44)</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Eastern Europe</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2675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23.64)</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6457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34.51)</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4291</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36.62)</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3132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13.78)</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784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26.79)</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5.02)</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444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15.81)</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2515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24.92)</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Latin America</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1210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10.69)</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1774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9.48)</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1078</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9.20)</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1982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8.72)</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118</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4.032)</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135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10.60)</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0.89)</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360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3.56)</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Middle East</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586</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5.17)</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1355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5.96)</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45</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1.60)</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North America</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1960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17.32)</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2013</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10.76)</w:t>
            </w:r>
          </w:p>
        </w:tc>
        <w:tc>
          <w:tcPr>
            <w:tcW w:w="144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2282</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19.47)</w:t>
            </w:r>
          </w:p>
        </w:tc>
        <w:tc>
          <w:tcPr>
            <w:tcW w:w="15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3993</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17.58)</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109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3.72)</w:t>
            </w:r>
          </w:p>
        </w:tc>
        <w:tc>
          <w:tcPr>
            <w:tcW w:w="1195"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237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18.61)</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1009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35.94)</w:t>
            </w:r>
          </w:p>
        </w:tc>
        <w:tc>
          <w:tcPr>
            <w:tcW w:w="1334"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3637</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36.04)</w:t>
            </w:r>
          </w:p>
        </w:tc>
      </w:tr>
      <w:tr w:rsidR="00A917FF" w:rsidRPr="0010191A" w:rsidTr="00CB12B7">
        <w:trPr>
          <w:trHeight w:val="525"/>
        </w:trPr>
        <w:tc>
          <w:tcPr>
            <w:tcW w:w="300"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301"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Western Europe</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3889</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34.37)</w:t>
            </w:r>
          </w:p>
        </w:tc>
        <w:tc>
          <w:tcPr>
            <w:tcW w:w="15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6398</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34.20)</w:t>
            </w:r>
          </w:p>
        </w:tc>
        <w:tc>
          <w:tcPr>
            <w:tcW w:w="144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1474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12.58)</w:t>
            </w:r>
          </w:p>
        </w:tc>
        <w:tc>
          <w:tcPr>
            <w:tcW w:w="15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6776</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29.83)</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1261</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43.09)</w:t>
            </w:r>
          </w:p>
        </w:tc>
        <w:tc>
          <w:tcPr>
            <w:tcW w:w="1195"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51</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4.00)</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964</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34.34)</w:t>
            </w:r>
          </w:p>
        </w:tc>
        <w:tc>
          <w:tcPr>
            <w:tcW w:w="1334"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sz w:val="20"/>
                <w:szCs w:val="20"/>
              </w:rPr>
            </w:pPr>
            <w:r w:rsidRPr="0010191A">
              <w:rPr>
                <w:rFonts w:ascii="Calibri" w:eastAsia="Times New Roman" w:hAnsi="Calibri" w:cs="Times New Roman"/>
                <w:color w:val="000000"/>
                <w:sz w:val="20"/>
                <w:szCs w:val="20"/>
              </w:rPr>
              <w:t>2760</w:t>
            </w:r>
            <w:r>
              <w:rPr>
                <w:rFonts w:ascii="Calibri" w:eastAsia="Times New Roman" w:hAnsi="Calibri" w:cs="Times New Roman"/>
                <w:color w:val="000000"/>
                <w:sz w:val="20"/>
                <w:szCs w:val="20"/>
              </w:rPr>
              <w:t xml:space="preserve"> (</w:t>
            </w:r>
            <w:r w:rsidRPr="0010191A">
              <w:rPr>
                <w:rFonts w:ascii="Calibri" w:eastAsia="Times New Roman" w:hAnsi="Calibri" w:cs="Times New Roman"/>
                <w:color w:val="000000"/>
                <w:sz w:val="20"/>
                <w:szCs w:val="20"/>
              </w:rPr>
              <w:t>27.35)</w:t>
            </w:r>
          </w:p>
        </w:tc>
      </w:tr>
    </w:tbl>
    <w:p w:rsidR="00A917FF" w:rsidRDefault="00A917FF" w:rsidP="0052196B">
      <w:pPr>
        <w:tabs>
          <w:tab w:val="left" w:pos="1888"/>
        </w:tabs>
        <w:jc w:val="both"/>
      </w:pPr>
    </w:p>
    <w:p w:rsidR="00A917FF" w:rsidRPr="001D19F4" w:rsidRDefault="00A917FF" w:rsidP="0052196B">
      <w:pPr>
        <w:jc w:val="both"/>
      </w:pPr>
      <w:r>
        <w:br w:type="page"/>
      </w:r>
      <w:r>
        <w:lastRenderedPageBreak/>
        <w:t>Table S1 cont.:</w:t>
      </w:r>
    </w:p>
    <w:tbl>
      <w:tblPr>
        <w:tblW w:w="12900" w:type="dxa"/>
        <w:tblInd w:w="108" w:type="dxa"/>
        <w:tblLook w:val="04A0" w:firstRow="1" w:lastRow="0" w:firstColumn="1" w:lastColumn="0" w:noHBand="0" w:noVBand="1"/>
      </w:tblPr>
      <w:tblGrid>
        <w:gridCol w:w="276"/>
        <w:gridCol w:w="423"/>
        <w:gridCol w:w="1353"/>
        <w:gridCol w:w="1386"/>
        <w:gridCol w:w="1506"/>
        <w:gridCol w:w="1386"/>
        <w:gridCol w:w="1506"/>
        <w:gridCol w:w="1266"/>
        <w:gridCol w:w="1146"/>
        <w:gridCol w:w="1266"/>
        <w:gridCol w:w="1386"/>
      </w:tblGrid>
      <w:tr w:rsidR="00A917FF" w:rsidRPr="0010191A" w:rsidTr="00CB12B7">
        <w:trPr>
          <w:trHeight w:val="300"/>
        </w:trPr>
        <w:tc>
          <w:tcPr>
            <w:tcW w:w="2052" w:type="dxa"/>
            <w:gridSpan w:val="3"/>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pPr>
            <w:r w:rsidRPr="0010191A">
              <w:t>Past history</w:t>
            </w:r>
            <w:r>
              <w:t xml:space="preserve"> </w:t>
            </w:r>
            <w:r>
              <w:rPr>
                <w:rFonts w:ascii="Calibri" w:eastAsia="Times New Roman" w:hAnsi="Calibri" w:cs="Times New Roman"/>
                <w:color w:val="000000"/>
              </w:rPr>
              <w:t>(n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OASIS 4</w:t>
            </w:r>
          </w:p>
          <w:p w:rsidR="00A917FF" w:rsidRPr="0010191A" w:rsidRDefault="00A917FF" w:rsidP="00CB12B7">
            <w:pPr>
              <w:pStyle w:val="Sinespaciado"/>
              <w:jc w:val="center"/>
            </w:pPr>
            <w:r w:rsidRPr="0010191A">
              <w:t>(n = 11313)</w:t>
            </w:r>
          </w:p>
        </w:tc>
        <w:tc>
          <w:tcPr>
            <w:tcW w:w="150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OASIS 5</w:t>
            </w:r>
          </w:p>
          <w:p w:rsidR="00A917FF" w:rsidRPr="0010191A" w:rsidRDefault="00A917FF" w:rsidP="00CB12B7">
            <w:pPr>
              <w:pStyle w:val="Sinespaciado"/>
              <w:jc w:val="center"/>
            </w:pPr>
            <w:r w:rsidRPr="0010191A">
              <w:t>(n = 18706)</w:t>
            </w:r>
          </w:p>
        </w:tc>
        <w:tc>
          <w:tcPr>
            <w:tcW w:w="13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OASIS 6</w:t>
            </w:r>
          </w:p>
          <w:p w:rsidR="00A917FF" w:rsidRPr="0010191A" w:rsidRDefault="00A917FF" w:rsidP="00CB12B7">
            <w:pPr>
              <w:pStyle w:val="Sinespaciado"/>
              <w:jc w:val="center"/>
            </w:pPr>
            <w:r w:rsidRPr="0010191A">
              <w:t>(n = 11716)</w:t>
            </w:r>
          </w:p>
        </w:tc>
        <w:tc>
          <w:tcPr>
            <w:tcW w:w="150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OASIS 7</w:t>
            </w:r>
          </w:p>
          <w:p w:rsidR="00A917FF" w:rsidRPr="0010191A" w:rsidRDefault="00A917FF" w:rsidP="00CB12B7">
            <w:pPr>
              <w:pStyle w:val="Sinespaciado"/>
              <w:jc w:val="center"/>
            </w:pPr>
            <w:r w:rsidRPr="0010191A">
              <w:t>(n = 22714)</w:t>
            </w:r>
          </w:p>
        </w:tc>
        <w:tc>
          <w:tcPr>
            <w:tcW w:w="12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OASIS 8</w:t>
            </w:r>
          </w:p>
          <w:p w:rsidR="00A917FF" w:rsidRPr="0010191A" w:rsidRDefault="00A917FF" w:rsidP="00CB12B7">
            <w:pPr>
              <w:pStyle w:val="Sinespaciado"/>
              <w:jc w:val="center"/>
            </w:pPr>
            <w:r w:rsidRPr="0010191A">
              <w:t>(n = 2927)</w:t>
            </w:r>
          </w:p>
        </w:tc>
        <w:tc>
          <w:tcPr>
            <w:tcW w:w="114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TIMACS</w:t>
            </w:r>
          </w:p>
          <w:p w:rsidR="00A917FF" w:rsidRPr="0010191A" w:rsidRDefault="00A917FF" w:rsidP="00CB12B7">
            <w:pPr>
              <w:pStyle w:val="Sinespaciado"/>
              <w:jc w:val="center"/>
            </w:pPr>
            <w:r w:rsidRPr="0010191A">
              <w:t>(n = 1273)</w:t>
            </w:r>
          </w:p>
        </w:tc>
        <w:tc>
          <w:tcPr>
            <w:tcW w:w="12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RIVAL</w:t>
            </w:r>
          </w:p>
          <w:p w:rsidR="00A917FF" w:rsidRPr="0010191A" w:rsidRDefault="00A917FF" w:rsidP="00CB12B7">
            <w:pPr>
              <w:pStyle w:val="Sinespaciado"/>
              <w:jc w:val="center"/>
            </w:pPr>
            <w:r w:rsidRPr="0010191A">
              <w:t>(n = 2811)</w:t>
            </w:r>
          </w:p>
        </w:tc>
        <w:tc>
          <w:tcPr>
            <w:tcW w:w="13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pStyle w:val="Sinespaciado"/>
              <w:jc w:val="center"/>
            </w:pPr>
            <w:r w:rsidRPr="0010191A">
              <w:t>TOTAL</w:t>
            </w:r>
          </w:p>
          <w:p w:rsidR="00A917FF" w:rsidRPr="0010191A" w:rsidRDefault="00A917FF" w:rsidP="00CB12B7">
            <w:pPr>
              <w:pStyle w:val="Sinespaciado"/>
              <w:jc w:val="center"/>
            </w:pPr>
            <w:r w:rsidRPr="0010191A">
              <w:t>(n = 10091)</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Hypertension</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6673</w:t>
            </w:r>
            <w:r>
              <w:t xml:space="preserve"> (</w:t>
            </w:r>
            <w:r w:rsidRPr="0010191A">
              <w:t>58.98)</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12634</w:t>
            </w:r>
            <w:r>
              <w:t xml:space="preserve"> (</w:t>
            </w:r>
            <w:r w:rsidRPr="0010191A">
              <w:t>67.52)</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6415</w:t>
            </w:r>
            <w:r w:rsidRPr="0010191A">
              <w:t xml:space="preserve"> (54.72)</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13799</w:t>
            </w:r>
            <w:r w:rsidRPr="0010191A">
              <w:t xml:space="preserve"> (60.69)</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2011</w:t>
            </w:r>
            <w:r>
              <w:t xml:space="preserve"> (</w:t>
            </w:r>
            <w:r w:rsidR="00CB12B7">
              <w:t>68.7</w:t>
            </w:r>
            <w:r w:rsidRPr="0010191A">
              <w:t>)</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842</w:t>
            </w:r>
            <w:r>
              <w:t xml:space="preserve"> (</w:t>
            </w:r>
            <w:r w:rsidR="00CB12B7">
              <w:t>66.1</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1682</w:t>
            </w:r>
            <w:r>
              <w:t xml:space="preserve"> (</w:t>
            </w:r>
            <w:r w:rsidR="00CB12B7">
              <w:t>59.8</w:t>
            </w:r>
            <w:r w:rsidRPr="0010191A">
              <w:t>)</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5104</w:t>
            </w:r>
            <w:r w:rsidRPr="0010191A">
              <w:t xml:space="preserve"> (50.56)</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Diabetes</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2644</w:t>
            </w:r>
            <w:r>
              <w:t xml:space="preserve"> (</w:t>
            </w:r>
            <w:r w:rsidRPr="0010191A">
              <w:t>23.37)</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4840</w:t>
            </w:r>
            <w:r>
              <w:t xml:space="preserve"> (</w:t>
            </w:r>
            <w:r w:rsidRPr="0010191A">
              <w:t>25.86)</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2099</w:t>
            </w:r>
            <w:r>
              <w:t xml:space="preserve"> (</w:t>
            </w:r>
            <w:r w:rsidRPr="0010191A">
              <w:t>17.90)</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5477</w:t>
            </w:r>
            <w:r w:rsidRPr="0010191A">
              <w:t xml:space="preserve"> (24.08)</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841</w:t>
            </w:r>
            <w:r>
              <w:t xml:space="preserve"> (</w:t>
            </w:r>
            <w:r w:rsidRPr="0010191A">
              <w:t>28.74)</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319</w:t>
            </w:r>
            <w:r>
              <w:t xml:space="preserve"> (</w:t>
            </w:r>
            <w:r w:rsidR="00CB12B7">
              <w:t>25.0</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635</w:t>
            </w:r>
            <w:r>
              <w:t xml:space="preserve"> (</w:t>
            </w:r>
            <w:r w:rsidRPr="0010191A">
              <w:t>22.58)</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1876</w:t>
            </w:r>
            <w:r w:rsidRPr="0010191A">
              <w:t xml:space="preserve"> (18.58)</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Dyslipidemia</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5246</w:t>
            </w:r>
            <w:r w:rsidRPr="0010191A">
              <w:t xml:space="preserve"> (46.39)</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6612</w:t>
            </w:r>
            <w:r>
              <w:t xml:space="preserve"> (</w:t>
            </w:r>
            <w:r w:rsidRPr="0010191A">
              <w:t>35.33)</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3843</w:t>
            </w:r>
            <w:r>
              <w:t xml:space="preserve"> (</w:t>
            </w:r>
            <w:r w:rsidRPr="0010191A">
              <w:t>32.77)</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9451</w:t>
            </w:r>
            <w:r w:rsidRPr="0010191A">
              <w:t xml:space="preserve"> (41.57)</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1158</w:t>
            </w:r>
            <w:r w:rsidR="00CB12B7">
              <w:t xml:space="preserve"> (39.5</w:t>
            </w:r>
            <w:r w:rsidRPr="0010191A">
              <w:t>)</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560</w:t>
            </w:r>
            <w:r>
              <w:t xml:space="preserve"> (</w:t>
            </w:r>
            <w:r w:rsidR="00CB12B7">
              <w:t>43.9</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1195</w:t>
            </w:r>
            <w:r>
              <w:t xml:space="preserve"> (</w:t>
            </w:r>
            <w:r w:rsidR="00CB12B7">
              <w:t>42.4</w:t>
            </w:r>
            <w:r w:rsidRPr="0010191A">
              <w:t>)</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2408</w:t>
            </w:r>
            <w:r>
              <w:t xml:space="preserve"> (</w:t>
            </w:r>
            <w:r w:rsidRPr="0010191A">
              <w:t>23.85)</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tcBorders>
            <w:shd w:val="clear" w:color="000000" w:fill="FFFFFF"/>
            <w:noWrap/>
            <w:vAlign w:val="center"/>
            <w:hideMark/>
          </w:tcPr>
          <w:p w:rsidR="00A917FF" w:rsidRPr="0010191A" w:rsidRDefault="00A917FF" w:rsidP="00CB12B7">
            <w:pPr>
              <w:pStyle w:val="Sinespaciado"/>
            </w:pPr>
            <w:r w:rsidRPr="0010191A">
              <w:t>Smoking status</w:t>
            </w:r>
          </w:p>
        </w:tc>
        <w:tc>
          <w:tcPr>
            <w:tcW w:w="138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50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38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50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2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14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2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423" w:type="dxa"/>
            <w:tcBorders>
              <w:top w:val="nil"/>
              <w:left w:val="nil"/>
              <w:bottom w:val="nil"/>
              <w:right w:val="nil"/>
            </w:tcBorders>
            <w:shd w:val="clear" w:color="000000" w:fill="FFFFFF"/>
            <w:noWrap/>
            <w:vAlign w:val="center"/>
            <w:hideMark/>
          </w:tcPr>
          <w:p w:rsidR="00A917FF" w:rsidRPr="0010191A" w:rsidRDefault="00A917FF" w:rsidP="00CB12B7">
            <w:pPr>
              <w:pStyle w:val="Sinespaciado"/>
            </w:pPr>
            <w:r w:rsidRPr="0010191A">
              <w:t> </w:t>
            </w:r>
          </w:p>
        </w:tc>
        <w:tc>
          <w:tcPr>
            <w:tcW w:w="1353"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pPr>
            <w:r w:rsidRPr="0010191A">
              <w:t>Current</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2626</w:t>
            </w:r>
            <w:r>
              <w:t xml:space="preserve"> (</w:t>
            </w:r>
            <w:r w:rsidRPr="0010191A">
              <w:t>23.21)</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4223 (22.57)</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4721</w:t>
            </w:r>
            <w:r w:rsidRPr="0010191A">
              <w:t xml:space="preserve"> (40.32)</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7820</w:t>
            </w:r>
            <w:r w:rsidRPr="0010191A">
              <w:t xml:space="preserve"> (34.40)</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712</w:t>
            </w:r>
            <w:r w:rsidRPr="0010191A">
              <w:t xml:space="preserve"> (24.35)</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394</w:t>
            </w:r>
            <w:r>
              <w:t xml:space="preserve"> (</w:t>
            </w:r>
            <w:r w:rsidR="00CB12B7">
              <w:t>30.9</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920</w:t>
            </w:r>
            <w:r w:rsidRPr="0010191A">
              <w:t xml:space="preserve"> (32.72)</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4595</w:t>
            </w:r>
            <w:r w:rsidRPr="0010191A">
              <w:t xml:space="preserve"> (45.75)</w:t>
            </w:r>
          </w:p>
        </w:tc>
      </w:tr>
      <w:tr w:rsidR="00A917FF" w:rsidRPr="0010191A" w:rsidTr="00CB12B7">
        <w:trPr>
          <w:trHeight w:val="300"/>
        </w:trPr>
        <w:tc>
          <w:tcPr>
            <w:tcW w:w="276" w:type="dxa"/>
            <w:tcBorders>
              <w:top w:val="nil"/>
              <w:left w:val="nil"/>
              <w:bottom w:val="nil"/>
              <w:right w:val="nil"/>
            </w:tcBorders>
            <w:shd w:val="clear" w:color="000000" w:fill="FFFFFF"/>
            <w:noWrap/>
            <w:vAlign w:val="center"/>
          </w:tcPr>
          <w:p w:rsidR="00A917FF" w:rsidRPr="0010191A" w:rsidRDefault="00A917FF" w:rsidP="0052196B">
            <w:pPr>
              <w:pStyle w:val="Sinespaciado"/>
              <w:jc w:val="both"/>
            </w:pPr>
          </w:p>
        </w:tc>
        <w:tc>
          <w:tcPr>
            <w:tcW w:w="423" w:type="dxa"/>
            <w:tcBorders>
              <w:top w:val="nil"/>
              <w:left w:val="nil"/>
              <w:bottom w:val="nil"/>
              <w:right w:val="nil"/>
            </w:tcBorders>
            <w:shd w:val="clear" w:color="000000" w:fill="FFFFFF"/>
            <w:noWrap/>
            <w:vAlign w:val="center"/>
          </w:tcPr>
          <w:p w:rsidR="00A917FF" w:rsidRPr="0010191A" w:rsidRDefault="00A917FF" w:rsidP="00CB12B7">
            <w:pPr>
              <w:pStyle w:val="Sinespaciado"/>
            </w:pPr>
          </w:p>
        </w:tc>
        <w:tc>
          <w:tcPr>
            <w:tcW w:w="1353"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pPr>
            <w:r w:rsidRPr="0010191A">
              <w:t>Former</w:t>
            </w:r>
          </w:p>
        </w:tc>
        <w:tc>
          <w:tcPr>
            <w:tcW w:w="138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rsidRPr="0010191A">
              <w:t>4327</w:t>
            </w:r>
            <w:r>
              <w:t xml:space="preserve"> (</w:t>
            </w:r>
            <w:r w:rsidRPr="0010191A">
              <w:t>38.25)</w:t>
            </w:r>
          </w:p>
        </w:tc>
        <w:tc>
          <w:tcPr>
            <w:tcW w:w="150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rsidRPr="0010191A">
              <w:t>6081 (32.50)</w:t>
            </w:r>
          </w:p>
        </w:tc>
        <w:tc>
          <w:tcPr>
            <w:tcW w:w="138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t>2097</w:t>
            </w:r>
            <w:r w:rsidRPr="0010191A">
              <w:t xml:space="preserve"> (17.91)</w:t>
            </w:r>
          </w:p>
        </w:tc>
        <w:tc>
          <w:tcPr>
            <w:tcW w:w="150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t>5678</w:t>
            </w:r>
            <w:r w:rsidRPr="0010191A">
              <w:t xml:space="preserve"> (24.98)</w:t>
            </w:r>
          </w:p>
        </w:tc>
        <w:tc>
          <w:tcPr>
            <w:tcW w:w="126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t>694</w:t>
            </w:r>
            <w:r w:rsidRPr="0010191A">
              <w:t xml:space="preserve"> (23.73)</w:t>
            </w:r>
          </w:p>
        </w:tc>
        <w:tc>
          <w:tcPr>
            <w:tcW w:w="114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rsidRPr="0010191A">
              <w:t>306</w:t>
            </w:r>
            <w:r>
              <w:t xml:space="preserve"> (</w:t>
            </w:r>
            <w:r w:rsidR="00CB12B7">
              <w:t>24.0</w:t>
            </w:r>
            <w:r w:rsidRPr="0010191A">
              <w:t>)</w:t>
            </w:r>
          </w:p>
        </w:tc>
        <w:tc>
          <w:tcPr>
            <w:tcW w:w="126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t>719</w:t>
            </w:r>
            <w:r w:rsidRPr="0010191A">
              <w:t xml:space="preserve"> (25.57)</w:t>
            </w:r>
          </w:p>
        </w:tc>
        <w:tc>
          <w:tcPr>
            <w:tcW w:w="1386" w:type="dxa"/>
            <w:tcBorders>
              <w:top w:val="nil"/>
              <w:left w:val="nil"/>
              <w:bottom w:val="single" w:sz="4" w:space="0" w:color="auto"/>
              <w:right w:val="single" w:sz="4" w:space="0" w:color="auto"/>
            </w:tcBorders>
            <w:shd w:val="clear" w:color="000000" w:fill="FFFFFF"/>
            <w:noWrap/>
            <w:vAlign w:val="center"/>
          </w:tcPr>
          <w:p w:rsidR="00A917FF" w:rsidRPr="0010191A" w:rsidRDefault="00A917FF" w:rsidP="00CB12B7">
            <w:pPr>
              <w:pStyle w:val="Sinespaciado"/>
              <w:jc w:val="center"/>
            </w:pPr>
            <w:r>
              <w:t>2032</w:t>
            </w:r>
            <w:r w:rsidRPr="0010191A">
              <w:t xml:space="preserve"> (20.23)</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423" w:type="dxa"/>
            <w:tcBorders>
              <w:top w:val="nil"/>
              <w:left w:val="nil"/>
              <w:bottom w:val="nil"/>
              <w:right w:val="nil"/>
            </w:tcBorders>
            <w:shd w:val="clear" w:color="000000" w:fill="FFFFFF"/>
            <w:noWrap/>
            <w:vAlign w:val="center"/>
            <w:hideMark/>
          </w:tcPr>
          <w:p w:rsidR="00A917FF" w:rsidRPr="0010191A" w:rsidRDefault="00A917FF" w:rsidP="00CB12B7">
            <w:pPr>
              <w:pStyle w:val="Sinespaciado"/>
            </w:pPr>
            <w:r w:rsidRPr="0010191A">
              <w:t> </w:t>
            </w:r>
          </w:p>
        </w:tc>
        <w:tc>
          <w:tcPr>
            <w:tcW w:w="1353"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pPr>
            <w:r w:rsidRPr="0010191A">
              <w:t>Never</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4359</w:t>
            </w:r>
            <w:r>
              <w:t xml:space="preserve"> (</w:t>
            </w:r>
            <w:r w:rsidRPr="0010191A">
              <w:t>38.53)</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8403 (44.91)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4888</w:t>
            </w:r>
            <w:r w:rsidRPr="0010191A">
              <w:t xml:space="preserve"> (41.75)</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9232</w:t>
            </w:r>
            <w:r w:rsidRPr="0010191A">
              <w:t xml:space="preserve"> (40.61)</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1518</w:t>
            </w:r>
            <w:r w:rsidR="00CB12B7">
              <w:t xml:space="preserve"> (51.9</w:t>
            </w:r>
            <w:r w:rsidRPr="0010191A">
              <w:t>)</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574</w:t>
            </w:r>
            <w:r>
              <w:t xml:space="preserve"> (</w:t>
            </w:r>
            <w:r w:rsidR="00CB12B7">
              <w:t>45.0</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1172</w:t>
            </w:r>
            <w:r w:rsidR="00CB12B7">
              <w:t xml:space="preserve"> (41.6</w:t>
            </w:r>
            <w:r w:rsidRPr="0010191A">
              <w:t>)</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3415</w:t>
            </w:r>
            <w:r w:rsidRPr="0010191A">
              <w:t xml:space="preserve"> (34.00)</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Myocardial infarction</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3787</w:t>
            </w:r>
            <w:r>
              <w:t xml:space="preserve"> (</w:t>
            </w:r>
            <w:r w:rsidRPr="0010191A">
              <w:t>33.47)</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4989</w:t>
            </w:r>
            <w:r w:rsidRPr="0010191A">
              <w:t xml:space="preserve"> (26.66)</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1473</w:t>
            </w:r>
            <w:r>
              <w:t xml:space="preserve"> (</w:t>
            </w:r>
            <w:r w:rsidRPr="0010191A">
              <w:t>12.56)</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4236</w:t>
            </w:r>
            <w:r w:rsidRPr="0010191A">
              <w:t xml:space="preserve"> (18.62)</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613</w:t>
            </w:r>
            <w:r>
              <w:t xml:space="preserve"> (</w:t>
            </w:r>
            <w:r w:rsidRPr="0010191A">
              <w:t>20.95)</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217</w:t>
            </w:r>
            <w:r>
              <w:t xml:space="preserve"> (</w:t>
            </w:r>
            <w:r w:rsidR="00CB12B7">
              <w:t>17.0</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502</w:t>
            </w:r>
            <w:r>
              <w:t xml:space="preserve"> (</w:t>
            </w:r>
            <w:r w:rsidRPr="0010191A">
              <w:t>17.85)</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921</w:t>
            </w:r>
            <w:r w:rsidRPr="0010191A">
              <w:t xml:space="preserve"> (9.12)</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tcBorders>
            <w:shd w:val="clear" w:color="000000" w:fill="FFFFFF"/>
            <w:noWrap/>
            <w:vAlign w:val="center"/>
            <w:hideMark/>
          </w:tcPr>
          <w:p w:rsidR="00A917FF" w:rsidRPr="0010191A" w:rsidRDefault="00A917FF" w:rsidP="00CB12B7">
            <w:pPr>
              <w:pStyle w:val="Sinespaciado"/>
            </w:pPr>
            <w:r w:rsidRPr="0010191A">
              <w:t>Revascularization</w:t>
            </w:r>
          </w:p>
        </w:tc>
        <w:tc>
          <w:tcPr>
            <w:tcW w:w="138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50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38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50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2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14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266" w:type="dxa"/>
            <w:tcBorders>
              <w:top w:val="nil"/>
              <w:left w:val="nil"/>
              <w:bottom w:val="single" w:sz="4" w:space="0" w:color="auto"/>
              <w:right w:val="nil"/>
            </w:tcBorders>
            <w:shd w:val="clear" w:color="000000" w:fill="FFFFFF"/>
            <w:noWrap/>
            <w:vAlign w:val="center"/>
            <w:hideMark/>
          </w:tcPr>
          <w:p w:rsidR="00A917FF" w:rsidRPr="0010191A" w:rsidRDefault="00A917FF" w:rsidP="00CB12B7">
            <w:pPr>
              <w:pStyle w:val="Sinespaciado"/>
              <w:jc w:val="center"/>
            </w:pP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423" w:type="dxa"/>
            <w:tcBorders>
              <w:top w:val="nil"/>
              <w:left w:val="nil"/>
              <w:bottom w:val="nil"/>
              <w:right w:val="nil"/>
            </w:tcBorders>
            <w:shd w:val="clear" w:color="000000" w:fill="FFFFFF"/>
            <w:noWrap/>
            <w:vAlign w:val="center"/>
            <w:hideMark/>
          </w:tcPr>
          <w:p w:rsidR="00A917FF" w:rsidRPr="0010191A" w:rsidRDefault="00A917FF" w:rsidP="00CB12B7">
            <w:pPr>
              <w:pStyle w:val="Sinespaciado"/>
            </w:pPr>
            <w:r w:rsidRPr="0010191A">
              <w:t> </w:t>
            </w:r>
          </w:p>
        </w:tc>
        <w:tc>
          <w:tcPr>
            <w:tcW w:w="1353"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pPr>
            <w:r w:rsidRPr="0010191A">
              <w:t>PCI</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1104</w:t>
            </w:r>
            <w:r>
              <w:t xml:space="preserve"> (</w:t>
            </w:r>
            <w:r w:rsidRPr="0010191A">
              <w:t>9.75)</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2229</w:t>
            </w:r>
            <w:r>
              <w:t xml:space="preserve"> (</w:t>
            </w:r>
            <w:r w:rsidRPr="0010191A">
              <w:t>11.91)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350</w:t>
            </w:r>
            <w:r>
              <w:t xml:space="preserve"> (</w:t>
            </w:r>
            <w:r w:rsidRPr="0010191A">
              <w:t>2.98)</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3502</w:t>
            </w:r>
            <w:r w:rsidRPr="0010191A">
              <w:t xml:space="preserve"> (15.40)</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485</w:t>
            </w:r>
            <w:r>
              <w:t xml:space="preserve"> (</w:t>
            </w:r>
            <w:r w:rsidRPr="0010191A">
              <w:t>16.57)</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138</w:t>
            </w:r>
            <w:r>
              <w:t xml:space="preserve"> (</w:t>
            </w:r>
            <w:r w:rsidR="00CB12B7">
              <w:t>10.8</w:t>
            </w:r>
            <w:r w:rsidRPr="0010191A">
              <w:t>)</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366</w:t>
            </w:r>
            <w:r>
              <w:t xml:space="preserve"> (</w:t>
            </w:r>
            <w:r w:rsidRPr="0010191A">
              <w:t>13.01)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849</w:t>
            </w:r>
            <w:r w:rsidRPr="0010191A">
              <w:t xml:space="preserve"> (8.41)</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423" w:type="dxa"/>
            <w:tcBorders>
              <w:top w:val="nil"/>
              <w:left w:val="nil"/>
              <w:bottom w:val="nil"/>
              <w:right w:val="nil"/>
            </w:tcBorders>
            <w:shd w:val="clear" w:color="000000" w:fill="FFFFFF"/>
            <w:noWrap/>
            <w:vAlign w:val="center"/>
            <w:hideMark/>
          </w:tcPr>
          <w:p w:rsidR="00A917FF" w:rsidRPr="0010191A" w:rsidRDefault="00A917FF" w:rsidP="00CB12B7">
            <w:pPr>
              <w:pStyle w:val="Sinespaciado"/>
            </w:pPr>
            <w:r w:rsidRPr="0010191A">
              <w:t> </w:t>
            </w:r>
          </w:p>
        </w:tc>
        <w:tc>
          <w:tcPr>
            <w:tcW w:w="1353"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pPr>
            <w:r w:rsidRPr="0010191A">
              <w:t>CABG</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1325</w:t>
            </w:r>
            <w:r>
              <w:t xml:space="preserve"> (</w:t>
            </w:r>
            <w:r w:rsidRPr="0010191A">
              <w:t>11.71)</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1602</w:t>
            </w:r>
            <w:r>
              <w:t xml:space="preserve"> (</w:t>
            </w:r>
            <w:r w:rsidRPr="0010191A">
              <w:t>8.56)</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131</w:t>
            </w:r>
            <w:r>
              <w:t xml:space="preserve"> (</w:t>
            </w:r>
            <w:r w:rsidRPr="0010191A">
              <w:t>1.11)</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1552</w:t>
            </w:r>
            <w:r w:rsidRPr="0010191A">
              <w:t xml:space="preserve"> (6.82)</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181</w:t>
            </w:r>
            <w:r>
              <w:t xml:space="preserve"> (</w:t>
            </w:r>
            <w:r w:rsidRPr="0010191A">
              <w:t>6.18)</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58</w:t>
            </w:r>
            <w:r>
              <w:t xml:space="preserve"> (</w:t>
            </w:r>
            <w:r w:rsidRPr="0010191A">
              <w:t>4.55)</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68</w:t>
            </w:r>
            <w:r>
              <w:t xml:space="preserve"> (</w:t>
            </w:r>
            <w:r w:rsidRPr="0010191A">
              <w:t>2.41)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21</w:t>
            </w:r>
            <w:r w:rsidRPr="0010191A">
              <w:t xml:space="preserve"> (0.20)</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Heart failure</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857</w:t>
            </w:r>
            <w:r>
              <w:t xml:space="preserve"> (</w:t>
            </w:r>
            <w:r w:rsidRPr="0010191A">
              <w:t>7.57)</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218</w:t>
            </w:r>
            <w:r>
              <w:t xml:space="preserve"> (</w:t>
            </w:r>
            <w:r w:rsidRPr="0010191A">
              <w:t>1.16)</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1648</w:t>
            </w:r>
            <w:r>
              <w:t xml:space="preserve"> (</w:t>
            </w:r>
            <w:r w:rsidRPr="0010191A">
              <w:t>14.05)</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96</w:t>
            </w:r>
            <w:r w:rsidRPr="0010191A">
              <w:t xml:space="preserve"> (0.42)</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19</w:t>
            </w:r>
            <w:r>
              <w:t xml:space="preserve"> (</w:t>
            </w:r>
            <w:r w:rsidRPr="0010191A">
              <w:t>0.64)</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5</w:t>
            </w:r>
            <w:r>
              <w:t xml:space="preserve"> (</w:t>
            </w:r>
            <w:r w:rsidRPr="0010191A">
              <w:t>0.39)</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w:t>
            </w:r>
            <w:r>
              <w:t xml:space="preserve"> (</w:t>
            </w:r>
            <w:r w:rsidRPr="0010191A">
              <w:t>0.21)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97</w:t>
            </w:r>
            <w:r>
              <w:t xml:space="preserve"> (</w:t>
            </w:r>
            <w:r w:rsidRPr="0010191A">
              <w:t>0.96)</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Stroke</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473</w:t>
            </w:r>
            <w:r>
              <w:t xml:space="preserve"> (</w:t>
            </w:r>
            <w:r w:rsidRPr="0010191A">
              <w:t>4.18)</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1182</w:t>
            </w:r>
            <w:r>
              <w:t xml:space="preserve"> (</w:t>
            </w:r>
            <w:r w:rsidRPr="0010191A">
              <w:t>6.31)</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785</w:t>
            </w:r>
            <w:r>
              <w:t xml:space="preserve"> (</w:t>
            </w:r>
            <w:r w:rsidRPr="0010191A">
              <w:t>6.69)</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951</w:t>
            </w:r>
            <w:r w:rsidRPr="0010191A">
              <w:t xml:space="preserve"> (4.18)</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135</w:t>
            </w:r>
            <w:r>
              <w:t xml:space="preserve"> (</w:t>
            </w:r>
            <w:r w:rsidRPr="0010191A">
              <w:t>4.61)</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100</w:t>
            </w:r>
            <w:r>
              <w:t xml:space="preserve"> (</w:t>
            </w:r>
            <w:r w:rsidRPr="0010191A">
              <w:t>7.84)</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111</w:t>
            </w:r>
            <w:r>
              <w:t xml:space="preserve"> (</w:t>
            </w:r>
            <w:r w:rsidRPr="0010191A">
              <w:t>3.94)</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312</w:t>
            </w:r>
            <w:r w:rsidRPr="0010191A">
              <w:t xml:space="preserve"> (3.09)</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Peripheral artery disease</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992</w:t>
            </w:r>
            <w:r>
              <w:t xml:space="preserve"> (</w:t>
            </w:r>
            <w:r w:rsidRPr="0010191A">
              <w:t>8.76)</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1524</w:t>
            </w:r>
            <w:r>
              <w:t xml:space="preserve"> (</w:t>
            </w:r>
            <w:r w:rsidRPr="0010191A">
              <w:t>8.14)</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394</w:t>
            </w:r>
            <w:r w:rsidRPr="0010191A">
              <w:t xml:space="preserve"> (3.36)</w:t>
            </w:r>
          </w:p>
        </w:tc>
        <w:tc>
          <w:tcPr>
            <w:tcW w:w="150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1129</w:t>
            </w:r>
            <w:r w:rsidRPr="0010191A">
              <w:t xml:space="preserve"> (4.96)</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180</w:t>
            </w:r>
            <w:r>
              <w:t xml:space="preserve"> (</w:t>
            </w:r>
            <w:r w:rsidRPr="0010191A">
              <w:t>6.15)</w:t>
            </w:r>
          </w:p>
        </w:tc>
        <w:tc>
          <w:tcPr>
            <w:tcW w:w="114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60</w:t>
            </w:r>
            <w:r>
              <w:t xml:space="preserve"> (</w:t>
            </w:r>
            <w:r w:rsidRPr="0010191A">
              <w:t>4.70)</w:t>
            </w:r>
          </w:p>
        </w:tc>
        <w:tc>
          <w:tcPr>
            <w:tcW w:w="126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67</w:t>
            </w:r>
            <w:r>
              <w:t xml:space="preserve"> (</w:t>
            </w:r>
            <w:r w:rsidRPr="0010191A">
              <w:t>2.38)</w:t>
            </w:r>
          </w:p>
        </w:tc>
        <w:tc>
          <w:tcPr>
            <w:tcW w:w="138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226</w:t>
            </w:r>
            <w:r>
              <w:t xml:space="preserve"> (</w:t>
            </w:r>
            <w:r w:rsidRPr="0010191A">
              <w:t>2.23)</w:t>
            </w:r>
          </w:p>
        </w:tc>
      </w:tr>
      <w:tr w:rsidR="00A917FF" w:rsidRPr="0010191A" w:rsidTr="00CB12B7">
        <w:trPr>
          <w:trHeight w:val="300"/>
        </w:trPr>
        <w:tc>
          <w:tcPr>
            <w:tcW w:w="276" w:type="dxa"/>
            <w:tcBorders>
              <w:top w:val="nil"/>
              <w:left w:val="nil"/>
              <w:bottom w:val="nil"/>
              <w:right w:val="nil"/>
            </w:tcBorders>
            <w:shd w:val="clear" w:color="000000" w:fill="FFFFFF"/>
            <w:noWrap/>
            <w:vAlign w:val="center"/>
            <w:hideMark/>
          </w:tcPr>
          <w:p w:rsidR="00A917FF" w:rsidRPr="0010191A" w:rsidRDefault="00A917FF" w:rsidP="0052196B">
            <w:pPr>
              <w:pStyle w:val="Sinespaciado"/>
              <w:jc w:val="both"/>
            </w:pPr>
            <w:r w:rsidRPr="0010191A">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pStyle w:val="Sinespaciado"/>
            </w:pPr>
            <w:r w:rsidRPr="0010191A">
              <w:t>Cancer</w:t>
            </w:r>
          </w:p>
        </w:tc>
        <w:tc>
          <w:tcPr>
            <w:tcW w:w="13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618</w:t>
            </w:r>
            <w:r>
              <w:t xml:space="preserve"> (</w:t>
            </w:r>
            <w:r w:rsidRPr="0010191A">
              <w:t>5.46)</w:t>
            </w:r>
          </w:p>
        </w:tc>
        <w:tc>
          <w:tcPr>
            <w:tcW w:w="150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1107</w:t>
            </w:r>
            <w:r>
              <w:t xml:space="preserve"> (</w:t>
            </w:r>
            <w:r w:rsidRPr="0010191A">
              <w:t>5.91)</w:t>
            </w:r>
          </w:p>
        </w:tc>
        <w:tc>
          <w:tcPr>
            <w:tcW w:w="13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97</w:t>
            </w:r>
            <w:r>
              <w:t xml:space="preserve"> (</w:t>
            </w:r>
            <w:r w:rsidRPr="0010191A">
              <w:t>0.82)</w:t>
            </w:r>
          </w:p>
        </w:tc>
        <w:tc>
          <w:tcPr>
            <w:tcW w:w="150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t>985</w:t>
            </w:r>
            <w:r w:rsidRPr="0010191A">
              <w:t xml:space="preserve"> (4.33)</w:t>
            </w:r>
          </w:p>
        </w:tc>
        <w:tc>
          <w:tcPr>
            <w:tcW w:w="12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139</w:t>
            </w:r>
            <w:r>
              <w:t xml:space="preserve"> (</w:t>
            </w:r>
            <w:r w:rsidRPr="0010191A">
              <w:t>4.75)</w:t>
            </w:r>
          </w:p>
        </w:tc>
        <w:tc>
          <w:tcPr>
            <w:tcW w:w="114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14</w:t>
            </w:r>
            <w:r>
              <w:t xml:space="preserve"> (</w:t>
            </w:r>
            <w:r w:rsidRPr="0010191A">
              <w:t>1.09)</w:t>
            </w:r>
          </w:p>
        </w:tc>
        <w:tc>
          <w:tcPr>
            <w:tcW w:w="126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75</w:t>
            </w:r>
            <w:r>
              <w:t xml:space="preserve"> (</w:t>
            </w:r>
            <w:r w:rsidRPr="0010191A">
              <w:t>2.66)</w:t>
            </w:r>
          </w:p>
        </w:tc>
        <w:tc>
          <w:tcPr>
            <w:tcW w:w="13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pStyle w:val="Sinespaciado"/>
              <w:jc w:val="center"/>
            </w:pPr>
            <w:r w:rsidRPr="0010191A">
              <w:t>190</w:t>
            </w:r>
            <w:r>
              <w:t xml:space="preserve"> (</w:t>
            </w:r>
            <w:r w:rsidRPr="0010191A">
              <w:t>1.88)</w:t>
            </w:r>
          </w:p>
        </w:tc>
      </w:tr>
      <w:tr w:rsidR="00A917FF" w:rsidRPr="0010191A" w:rsidTr="00CB12B7">
        <w:trPr>
          <w:trHeight w:val="300"/>
        </w:trPr>
        <w:tc>
          <w:tcPr>
            <w:tcW w:w="276" w:type="dxa"/>
            <w:tcBorders>
              <w:top w:val="nil"/>
              <w:left w:val="nil"/>
              <w:bottom w:val="nil"/>
              <w:right w:val="nil"/>
            </w:tcBorders>
            <w:shd w:val="clear" w:color="000000" w:fill="FFFFFF"/>
            <w:noWrap/>
            <w:vAlign w:val="center"/>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center"/>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CKD</w:t>
            </w:r>
          </w:p>
        </w:tc>
        <w:tc>
          <w:tcPr>
            <w:tcW w:w="138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3301</w:t>
            </w:r>
            <w:r>
              <w:rPr>
                <w:rFonts w:ascii="Calibri" w:eastAsia="Times New Roman" w:hAnsi="Calibri" w:cs="Times New Roman"/>
                <w:color w:val="000000"/>
              </w:rPr>
              <w:t xml:space="preserve"> (</w:t>
            </w:r>
            <w:r w:rsidRPr="0010191A">
              <w:rPr>
                <w:rFonts w:ascii="Calibri" w:eastAsia="Times New Roman" w:hAnsi="Calibri" w:cs="Times New Roman"/>
                <w:color w:val="000000"/>
              </w:rPr>
              <w:t>29.88)</w:t>
            </w:r>
          </w:p>
        </w:tc>
        <w:tc>
          <w:tcPr>
            <w:tcW w:w="150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6112</w:t>
            </w:r>
            <w:r>
              <w:rPr>
                <w:rFonts w:ascii="Calibri" w:eastAsia="Times New Roman" w:hAnsi="Calibri" w:cs="Times New Roman"/>
                <w:color w:val="000000"/>
              </w:rPr>
              <w:t xml:space="preserve"> (</w:t>
            </w:r>
            <w:r w:rsidRPr="0010191A">
              <w:rPr>
                <w:rFonts w:ascii="Calibri" w:eastAsia="Times New Roman" w:hAnsi="Calibri" w:cs="Times New Roman"/>
                <w:color w:val="000000"/>
              </w:rPr>
              <w:t>32.79)</w:t>
            </w:r>
          </w:p>
        </w:tc>
        <w:tc>
          <w:tcPr>
            <w:tcW w:w="138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3055</w:t>
            </w:r>
            <w:r>
              <w:rPr>
                <w:rFonts w:ascii="Calibri" w:eastAsia="Times New Roman" w:hAnsi="Calibri" w:cs="Times New Roman"/>
                <w:color w:val="000000"/>
              </w:rPr>
              <w:t xml:space="preserve"> (</w:t>
            </w:r>
            <w:r w:rsidRPr="0010191A">
              <w:rPr>
                <w:rFonts w:ascii="Calibri" w:eastAsia="Times New Roman" w:hAnsi="Calibri" w:cs="Times New Roman"/>
                <w:color w:val="000000"/>
              </w:rPr>
              <w:t>26.46)</w:t>
            </w:r>
          </w:p>
        </w:tc>
        <w:tc>
          <w:tcPr>
            <w:tcW w:w="150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4801</w:t>
            </w:r>
            <w:r w:rsidRPr="0010191A">
              <w:rPr>
                <w:rFonts w:ascii="Calibri" w:eastAsia="Times New Roman" w:hAnsi="Calibri" w:cs="Times New Roman"/>
                <w:color w:val="000000"/>
              </w:rPr>
              <w:t xml:space="preserve"> (21.39)</w:t>
            </w:r>
          </w:p>
        </w:tc>
        <w:tc>
          <w:tcPr>
            <w:tcW w:w="126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722</w:t>
            </w:r>
            <w:r>
              <w:rPr>
                <w:rFonts w:ascii="Calibri" w:eastAsia="Times New Roman" w:hAnsi="Calibri" w:cs="Times New Roman"/>
                <w:color w:val="000000"/>
              </w:rPr>
              <w:t xml:space="preserve"> (</w:t>
            </w:r>
            <w:r w:rsidRPr="0010191A">
              <w:rPr>
                <w:rFonts w:ascii="Calibri" w:eastAsia="Times New Roman" w:hAnsi="Calibri" w:cs="Times New Roman"/>
                <w:color w:val="000000"/>
              </w:rPr>
              <w:t>24.71)</w:t>
            </w:r>
          </w:p>
        </w:tc>
        <w:tc>
          <w:tcPr>
            <w:tcW w:w="114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277</w:t>
            </w:r>
            <w:r>
              <w:rPr>
                <w:rFonts w:ascii="Calibri" w:eastAsia="Times New Roman" w:hAnsi="Calibri" w:cs="Times New Roman"/>
                <w:color w:val="000000"/>
              </w:rPr>
              <w:t xml:space="preserve"> (</w:t>
            </w:r>
            <w:r w:rsidR="00CB12B7">
              <w:rPr>
                <w:rFonts w:ascii="Calibri" w:eastAsia="Times New Roman" w:hAnsi="Calibri" w:cs="Times New Roman"/>
                <w:color w:val="000000"/>
              </w:rPr>
              <w:t>22.4</w:t>
            </w:r>
            <w:r w:rsidRPr="0010191A">
              <w:rPr>
                <w:rFonts w:ascii="Calibri" w:eastAsia="Times New Roman" w:hAnsi="Calibri" w:cs="Times New Roman"/>
                <w:color w:val="000000"/>
              </w:rPr>
              <w:t>)</w:t>
            </w:r>
          </w:p>
        </w:tc>
        <w:tc>
          <w:tcPr>
            <w:tcW w:w="126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478</w:t>
            </w:r>
            <w:r>
              <w:rPr>
                <w:rFonts w:ascii="Calibri" w:eastAsia="Times New Roman" w:hAnsi="Calibri" w:cs="Times New Roman"/>
                <w:color w:val="000000"/>
              </w:rPr>
              <w:t xml:space="preserve"> (</w:t>
            </w:r>
            <w:r w:rsidRPr="0010191A">
              <w:rPr>
                <w:rFonts w:ascii="Calibri" w:eastAsia="Times New Roman" w:hAnsi="Calibri" w:cs="Times New Roman"/>
                <w:color w:val="000000"/>
              </w:rPr>
              <w:t>17.20)</w:t>
            </w:r>
          </w:p>
        </w:tc>
        <w:tc>
          <w:tcPr>
            <w:tcW w:w="1386" w:type="dxa"/>
            <w:tcBorders>
              <w:top w:val="single" w:sz="4" w:space="0" w:color="auto"/>
              <w:left w:val="nil"/>
              <w:bottom w:val="single" w:sz="4" w:space="0" w:color="auto"/>
              <w:right w:val="single" w:sz="4" w:space="0" w:color="auto"/>
            </w:tcBorders>
            <w:shd w:val="clear" w:color="000000" w:fill="FFFFFF"/>
            <w:noWrap/>
            <w:vAlign w:val="center"/>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1462</w:t>
            </w:r>
            <w:r w:rsidRPr="0010191A">
              <w:rPr>
                <w:rFonts w:ascii="Calibri" w:eastAsia="Times New Roman" w:hAnsi="Calibri" w:cs="Times New Roman"/>
                <w:color w:val="000000"/>
              </w:rPr>
              <w:t xml:space="preserve"> (14.69)</w:t>
            </w:r>
          </w:p>
        </w:tc>
      </w:tr>
    </w:tbl>
    <w:p w:rsidR="00A917FF" w:rsidRDefault="00A917FF" w:rsidP="0052196B">
      <w:pPr>
        <w:jc w:val="both"/>
      </w:pPr>
    </w:p>
    <w:p w:rsidR="00A917FF" w:rsidRDefault="00A917FF" w:rsidP="0052196B">
      <w:pPr>
        <w:jc w:val="both"/>
      </w:pPr>
      <w:r>
        <w:br w:type="page"/>
      </w:r>
    </w:p>
    <w:p w:rsidR="00A917FF" w:rsidRPr="001D19F4" w:rsidRDefault="00A917FF" w:rsidP="0052196B">
      <w:pPr>
        <w:jc w:val="both"/>
      </w:pPr>
      <w:r>
        <w:lastRenderedPageBreak/>
        <w:t>Table S1 cont.:</w:t>
      </w:r>
    </w:p>
    <w:tbl>
      <w:tblPr>
        <w:tblW w:w="12923" w:type="dxa"/>
        <w:tblInd w:w="108" w:type="dxa"/>
        <w:tblLook w:val="04A0" w:firstRow="1" w:lastRow="0" w:firstColumn="1" w:lastColumn="0" w:noHBand="0" w:noVBand="1"/>
      </w:tblPr>
      <w:tblGrid>
        <w:gridCol w:w="273"/>
        <w:gridCol w:w="409"/>
        <w:gridCol w:w="1416"/>
        <w:gridCol w:w="1320"/>
        <w:gridCol w:w="1432"/>
        <w:gridCol w:w="1432"/>
        <w:gridCol w:w="1432"/>
        <w:gridCol w:w="1376"/>
        <w:gridCol w:w="1208"/>
        <w:gridCol w:w="1208"/>
        <w:gridCol w:w="1417"/>
      </w:tblGrid>
      <w:tr w:rsidR="00A917FF" w:rsidRPr="0010191A" w:rsidTr="00CB12B7">
        <w:trPr>
          <w:trHeight w:val="300"/>
        </w:trPr>
        <w:tc>
          <w:tcPr>
            <w:tcW w:w="2098" w:type="dxa"/>
            <w:gridSpan w:val="3"/>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xml:space="preserve">ACS admission </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4</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11313)</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5</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18706)</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6</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11716)</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7</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22714)</w:t>
            </w:r>
          </w:p>
        </w:tc>
        <w:tc>
          <w:tcPr>
            <w:tcW w:w="137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8</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2927)</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TIMACS</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1273)</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RIVAL</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2811)</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TOTAL</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10091)</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nil"/>
              <w:left w:val="nil"/>
              <w:bottom w:val="single" w:sz="4" w:space="0" w:color="auto"/>
              <w:right w:val="single" w:sz="4" w:space="0" w:color="000000"/>
            </w:tcBorders>
            <w:shd w:val="clear" w:color="000000" w:fill="FFFFFF"/>
            <w:noWrap/>
            <w:vAlign w:val="center"/>
            <w:hideMark/>
          </w:tcPr>
          <w:p w:rsidR="00A917FF"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xml:space="preserve">Admission </w:t>
            </w:r>
          </w:p>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KK &gt;= 2</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277</w:t>
            </w:r>
            <w:r>
              <w:rPr>
                <w:rFonts w:ascii="Calibri" w:eastAsia="Times New Roman" w:hAnsi="Calibri" w:cs="Times New Roman"/>
                <w:color w:val="000000"/>
              </w:rPr>
              <w:t xml:space="preserve"> (</w:t>
            </w:r>
            <w:r w:rsidRPr="0010191A">
              <w:rPr>
                <w:rFonts w:ascii="Calibri" w:eastAsia="Times New Roman" w:hAnsi="Calibri" w:cs="Times New Roman"/>
                <w:color w:val="000000"/>
              </w:rPr>
              <w:t>2.44)</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1676</w:t>
            </w:r>
            <w:r w:rsidRPr="0010191A">
              <w:rPr>
                <w:rFonts w:ascii="Calibri" w:eastAsia="Times New Roman" w:hAnsi="Calibri" w:cs="Times New Roman"/>
                <w:color w:val="000000"/>
              </w:rPr>
              <w:t xml:space="preserve"> (8.96)</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803</w:t>
            </w:r>
            <w:r>
              <w:rPr>
                <w:rFonts w:ascii="Calibri" w:eastAsia="Times New Roman" w:hAnsi="Calibri" w:cs="Times New Roman"/>
                <w:color w:val="000000"/>
              </w:rPr>
              <w:t xml:space="preserve"> (</w:t>
            </w:r>
            <w:r w:rsidRPr="0010191A">
              <w:rPr>
                <w:rFonts w:ascii="Calibri" w:eastAsia="Times New Roman" w:hAnsi="Calibri" w:cs="Times New Roman"/>
                <w:color w:val="000000"/>
              </w:rPr>
              <w:t>6.84)</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1190</w:t>
            </w:r>
            <w:r w:rsidRPr="0010191A">
              <w:rPr>
                <w:rFonts w:ascii="Calibri" w:eastAsia="Times New Roman" w:hAnsi="Calibri" w:cs="Times New Roman"/>
                <w:color w:val="000000"/>
              </w:rPr>
              <w:t xml:space="preserve"> (5.23)</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127</w:t>
            </w:r>
            <w:r w:rsidRPr="0010191A">
              <w:rPr>
                <w:rFonts w:ascii="Calibri" w:eastAsia="Times New Roman" w:hAnsi="Calibri" w:cs="Times New Roman"/>
                <w:color w:val="000000"/>
              </w:rPr>
              <w:t xml:space="preserve"> (4.34)</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111</w:t>
            </w:r>
            <w:r>
              <w:rPr>
                <w:rFonts w:ascii="Calibri" w:eastAsia="Times New Roman" w:hAnsi="Calibri" w:cs="Times New Roman"/>
                <w:color w:val="000000"/>
              </w:rPr>
              <w:t xml:space="preserve"> (</w:t>
            </w:r>
            <w:r w:rsidRPr="0010191A">
              <w:rPr>
                <w:rFonts w:ascii="Calibri" w:eastAsia="Times New Roman" w:hAnsi="Calibri" w:cs="Times New Roman"/>
                <w:color w:val="000000"/>
              </w:rPr>
              <w:t>8.71)</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122</w:t>
            </w:r>
            <w:r>
              <w:rPr>
                <w:rFonts w:ascii="Calibri" w:eastAsia="Times New Roman" w:hAnsi="Calibri" w:cs="Times New Roman"/>
                <w:color w:val="000000"/>
              </w:rPr>
              <w:t xml:space="preserve"> (</w:t>
            </w:r>
            <w:r w:rsidRPr="0010191A">
              <w:rPr>
                <w:rFonts w:ascii="Calibri" w:eastAsia="Times New Roman" w:hAnsi="Calibri" w:cs="Times New Roman"/>
                <w:color w:val="000000"/>
              </w:rPr>
              <w:t>4.33)</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439</w:t>
            </w:r>
            <w:r w:rsidRPr="0010191A">
              <w:rPr>
                <w:rFonts w:ascii="Calibri" w:eastAsia="Times New Roman" w:hAnsi="Calibri" w:cs="Times New Roman"/>
                <w:color w:val="000000"/>
              </w:rPr>
              <w:t xml:space="preserve"> (4.34)</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Hear</w:t>
            </w:r>
            <w:r>
              <w:rPr>
                <w:rFonts w:ascii="Calibri" w:eastAsia="Times New Roman" w:hAnsi="Calibri" w:cs="Times New Roman"/>
                <w:color w:val="000000"/>
              </w:rPr>
              <w:t>t failure during hosp.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470</w:t>
            </w:r>
            <w:r>
              <w:rPr>
                <w:rFonts w:ascii="Calibri" w:eastAsia="Times New Roman" w:hAnsi="Calibri" w:cs="Times New Roman"/>
                <w:color w:val="000000"/>
              </w:rPr>
              <w:t xml:space="preserve"> (</w:t>
            </w:r>
            <w:r w:rsidRPr="0010191A">
              <w:rPr>
                <w:rFonts w:ascii="Calibri" w:eastAsia="Times New Roman" w:hAnsi="Calibri" w:cs="Times New Roman"/>
                <w:color w:val="000000"/>
              </w:rPr>
              <w:t>4.15)</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911</w:t>
            </w:r>
            <w:r w:rsidRPr="0010191A">
              <w:rPr>
                <w:rFonts w:ascii="Calibri" w:eastAsia="Times New Roman" w:hAnsi="Calibri" w:cs="Times New Roman"/>
                <w:color w:val="000000"/>
              </w:rPr>
              <w:t xml:space="preserve"> (4.86)</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1173</w:t>
            </w:r>
            <w:r w:rsidRPr="0010191A">
              <w:rPr>
                <w:rFonts w:ascii="Calibri" w:eastAsia="Times New Roman" w:hAnsi="Calibri" w:cs="Times New Roman"/>
                <w:color w:val="000000"/>
              </w:rPr>
              <w:t xml:space="preserve"> (10.00)</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648</w:t>
            </w:r>
            <w:r w:rsidRPr="0010191A">
              <w:rPr>
                <w:rFonts w:ascii="Calibri" w:eastAsia="Times New Roman" w:hAnsi="Calibri" w:cs="Times New Roman"/>
                <w:color w:val="000000"/>
              </w:rPr>
              <w:t xml:space="preserve"> (2.85)</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r w:rsidRPr="0010191A">
              <w:rPr>
                <w:rFonts w:ascii="Calibri" w:eastAsia="Times New Roman" w:hAnsi="Calibri" w:cs="Times New Roman"/>
                <w:color w:val="000000"/>
              </w:rPr>
              <w:t xml:space="preserve"> (1.40)</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40</w:t>
            </w:r>
            <w:r>
              <w:rPr>
                <w:rFonts w:ascii="Calibri" w:eastAsia="Times New Roman" w:hAnsi="Calibri" w:cs="Times New Roman"/>
                <w:color w:val="000000"/>
              </w:rPr>
              <w:t xml:space="preserve"> (</w:t>
            </w:r>
            <w:r w:rsidRPr="0010191A">
              <w:rPr>
                <w:rFonts w:ascii="Calibri" w:eastAsia="Times New Roman" w:hAnsi="Calibri" w:cs="Times New Roman"/>
                <w:color w:val="000000"/>
              </w:rPr>
              <w:t>3.13)</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58</w:t>
            </w:r>
            <w:r>
              <w:rPr>
                <w:rFonts w:ascii="Calibri" w:eastAsia="Times New Roman" w:hAnsi="Calibri" w:cs="Times New Roman"/>
                <w:color w:val="000000"/>
              </w:rPr>
              <w:t xml:space="preserve"> (</w:t>
            </w:r>
            <w:r w:rsidRPr="0010191A">
              <w:rPr>
                <w:rFonts w:ascii="Calibri" w:eastAsia="Times New Roman" w:hAnsi="Calibri" w:cs="Times New Roman"/>
                <w:color w:val="000000"/>
              </w:rPr>
              <w:t>2.06)</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611</w:t>
            </w:r>
            <w:r w:rsidRPr="0010191A">
              <w:rPr>
                <w:rFonts w:ascii="Calibri" w:eastAsia="Times New Roman" w:hAnsi="Calibri" w:cs="Times New Roman"/>
                <w:color w:val="000000"/>
              </w:rPr>
              <w:t xml:space="preserve"> (6.05)</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Creatinine clearance</w:t>
            </w:r>
            <w:r>
              <w:rPr>
                <w:rFonts w:ascii="Calibri" w:eastAsia="Times New Roman" w:hAnsi="Calibri" w:cs="Times New Roman"/>
                <w:color w:val="000000"/>
              </w:rPr>
              <w:t>, ml/min (</w:t>
            </w:r>
            <w:proofErr w:type="spellStart"/>
            <w:r>
              <w:rPr>
                <w:rFonts w:ascii="Calibri" w:eastAsia="Times New Roman" w:hAnsi="Calibri" w:cs="Times New Roman"/>
                <w:color w:val="000000"/>
              </w:rPr>
              <w:t>mean,SD</w:t>
            </w:r>
            <w:proofErr w:type="spellEnd"/>
            <w:r>
              <w:rPr>
                <w:rFonts w:ascii="Calibri" w:eastAsia="Times New Roman" w:hAnsi="Calibri" w:cs="Times New Roman"/>
                <w:color w:val="000000"/>
              </w:rPr>
              <w:t>)</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71.81 (21.39)</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69.72 (20.25)</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74.57 (22.28)</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77.30 (21.42)</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74.97(20.40)</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74.27 (20.27)</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79.84 (20.48)</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83.26 (21.10)</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single" w:sz="4" w:space="0" w:color="auto"/>
              <w:left w:val="nil"/>
              <w:bottom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Discharge diagnosis</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409" w:type="dxa"/>
            <w:tcBorders>
              <w:top w:val="nil"/>
              <w:left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41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UA</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7745</w:t>
            </w:r>
            <w:r>
              <w:rPr>
                <w:rFonts w:ascii="Calibri" w:eastAsia="Times New Roman" w:hAnsi="Calibri" w:cs="Times New Roman"/>
                <w:color w:val="000000"/>
              </w:rPr>
              <w:t xml:space="preserve"> (</w:t>
            </w:r>
            <w:r w:rsidRPr="0010191A">
              <w:rPr>
                <w:rFonts w:ascii="Calibri" w:eastAsia="Times New Roman" w:hAnsi="Calibri" w:cs="Times New Roman"/>
                <w:color w:val="000000"/>
              </w:rPr>
              <w:t>68.46)</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7338</w:t>
            </w:r>
            <w:r w:rsidRPr="0010191A">
              <w:rPr>
                <w:rFonts w:ascii="Calibri" w:eastAsia="Times New Roman" w:hAnsi="Calibri" w:cs="Times New Roman"/>
                <w:color w:val="000000"/>
              </w:rPr>
              <w:t xml:space="preserve"> (39.22)</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73</w:t>
            </w:r>
            <w:r w:rsidRPr="0010191A">
              <w:rPr>
                <w:rFonts w:ascii="Calibri" w:eastAsia="Times New Roman" w:hAnsi="Calibri" w:cs="Times New Roman"/>
                <w:color w:val="000000"/>
              </w:rPr>
              <w:t xml:space="preserve"> (0.62)</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5610</w:t>
            </w:r>
            <w:r w:rsidRPr="0010191A">
              <w:rPr>
                <w:rFonts w:ascii="Calibri" w:eastAsia="Times New Roman" w:hAnsi="Calibri" w:cs="Times New Roman"/>
                <w:color w:val="000000"/>
              </w:rPr>
              <w:t xml:space="preserve"> (24.67)</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877</w:t>
            </w:r>
            <w:r w:rsidRPr="0010191A">
              <w:rPr>
                <w:rFonts w:ascii="Calibri" w:eastAsia="Times New Roman" w:hAnsi="Calibri" w:cs="Times New Roman"/>
                <w:color w:val="000000"/>
              </w:rPr>
              <w:t xml:space="preserve"> (30.00)</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457</w:t>
            </w:r>
            <w:r>
              <w:rPr>
                <w:rFonts w:ascii="Calibri" w:eastAsia="Times New Roman" w:hAnsi="Calibri" w:cs="Times New Roman"/>
                <w:color w:val="000000"/>
              </w:rPr>
              <w:t xml:space="preserve"> (</w:t>
            </w:r>
            <w:r w:rsidRPr="0010191A">
              <w:rPr>
                <w:rFonts w:ascii="Calibri" w:eastAsia="Times New Roman" w:hAnsi="Calibri" w:cs="Times New Roman"/>
                <w:color w:val="000000"/>
              </w:rPr>
              <w:t>35.87)</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547</w:t>
            </w:r>
            <w:r>
              <w:rPr>
                <w:rFonts w:ascii="Calibri" w:eastAsia="Times New Roman" w:hAnsi="Calibri" w:cs="Times New Roman"/>
                <w:color w:val="000000"/>
              </w:rPr>
              <w:t xml:space="preserve"> (</w:t>
            </w:r>
            <w:r w:rsidRPr="0010191A">
              <w:rPr>
                <w:rFonts w:ascii="Calibri" w:eastAsia="Times New Roman" w:hAnsi="Calibri" w:cs="Times New Roman"/>
                <w:color w:val="000000"/>
              </w:rPr>
              <w:t>19.45)</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r w:rsidRPr="0010191A">
              <w:rPr>
                <w:rFonts w:ascii="Calibri" w:eastAsia="Times New Roman" w:hAnsi="Calibri" w:cs="Times New Roman"/>
                <w:color w:val="000000"/>
              </w:rPr>
              <w:t xml:space="preserve"> (0.13)</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409" w:type="dxa"/>
            <w:tcBorders>
              <w:top w:val="nil"/>
              <w:left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41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NSTEMI</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3161</w:t>
            </w:r>
            <w:r>
              <w:rPr>
                <w:rFonts w:ascii="Calibri" w:eastAsia="Times New Roman" w:hAnsi="Calibri" w:cs="Times New Roman"/>
                <w:color w:val="000000"/>
              </w:rPr>
              <w:t xml:space="preserve"> (</w:t>
            </w:r>
            <w:r w:rsidRPr="0010191A">
              <w:rPr>
                <w:rFonts w:ascii="Calibri" w:eastAsia="Times New Roman" w:hAnsi="Calibri" w:cs="Times New Roman"/>
                <w:color w:val="000000"/>
              </w:rPr>
              <w:t>27.94)</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10542</w:t>
            </w:r>
            <w:r w:rsidRPr="0010191A">
              <w:rPr>
                <w:rFonts w:ascii="Calibri" w:eastAsia="Times New Roman" w:hAnsi="Calibri" w:cs="Times New Roman"/>
                <w:color w:val="000000"/>
              </w:rPr>
              <w:t xml:space="preserve"> (56.34)</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1291</w:t>
            </w:r>
            <w:r w:rsidRPr="0010191A">
              <w:rPr>
                <w:rFonts w:ascii="Calibri" w:eastAsia="Times New Roman" w:hAnsi="Calibri" w:cs="Times New Roman"/>
                <w:color w:val="000000"/>
              </w:rPr>
              <w:t xml:space="preserve"> (11.01)</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9883</w:t>
            </w:r>
            <w:r w:rsidRPr="0010191A">
              <w:rPr>
                <w:rFonts w:ascii="Calibri" w:eastAsia="Times New Roman" w:hAnsi="Calibri" w:cs="Times New Roman"/>
                <w:color w:val="000000"/>
              </w:rPr>
              <w:t xml:space="preserve"> (43.46)</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2008</w:t>
            </w:r>
            <w:r w:rsidRPr="0010191A">
              <w:rPr>
                <w:rFonts w:ascii="Calibri" w:eastAsia="Times New Roman" w:hAnsi="Calibri" w:cs="Times New Roman"/>
                <w:color w:val="000000"/>
              </w:rPr>
              <w:t xml:space="preserve"> (68.69)</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783</w:t>
            </w:r>
            <w:r>
              <w:rPr>
                <w:rFonts w:ascii="Calibri" w:eastAsia="Times New Roman" w:hAnsi="Calibri" w:cs="Times New Roman"/>
                <w:color w:val="000000"/>
              </w:rPr>
              <w:t xml:space="preserve"> (</w:t>
            </w:r>
            <w:r w:rsidRPr="0010191A">
              <w:rPr>
                <w:rFonts w:ascii="Calibri" w:eastAsia="Times New Roman" w:hAnsi="Calibri" w:cs="Times New Roman"/>
                <w:color w:val="000000"/>
              </w:rPr>
              <w:t>61.45)</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1376</w:t>
            </w:r>
            <w:r>
              <w:rPr>
                <w:rFonts w:ascii="Calibri" w:eastAsia="Times New Roman" w:hAnsi="Calibri" w:cs="Times New Roman"/>
                <w:color w:val="000000"/>
              </w:rPr>
              <w:t xml:space="preserve"> (</w:t>
            </w:r>
            <w:r w:rsidRPr="0010191A">
              <w:rPr>
                <w:rFonts w:ascii="Calibri" w:eastAsia="Times New Roman" w:hAnsi="Calibri" w:cs="Times New Roman"/>
                <w:color w:val="000000"/>
              </w:rPr>
              <w:t>48.93)</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r w:rsidRPr="0010191A">
              <w:rPr>
                <w:rFonts w:ascii="Calibri" w:eastAsia="Times New Roman" w:hAnsi="Calibri" w:cs="Times New Roman"/>
                <w:color w:val="000000"/>
              </w:rPr>
              <w:t xml:space="preserve"> (0.11)</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409" w:type="dxa"/>
            <w:tcBorders>
              <w:top w:val="nil"/>
              <w:left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41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STEMI</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407</w:t>
            </w:r>
            <w:r>
              <w:rPr>
                <w:rFonts w:ascii="Calibri" w:eastAsia="Times New Roman" w:hAnsi="Calibri" w:cs="Times New Roman"/>
                <w:color w:val="000000"/>
              </w:rPr>
              <w:t xml:space="preserve"> (</w:t>
            </w:r>
            <w:r w:rsidRPr="0010191A">
              <w:rPr>
                <w:rFonts w:ascii="Calibri" w:eastAsia="Times New Roman" w:hAnsi="Calibri" w:cs="Times New Roman"/>
                <w:color w:val="000000"/>
              </w:rPr>
              <w:t>3.59)</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829</w:t>
            </w:r>
            <w:r w:rsidRPr="0010191A">
              <w:rPr>
                <w:rFonts w:ascii="Calibri" w:eastAsia="Times New Roman" w:hAnsi="Calibri" w:cs="Times New Roman"/>
                <w:color w:val="000000"/>
              </w:rPr>
              <w:t xml:space="preserve"> (4.43)</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10358</w:t>
            </w:r>
            <w:r w:rsidRPr="0010191A">
              <w:rPr>
                <w:rFonts w:ascii="Calibri" w:eastAsia="Times New Roman" w:hAnsi="Calibri" w:cs="Times New Roman"/>
                <w:color w:val="000000"/>
              </w:rPr>
              <w:t xml:space="preserve"> (88.36)</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7245</w:t>
            </w:r>
            <w:r w:rsidRPr="0010191A">
              <w:rPr>
                <w:rFonts w:ascii="Calibri" w:eastAsia="Times New Roman" w:hAnsi="Calibri" w:cs="Times New Roman"/>
                <w:color w:val="000000"/>
              </w:rPr>
              <w:t xml:space="preserve"> (31.86)</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38</w:t>
            </w:r>
            <w:r w:rsidRPr="0010191A">
              <w:rPr>
                <w:rFonts w:ascii="Calibri" w:eastAsia="Times New Roman" w:hAnsi="Calibri" w:cs="Times New Roman"/>
                <w:color w:val="000000"/>
              </w:rPr>
              <w:t xml:space="preserve"> (1.30)</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34</w:t>
            </w:r>
            <w:r>
              <w:rPr>
                <w:rFonts w:ascii="Calibri" w:eastAsia="Times New Roman" w:hAnsi="Calibri" w:cs="Times New Roman"/>
                <w:color w:val="000000"/>
              </w:rPr>
              <w:t xml:space="preserve"> (</w:t>
            </w:r>
            <w:r w:rsidRPr="0010191A">
              <w:rPr>
                <w:rFonts w:ascii="Calibri" w:eastAsia="Times New Roman" w:hAnsi="Calibri" w:cs="Times New Roman"/>
                <w:color w:val="000000"/>
              </w:rPr>
              <w:t>2.66)</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889</w:t>
            </w:r>
            <w:r>
              <w:rPr>
                <w:rFonts w:ascii="Calibri" w:eastAsia="Times New Roman" w:hAnsi="Calibri" w:cs="Times New Roman"/>
                <w:color w:val="000000"/>
              </w:rPr>
              <w:t xml:space="preserve"> (</w:t>
            </w:r>
            <w:r w:rsidRPr="0010191A">
              <w:rPr>
                <w:rFonts w:ascii="Calibri" w:eastAsia="Times New Roman" w:hAnsi="Calibri" w:cs="Times New Roman"/>
                <w:color w:val="000000"/>
              </w:rPr>
              <w:t>31.61)</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10069</w:t>
            </w:r>
            <w:r w:rsidRPr="0010191A">
              <w:rPr>
                <w:rFonts w:ascii="Calibri" w:eastAsia="Times New Roman" w:hAnsi="Calibri" w:cs="Times New Roman"/>
                <w:color w:val="000000"/>
              </w:rPr>
              <w:t xml:space="preserve"> (99.74)</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Coronary angiogram</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4104</w:t>
            </w:r>
            <w:r>
              <w:rPr>
                <w:rFonts w:ascii="Calibri" w:eastAsia="Times New Roman" w:hAnsi="Calibri" w:cs="Times New Roman"/>
                <w:color w:val="000000"/>
              </w:rPr>
              <w:t xml:space="preserve"> (</w:t>
            </w:r>
            <w:r w:rsidRPr="0010191A">
              <w:rPr>
                <w:rFonts w:ascii="Calibri" w:eastAsia="Times New Roman" w:hAnsi="Calibri" w:cs="Times New Roman"/>
                <w:color w:val="000000"/>
              </w:rPr>
              <w:t>36.27)</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11852</w:t>
            </w:r>
            <w:r>
              <w:rPr>
                <w:rFonts w:ascii="Calibri" w:eastAsia="Times New Roman" w:hAnsi="Calibri" w:cs="Times New Roman"/>
                <w:color w:val="000000"/>
              </w:rPr>
              <w:t xml:space="preserve"> (</w:t>
            </w:r>
            <w:r w:rsidRPr="0010191A">
              <w:rPr>
                <w:rFonts w:ascii="Calibri" w:eastAsia="Times New Roman" w:hAnsi="Calibri" w:cs="Times New Roman"/>
                <w:color w:val="000000"/>
              </w:rPr>
              <w:t>63.34)</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5161</w:t>
            </w:r>
            <w:r>
              <w:rPr>
                <w:rFonts w:ascii="Calibri" w:eastAsia="Times New Roman" w:hAnsi="Calibri" w:cs="Times New Roman"/>
                <w:color w:val="000000"/>
              </w:rPr>
              <w:t xml:space="preserve"> (</w:t>
            </w:r>
            <w:r w:rsidRPr="0010191A">
              <w:rPr>
                <w:rFonts w:ascii="Calibri" w:eastAsia="Times New Roman" w:hAnsi="Calibri" w:cs="Times New Roman"/>
                <w:color w:val="000000"/>
              </w:rPr>
              <w:t>44.02)</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22548</w:t>
            </w:r>
            <w:r w:rsidR="00CB12B7">
              <w:rPr>
                <w:rFonts w:ascii="Calibri" w:eastAsia="Times New Roman" w:hAnsi="Calibri" w:cs="Times New Roman"/>
                <w:color w:val="000000"/>
              </w:rPr>
              <w:t xml:space="preserve"> (99.1</w:t>
            </w:r>
            <w:r w:rsidRPr="0010191A">
              <w:rPr>
                <w:rFonts w:ascii="Calibri" w:eastAsia="Times New Roman" w:hAnsi="Calibri" w:cs="Times New Roman"/>
                <w:color w:val="000000"/>
              </w:rPr>
              <w:t>)</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2903</w:t>
            </w:r>
            <w:r>
              <w:rPr>
                <w:rFonts w:ascii="Calibri" w:eastAsia="Times New Roman" w:hAnsi="Calibri" w:cs="Times New Roman"/>
                <w:color w:val="000000"/>
              </w:rPr>
              <w:t xml:space="preserve"> (</w:t>
            </w:r>
            <w:r w:rsidRPr="0010191A">
              <w:rPr>
                <w:rFonts w:ascii="Calibri" w:eastAsia="Times New Roman" w:hAnsi="Calibri" w:cs="Times New Roman"/>
                <w:color w:val="000000"/>
              </w:rPr>
              <w:t>99.21)</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1216</w:t>
            </w:r>
            <w:r>
              <w:rPr>
                <w:rFonts w:ascii="Calibri" w:eastAsia="Times New Roman" w:hAnsi="Calibri" w:cs="Times New Roman"/>
                <w:color w:val="000000"/>
              </w:rPr>
              <w:t xml:space="preserve"> (</w:t>
            </w:r>
            <w:r w:rsidR="00CB12B7">
              <w:rPr>
                <w:rFonts w:ascii="Calibri" w:eastAsia="Times New Roman" w:hAnsi="Calibri" w:cs="Times New Roman"/>
                <w:color w:val="000000"/>
              </w:rPr>
              <w:t>95.4</w:t>
            </w:r>
            <w:r w:rsidRPr="0010191A">
              <w:rPr>
                <w:rFonts w:ascii="Calibri" w:eastAsia="Times New Roman" w:hAnsi="Calibri" w:cs="Times New Roman"/>
                <w:color w:val="000000"/>
              </w:rPr>
              <w:t>)</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2808</w:t>
            </w:r>
            <w:r>
              <w:rPr>
                <w:rFonts w:ascii="Calibri" w:eastAsia="Times New Roman" w:hAnsi="Calibri" w:cs="Times New Roman"/>
                <w:color w:val="000000"/>
              </w:rPr>
              <w:t xml:space="preserve"> (</w:t>
            </w:r>
            <w:r w:rsidR="00CB12B7">
              <w:rPr>
                <w:rFonts w:ascii="Calibri" w:eastAsia="Times New Roman" w:hAnsi="Calibri" w:cs="Times New Roman"/>
                <w:color w:val="000000"/>
              </w:rPr>
              <w:t>99.8</w:t>
            </w:r>
            <w:r w:rsidRPr="0010191A">
              <w:rPr>
                <w:rFonts w:ascii="Calibri" w:eastAsia="Times New Roman" w:hAnsi="Calibri" w:cs="Times New Roman"/>
                <w:color w:val="00000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10089</w:t>
            </w:r>
            <w:r>
              <w:rPr>
                <w:rFonts w:ascii="Calibri" w:eastAsia="Times New Roman" w:hAnsi="Calibri" w:cs="Times New Roman"/>
                <w:color w:val="000000"/>
              </w:rPr>
              <w:t xml:space="preserve"> (</w:t>
            </w:r>
            <w:r w:rsidR="00CB12B7">
              <w:rPr>
                <w:rFonts w:ascii="Calibri" w:eastAsia="Times New Roman" w:hAnsi="Calibri" w:cs="Times New Roman"/>
                <w:color w:val="000000"/>
              </w:rPr>
              <w:t>99.9</w:t>
            </w:r>
            <w:r w:rsidRPr="0010191A">
              <w:rPr>
                <w:rFonts w:ascii="Calibri" w:eastAsia="Times New Roman" w:hAnsi="Calibri" w:cs="Times New Roman"/>
                <w:color w:val="000000"/>
              </w:rPr>
              <w:t>)</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single" w:sz="4" w:space="0" w:color="auto"/>
              <w:left w:val="nil"/>
              <w:bottom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Revascularization</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32"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409" w:type="dxa"/>
            <w:tcBorders>
              <w:top w:val="nil"/>
              <w:left w:val="nil"/>
              <w:bottom w:val="nil"/>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41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PCI</w:t>
            </w:r>
          </w:p>
        </w:tc>
        <w:tc>
          <w:tcPr>
            <w:tcW w:w="1320"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1660</w:t>
            </w:r>
            <w:r>
              <w:rPr>
                <w:rFonts w:ascii="Calibri" w:eastAsia="Times New Roman" w:hAnsi="Calibri" w:cs="Times New Roman"/>
                <w:color w:val="000000"/>
              </w:rPr>
              <w:t xml:space="preserve"> (</w:t>
            </w:r>
            <w:r w:rsidRPr="0010191A">
              <w:rPr>
                <w:rFonts w:ascii="Calibri" w:eastAsia="Times New Roman" w:hAnsi="Calibri" w:cs="Times New Roman"/>
                <w:color w:val="000000"/>
              </w:rPr>
              <w:t>14.67)</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6890</w:t>
            </w:r>
            <w:r>
              <w:rPr>
                <w:rFonts w:ascii="Calibri" w:eastAsia="Times New Roman" w:hAnsi="Calibri" w:cs="Times New Roman"/>
                <w:color w:val="000000"/>
              </w:rPr>
              <w:t xml:space="preserve"> (</w:t>
            </w:r>
            <w:r w:rsidRPr="0010191A">
              <w:rPr>
                <w:rFonts w:ascii="Calibri" w:eastAsia="Times New Roman" w:hAnsi="Calibri" w:cs="Times New Roman"/>
                <w:color w:val="000000"/>
              </w:rPr>
              <w:t>36.82)</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4377</w:t>
            </w:r>
            <w:r>
              <w:rPr>
                <w:rFonts w:ascii="Calibri" w:eastAsia="Times New Roman" w:hAnsi="Calibri" w:cs="Times New Roman"/>
                <w:color w:val="000000"/>
              </w:rPr>
              <w:t xml:space="preserve"> (</w:t>
            </w:r>
            <w:r w:rsidRPr="0010191A">
              <w:rPr>
                <w:rFonts w:ascii="Calibri" w:eastAsia="Times New Roman" w:hAnsi="Calibri" w:cs="Times New Roman"/>
                <w:color w:val="000000"/>
              </w:rPr>
              <w:t>37.33)</w:t>
            </w:r>
          </w:p>
        </w:tc>
        <w:tc>
          <w:tcPr>
            <w:tcW w:w="1432"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16993</w:t>
            </w:r>
            <w:r w:rsidRPr="0010191A">
              <w:rPr>
                <w:rFonts w:ascii="Calibri" w:eastAsia="Times New Roman" w:hAnsi="Calibri" w:cs="Times New Roman"/>
                <w:color w:val="000000"/>
              </w:rPr>
              <w:t xml:space="preserve"> (74.73)</w:t>
            </w:r>
          </w:p>
        </w:tc>
        <w:tc>
          <w:tcPr>
            <w:tcW w:w="137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2091</w:t>
            </w:r>
            <w:r>
              <w:rPr>
                <w:rFonts w:ascii="Calibri" w:eastAsia="Times New Roman" w:hAnsi="Calibri" w:cs="Times New Roman"/>
                <w:color w:val="000000"/>
              </w:rPr>
              <w:t xml:space="preserve"> (</w:t>
            </w:r>
            <w:r w:rsidRPr="0010191A">
              <w:rPr>
                <w:rFonts w:ascii="Calibri" w:eastAsia="Times New Roman" w:hAnsi="Calibri" w:cs="Times New Roman"/>
                <w:color w:val="000000"/>
              </w:rPr>
              <w:t>71.46)</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827</w:t>
            </w:r>
            <w:r>
              <w:rPr>
                <w:rFonts w:ascii="Calibri" w:eastAsia="Times New Roman" w:hAnsi="Calibri" w:cs="Times New Roman"/>
                <w:color w:val="000000"/>
              </w:rPr>
              <w:t xml:space="preserve"> (</w:t>
            </w:r>
            <w:r w:rsidRPr="0010191A">
              <w:rPr>
                <w:rFonts w:ascii="Calibri" w:eastAsia="Times New Roman" w:hAnsi="Calibri" w:cs="Times New Roman"/>
                <w:color w:val="000000"/>
              </w:rPr>
              <w:t>64.91)</w:t>
            </w:r>
          </w:p>
        </w:tc>
        <w:tc>
          <w:tcPr>
            <w:tcW w:w="1208"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1977</w:t>
            </w:r>
            <w:r>
              <w:rPr>
                <w:rFonts w:ascii="Calibri" w:eastAsia="Times New Roman" w:hAnsi="Calibri" w:cs="Times New Roman"/>
                <w:color w:val="000000"/>
              </w:rPr>
              <w:t xml:space="preserve"> (</w:t>
            </w:r>
            <w:r w:rsidRPr="0010191A">
              <w:rPr>
                <w:rFonts w:ascii="Calibri" w:eastAsia="Times New Roman" w:hAnsi="Calibri" w:cs="Times New Roman"/>
                <w:color w:val="000000"/>
              </w:rPr>
              <w:t>70.30)</w:t>
            </w:r>
          </w:p>
        </w:tc>
        <w:tc>
          <w:tcPr>
            <w:tcW w:w="1417"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9811</w:t>
            </w:r>
            <w:r>
              <w:rPr>
                <w:rFonts w:ascii="Calibri" w:eastAsia="Times New Roman" w:hAnsi="Calibri" w:cs="Times New Roman"/>
                <w:color w:val="000000"/>
              </w:rPr>
              <w:t xml:space="preserve"> (</w:t>
            </w:r>
            <w:r w:rsidRPr="0010191A">
              <w:rPr>
                <w:rFonts w:ascii="Calibri" w:eastAsia="Times New Roman" w:hAnsi="Calibri" w:cs="Times New Roman"/>
                <w:color w:val="000000"/>
              </w:rPr>
              <w:t>97.17)</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409" w:type="dxa"/>
            <w:tcBorders>
              <w:top w:val="nil"/>
              <w:left w:val="nil"/>
              <w:bottom w:val="single" w:sz="4" w:space="0" w:color="auto"/>
              <w:right w:val="nil"/>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 </w:t>
            </w:r>
          </w:p>
        </w:tc>
        <w:tc>
          <w:tcPr>
            <w:tcW w:w="1416" w:type="dxa"/>
            <w:tcBorders>
              <w:top w:val="nil"/>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CABG</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990</w:t>
            </w:r>
            <w:r>
              <w:rPr>
                <w:rFonts w:ascii="Calibri" w:eastAsia="Times New Roman" w:hAnsi="Calibri" w:cs="Times New Roman"/>
                <w:color w:val="000000"/>
              </w:rPr>
              <w:t xml:space="preserve"> (</w:t>
            </w:r>
            <w:r w:rsidRPr="0010191A">
              <w:rPr>
                <w:rFonts w:ascii="Calibri" w:eastAsia="Times New Roman" w:hAnsi="Calibri" w:cs="Times New Roman"/>
                <w:color w:val="000000"/>
              </w:rPr>
              <w:t>8.75)</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1815</w:t>
            </w:r>
            <w:r>
              <w:rPr>
                <w:rFonts w:ascii="Calibri" w:eastAsia="Times New Roman" w:hAnsi="Calibri" w:cs="Times New Roman"/>
                <w:color w:val="000000"/>
              </w:rPr>
              <w:t xml:space="preserve"> (</w:t>
            </w:r>
            <w:r w:rsidRPr="0010191A">
              <w:rPr>
                <w:rFonts w:ascii="Calibri" w:eastAsia="Times New Roman" w:hAnsi="Calibri" w:cs="Times New Roman"/>
                <w:color w:val="000000"/>
              </w:rPr>
              <w:t>9.70)</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150</w:t>
            </w:r>
            <w:r>
              <w:rPr>
                <w:rFonts w:ascii="Calibri" w:eastAsia="Times New Roman" w:hAnsi="Calibri" w:cs="Times New Roman"/>
                <w:color w:val="000000"/>
              </w:rPr>
              <w:t xml:space="preserve"> (</w:t>
            </w:r>
            <w:r w:rsidRPr="0010191A">
              <w:rPr>
                <w:rFonts w:ascii="Calibri" w:eastAsia="Times New Roman" w:hAnsi="Calibri" w:cs="Times New Roman"/>
                <w:color w:val="000000"/>
              </w:rPr>
              <w:t>1.27)</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1718</w:t>
            </w:r>
            <w:r w:rsidRPr="0010191A">
              <w:rPr>
                <w:rFonts w:ascii="Calibri" w:eastAsia="Times New Roman" w:hAnsi="Calibri" w:cs="Times New Roman"/>
                <w:color w:val="000000"/>
              </w:rPr>
              <w:t xml:space="preserve"> (7.55)</w:t>
            </w:r>
          </w:p>
        </w:tc>
        <w:tc>
          <w:tcPr>
            <w:tcW w:w="137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209</w:t>
            </w:r>
            <w:r>
              <w:rPr>
                <w:rFonts w:ascii="Calibri" w:eastAsia="Times New Roman" w:hAnsi="Calibri" w:cs="Times New Roman"/>
                <w:color w:val="000000"/>
              </w:rPr>
              <w:t xml:space="preserve"> (</w:t>
            </w:r>
            <w:r w:rsidRPr="0010191A">
              <w:rPr>
                <w:rFonts w:ascii="Calibri" w:eastAsia="Times New Roman" w:hAnsi="Calibri" w:cs="Times New Roman"/>
                <w:color w:val="000000"/>
              </w:rPr>
              <w:t>7.14)</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152</w:t>
            </w:r>
            <w:r>
              <w:rPr>
                <w:rFonts w:ascii="Calibri" w:eastAsia="Times New Roman" w:hAnsi="Calibri" w:cs="Times New Roman"/>
                <w:color w:val="000000"/>
              </w:rPr>
              <w:t xml:space="preserve"> (</w:t>
            </w:r>
            <w:r w:rsidRPr="0010191A">
              <w:rPr>
                <w:rFonts w:ascii="Calibri" w:eastAsia="Times New Roman" w:hAnsi="Calibri" w:cs="Times New Roman"/>
                <w:color w:val="000000"/>
              </w:rPr>
              <w:t>11.93)</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326</w:t>
            </w:r>
            <w:r>
              <w:rPr>
                <w:rFonts w:ascii="Calibri" w:eastAsia="Times New Roman" w:hAnsi="Calibri" w:cs="Times New Roman"/>
                <w:color w:val="000000"/>
              </w:rPr>
              <w:t xml:space="preserve"> (</w:t>
            </w:r>
            <w:r w:rsidRPr="0010191A">
              <w:rPr>
                <w:rFonts w:ascii="Calibri" w:eastAsia="Times New Roman" w:hAnsi="Calibri" w:cs="Times New Roman"/>
                <w:color w:val="000000"/>
              </w:rPr>
              <w:t>11.59)</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203</w:t>
            </w:r>
            <w:r>
              <w:rPr>
                <w:rFonts w:ascii="Calibri" w:eastAsia="Times New Roman" w:hAnsi="Calibri" w:cs="Times New Roman"/>
                <w:color w:val="000000"/>
              </w:rPr>
              <w:t xml:space="preserve"> (</w:t>
            </w:r>
            <w:r w:rsidRPr="0010191A">
              <w:rPr>
                <w:rFonts w:ascii="Calibri" w:eastAsia="Times New Roman" w:hAnsi="Calibri" w:cs="Times New Roman"/>
                <w:color w:val="000000"/>
              </w:rPr>
              <w:t>2.01)</w:t>
            </w:r>
          </w:p>
        </w:tc>
      </w:tr>
      <w:tr w:rsidR="00A917FF" w:rsidRPr="0010191A" w:rsidTr="00CB12B7">
        <w:trPr>
          <w:trHeight w:val="300"/>
        </w:trPr>
        <w:tc>
          <w:tcPr>
            <w:tcW w:w="273" w:type="dxa"/>
            <w:tcBorders>
              <w:top w:val="nil"/>
              <w:left w:val="nil"/>
              <w:bottom w:val="nil"/>
              <w:right w:val="nil"/>
            </w:tcBorders>
            <w:shd w:val="clear" w:color="000000" w:fill="FFFFFF"/>
            <w:noWrap/>
            <w:vAlign w:val="bottom"/>
            <w:hideMark/>
          </w:tcPr>
          <w:p w:rsidR="00A917FF" w:rsidRPr="0010191A" w:rsidRDefault="00A917FF" w:rsidP="0052196B">
            <w:pPr>
              <w:spacing w:after="0" w:line="240" w:lineRule="auto"/>
              <w:jc w:val="both"/>
              <w:rPr>
                <w:rFonts w:ascii="Calibri" w:eastAsia="Times New Roman" w:hAnsi="Calibri" w:cs="Times New Roman"/>
                <w:color w:val="000000"/>
              </w:rPr>
            </w:pPr>
            <w:r w:rsidRPr="0010191A">
              <w:rPr>
                <w:rFonts w:ascii="Calibri" w:eastAsia="Times New Roman" w:hAnsi="Calibri" w:cs="Times New Roman"/>
                <w:color w:val="000000"/>
              </w:rPr>
              <w:t> </w:t>
            </w:r>
          </w:p>
        </w:tc>
        <w:tc>
          <w:tcPr>
            <w:tcW w:w="1825" w:type="dxa"/>
            <w:gridSpan w:val="2"/>
            <w:tcBorders>
              <w:top w:val="nil"/>
              <w:left w:val="nil"/>
              <w:bottom w:val="single" w:sz="4" w:space="0" w:color="auto"/>
              <w:right w:val="single" w:sz="4" w:space="0" w:color="000000"/>
            </w:tcBorders>
            <w:shd w:val="clear" w:color="000000" w:fill="FFFFFF"/>
            <w:noWrap/>
            <w:vAlign w:val="center"/>
            <w:hideMark/>
          </w:tcPr>
          <w:p w:rsidR="00A917FF" w:rsidRPr="0010191A" w:rsidRDefault="00A917FF" w:rsidP="00CB12B7">
            <w:pPr>
              <w:spacing w:after="0" w:line="240" w:lineRule="auto"/>
              <w:rPr>
                <w:rFonts w:ascii="Calibri" w:eastAsia="Times New Roman" w:hAnsi="Calibri" w:cs="Times New Roman"/>
                <w:color w:val="000000"/>
              </w:rPr>
            </w:pPr>
            <w:r w:rsidRPr="0010191A">
              <w:rPr>
                <w:rFonts w:ascii="Calibri" w:eastAsia="Times New Roman" w:hAnsi="Calibri" w:cs="Times New Roman"/>
                <w:color w:val="000000"/>
              </w:rPr>
              <w:t>IABP</w:t>
            </w:r>
            <w:r>
              <w:rPr>
                <w:rFonts w:ascii="Calibri" w:eastAsia="Times New Roman" w:hAnsi="Calibri" w:cs="Times New Roman"/>
                <w:color w:val="000000"/>
              </w:rPr>
              <w:t xml:space="preserve"> (n</w:t>
            </w:r>
            <w:proofErr w:type="gramStart"/>
            <w:r>
              <w:rPr>
                <w:rFonts w:ascii="Calibri" w:eastAsia="Times New Roman" w:hAnsi="Calibri" w:cs="Times New Roman"/>
                <w:color w:val="000000"/>
              </w:rPr>
              <w:t>,%</w:t>
            </w:r>
            <w:proofErr w:type="gramEnd"/>
            <w:r>
              <w:rPr>
                <w:rFonts w:ascii="Calibri" w:eastAsia="Times New Roman" w:hAnsi="Calibri" w:cs="Times New Roman"/>
                <w:color w:val="000000"/>
              </w:rPr>
              <w:t>)</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117</w:t>
            </w:r>
            <w:r>
              <w:rPr>
                <w:rFonts w:ascii="Calibri" w:eastAsia="Times New Roman" w:hAnsi="Calibri" w:cs="Times New Roman"/>
                <w:color w:val="000000"/>
              </w:rPr>
              <w:t xml:space="preserve"> (</w:t>
            </w:r>
            <w:r w:rsidRPr="0010191A">
              <w:rPr>
                <w:rFonts w:ascii="Calibri" w:eastAsia="Times New Roman" w:hAnsi="Calibri" w:cs="Times New Roman"/>
                <w:color w:val="000000"/>
              </w:rPr>
              <w:t>1.03)</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289</w:t>
            </w:r>
            <w:r w:rsidRPr="0010191A">
              <w:rPr>
                <w:rFonts w:ascii="Calibri" w:eastAsia="Times New Roman" w:hAnsi="Calibri" w:cs="Times New Roman"/>
                <w:color w:val="000000"/>
              </w:rPr>
              <w:t xml:space="preserve"> (1.54)</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76</w:t>
            </w:r>
            <w:r>
              <w:rPr>
                <w:rFonts w:ascii="Calibri" w:eastAsia="Times New Roman" w:hAnsi="Calibri" w:cs="Times New Roman"/>
                <w:color w:val="000000"/>
              </w:rPr>
              <w:t xml:space="preserve"> (</w:t>
            </w:r>
            <w:r w:rsidRPr="0010191A">
              <w:rPr>
                <w:rFonts w:ascii="Calibri" w:eastAsia="Times New Roman" w:hAnsi="Calibri" w:cs="Times New Roman"/>
                <w:color w:val="000000"/>
              </w:rPr>
              <w:t>0.64)</w:t>
            </w:r>
          </w:p>
        </w:tc>
        <w:tc>
          <w:tcPr>
            <w:tcW w:w="1432"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443</w:t>
            </w:r>
            <w:r w:rsidRPr="0010191A">
              <w:rPr>
                <w:rFonts w:ascii="Calibri" w:eastAsia="Times New Roman" w:hAnsi="Calibri" w:cs="Times New Roman"/>
                <w:color w:val="000000"/>
              </w:rPr>
              <w:t xml:space="preserve"> (1.94)</w:t>
            </w:r>
          </w:p>
        </w:tc>
        <w:tc>
          <w:tcPr>
            <w:tcW w:w="1376"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r w:rsidRPr="0010191A">
              <w:rPr>
                <w:rFonts w:ascii="Calibri" w:eastAsia="Times New Roman" w:hAnsi="Calibri" w:cs="Times New Roman"/>
                <w:color w:val="000000"/>
              </w:rPr>
              <w:t xml:space="preserve"> (0.85)</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38</w:t>
            </w:r>
            <w:r>
              <w:rPr>
                <w:rFonts w:ascii="Calibri" w:eastAsia="Times New Roman" w:hAnsi="Calibri" w:cs="Times New Roman"/>
                <w:color w:val="000000"/>
              </w:rPr>
              <w:t xml:space="preserve"> (</w:t>
            </w:r>
            <w:r w:rsidRPr="0010191A">
              <w:rPr>
                <w:rFonts w:ascii="Calibri" w:eastAsia="Times New Roman" w:hAnsi="Calibri" w:cs="Times New Roman"/>
                <w:color w:val="000000"/>
              </w:rPr>
              <w:t>2.98)</w:t>
            </w:r>
          </w:p>
        </w:tc>
        <w:tc>
          <w:tcPr>
            <w:tcW w:w="1208"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25</w:t>
            </w:r>
            <w:r>
              <w:rPr>
                <w:rFonts w:ascii="Calibri" w:eastAsia="Times New Roman" w:hAnsi="Calibri" w:cs="Times New Roman"/>
                <w:color w:val="000000"/>
              </w:rPr>
              <w:t xml:space="preserve"> (</w:t>
            </w:r>
            <w:r w:rsidRPr="0010191A">
              <w:rPr>
                <w:rFonts w:ascii="Calibri" w:eastAsia="Times New Roman" w:hAnsi="Calibri" w:cs="Times New Roman"/>
                <w:color w:val="000000"/>
              </w:rPr>
              <w:t>0.88)</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917FF" w:rsidRPr="0010191A"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237</w:t>
            </w:r>
            <w:r w:rsidRPr="0010191A">
              <w:rPr>
                <w:rFonts w:ascii="Calibri" w:eastAsia="Times New Roman" w:hAnsi="Calibri" w:cs="Times New Roman"/>
                <w:color w:val="000000"/>
              </w:rPr>
              <w:t xml:space="preserve"> (2.34)</w:t>
            </w:r>
          </w:p>
        </w:tc>
      </w:tr>
    </w:tbl>
    <w:p w:rsidR="00A917FF" w:rsidRDefault="00A917FF" w:rsidP="0052196B">
      <w:pPr>
        <w:jc w:val="both"/>
      </w:pPr>
    </w:p>
    <w:p w:rsidR="00A917FF" w:rsidRDefault="00A917FF" w:rsidP="0052196B">
      <w:pPr>
        <w:jc w:val="both"/>
      </w:pPr>
      <w:r>
        <w:br w:type="page"/>
      </w:r>
    </w:p>
    <w:p w:rsidR="00A917FF" w:rsidRPr="001D19F4" w:rsidRDefault="00A917FF" w:rsidP="0052196B">
      <w:pPr>
        <w:jc w:val="both"/>
      </w:pPr>
      <w:proofErr w:type="gramStart"/>
      <w:r>
        <w:lastRenderedPageBreak/>
        <w:t>Table  S1</w:t>
      </w:r>
      <w:proofErr w:type="gramEnd"/>
      <w:r>
        <w:t xml:space="preserve"> cont.:</w:t>
      </w:r>
    </w:p>
    <w:tbl>
      <w:tblPr>
        <w:tblW w:w="12836" w:type="dxa"/>
        <w:tblInd w:w="108" w:type="dxa"/>
        <w:tblLook w:val="04A0" w:firstRow="1" w:lastRow="0" w:firstColumn="1" w:lastColumn="0" w:noHBand="0" w:noVBand="1"/>
      </w:tblPr>
      <w:tblGrid>
        <w:gridCol w:w="294"/>
        <w:gridCol w:w="1886"/>
        <w:gridCol w:w="1422"/>
        <w:gridCol w:w="1422"/>
        <w:gridCol w:w="1422"/>
        <w:gridCol w:w="1440"/>
        <w:gridCol w:w="1241"/>
        <w:gridCol w:w="1260"/>
        <w:gridCol w:w="1163"/>
        <w:gridCol w:w="1286"/>
      </w:tblGrid>
      <w:tr w:rsidR="00A917FF" w:rsidRPr="00657EE2" w:rsidTr="00CB12B7">
        <w:trPr>
          <w:trHeight w:val="301"/>
        </w:trPr>
        <w:tc>
          <w:tcPr>
            <w:tcW w:w="2180" w:type="dxa"/>
            <w:gridSpan w:val="2"/>
            <w:tcBorders>
              <w:top w:val="nil"/>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Outcomes &amp;</w:t>
            </w:r>
          </w:p>
          <w:p w:rsidR="00A917FF" w:rsidRPr="00657EE2" w:rsidRDefault="00A917FF" w:rsidP="00CB12B7">
            <w:pPr>
              <w:spacing w:after="0" w:line="240" w:lineRule="auto"/>
              <w:rPr>
                <w:rFonts w:ascii="Calibri" w:eastAsia="Times New Roman" w:hAnsi="Calibri" w:cs="Times New Roman"/>
                <w:color w:val="000000"/>
              </w:rPr>
            </w:pPr>
            <w:proofErr w:type="gramStart"/>
            <w:r w:rsidRPr="00657EE2">
              <w:rPr>
                <w:rFonts w:ascii="Calibri" w:eastAsia="Times New Roman" w:hAnsi="Calibri" w:cs="Times New Roman"/>
                <w:color w:val="000000"/>
              </w:rPr>
              <w:t>follow-up</w:t>
            </w:r>
            <w:proofErr w:type="gramEnd"/>
            <w:r>
              <w:rPr>
                <w:rFonts w:ascii="Calibri" w:eastAsia="Times New Roman" w:hAnsi="Calibri" w:cs="Times New Roman"/>
                <w:color w:val="000000"/>
              </w:rPr>
              <w:t xml:space="preserve"> (n,%)</w:t>
            </w:r>
          </w:p>
        </w:tc>
        <w:tc>
          <w:tcPr>
            <w:tcW w:w="14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4</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11313)</w:t>
            </w:r>
          </w:p>
        </w:tc>
        <w:tc>
          <w:tcPr>
            <w:tcW w:w="142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5</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18706)</w:t>
            </w:r>
          </w:p>
        </w:tc>
        <w:tc>
          <w:tcPr>
            <w:tcW w:w="1422"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6</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11716)</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7</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22714)</w:t>
            </w:r>
          </w:p>
        </w:tc>
        <w:tc>
          <w:tcPr>
            <w:tcW w:w="1241"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OASIS 8</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2927)</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TIMACS</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1273)</w:t>
            </w:r>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RIVAL</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2811)</w:t>
            </w:r>
          </w:p>
        </w:tc>
        <w:tc>
          <w:tcPr>
            <w:tcW w:w="1286" w:type="dxa"/>
            <w:tcBorders>
              <w:top w:val="single" w:sz="4" w:space="0" w:color="auto"/>
              <w:left w:val="nil"/>
              <w:bottom w:val="single" w:sz="4" w:space="0" w:color="auto"/>
              <w:right w:val="single" w:sz="4" w:space="0" w:color="auto"/>
            </w:tcBorders>
            <w:shd w:val="clear" w:color="000000" w:fill="FFFFFF"/>
            <w:noWrap/>
            <w:vAlign w:val="center"/>
            <w:hideMark/>
          </w:tcPr>
          <w:p w:rsidR="00A917FF"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TOTAL</w:t>
            </w:r>
          </w:p>
          <w:p w:rsidR="00A917FF" w:rsidRPr="0010191A" w:rsidRDefault="00A917FF" w:rsidP="00CB12B7">
            <w:pPr>
              <w:spacing w:after="0" w:line="240" w:lineRule="auto"/>
              <w:jc w:val="center"/>
              <w:rPr>
                <w:rFonts w:ascii="Calibri" w:eastAsia="Times New Roman" w:hAnsi="Calibri" w:cs="Times New Roman"/>
                <w:color w:val="000000"/>
              </w:rPr>
            </w:pPr>
            <w:r w:rsidRPr="0010191A">
              <w:rPr>
                <w:rFonts w:ascii="Calibri" w:eastAsia="Times New Roman" w:hAnsi="Calibri" w:cs="Times New Roman"/>
                <w:color w:val="000000"/>
              </w:rPr>
              <w:t>(n = 10091)</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nil"/>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Follow up time</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323 (199 - 366)</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183 (181 - 183)</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179 (93 - 185)</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31 (31 - 31)</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33 (31 - 36)</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185 (182 - 188)</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33 (32 - 37)</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370 (365 - 387)</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Death</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687</w:t>
            </w:r>
            <w:r>
              <w:rPr>
                <w:rFonts w:ascii="Calibri" w:eastAsia="Times New Roman" w:hAnsi="Calibri" w:cs="Times New Roman"/>
                <w:color w:val="000000"/>
              </w:rPr>
              <w:t xml:space="preserve"> (</w:t>
            </w:r>
            <w:r w:rsidRPr="00657EE2">
              <w:rPr>
                <w:rFonts w:ascii="Calibri" w:eastAsia="Times New Roman" w:hAnsi="Calibri" w:cs="Times New Roman"/>
                <w:color w:val="000000"/>
              </w:rPr>
              <w:t>6.07)</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1176</w:t>
            </w:r>
            <w:r>
              <w:rPr>
                <w:rFonts w:ascii="Calibri" w:eastAsia="Times New Roman" w:hAnsi="Calibri" w:cs="Times New Roman"/>
                <w:color w:val="000000"/>
              </w:rPr>
              <w:t xml:space="preserve"> (</w:t>
            </w:r>
            <w:r w:rsidRPr="00657EE2">
              <w:rPr>
                <w:rFonts w:ascii="Calibri" w:eastAsia="Times New Roman" w:hAnsi="Calibri" w:cs="Times New Roman"/>
                <w:color w:val="000000"/>
              </w:rPr>
              <w:t>6.28)</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1233</w:t>
            </w:r>
            <w:r>
              <w:rPr>
                <w:rFonts w:ascii="Calibri" w:eastAsia="Times New Roman" w:hAnsi="Calibri" w:cs="Times New Roman"/>
                <w:color w:val="000000"/>
              </w:rPr>
              <w:t xml:space="preserve"> (</w:t>
            </w:r>
            <w:r w:rsidRPr="00657EE2">
              <w:rPr>
                <w:rFonts w:ascii="Calibri" w:eastAsia="Times New Roman" w:hAnsi="Calibri" w:cs="Times New Roman"/>
                <w:color w:val="000000"/>
              </w:rPr>
              <w:t>10.51)</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531</w:t>
            </w:r>
            <w:r w:rsidRPr="00657EE2">
              <w:rPr>
                <w:rFonts w:ascii="Calibri" w:eastAsia="Times New Roman" w:hAnsi="Calibri" w:cs="Times New Roman"/>
                <w:color w:val="000000"/>
              </w:rPr>
              <w:t xml:space="preserve"> (2.33)</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46</w:t>
            </w:r>
            <w:r>
              <w:rPr>
                <w:rFonts w:ascii="Calibri" w:eastAsia="Times New Roman" w:hAnsi="Calibri" w:cs="Times New Roman"/>
                <w:color w:val="000000"/>
              </w:rPr>
              <w:t xml:space="preserve"> (</w:t>
            </w:r>
            <w:r w:rsidRPr="00657EE2">
              <w:rPr>
                <w:rFonts w:ascii="Calibri" w:eastAsia="Times New Roman" w:hAnsi="Calibri" w:cs="Times New Roman"/>
                <w:color w:val="000000"/>
              </w:rPr>
              <w:t>1.57)</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49</w:t>
            </w:r>
            <w:r>
              <w:rPr>
                <w:rFonts w:ascii="Calibri" w:eastAsia="Times New Roman" w:hAnsi="Calibri" w:cs="Times New Roman"/>
                <w:color w:val="000000"/>
              </w:rPr>
              <w:t xml:space="preserve"> (</w:t>
            </w:r>
            <w:r w:rsidRPr="00657EE2">
              <w:rPr>
                <w:rFonts w:ascii="Calibri" w:eastAsia="Times New Roman" w:hAnsi="Calibri" w:cs="Times New Roman"/>
                <w:color w:val="000000"/>
              </w:rPr>
              <w:t>3.84)</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38</w:t>
            </w:r>
            <w:r>
              <w:rPr>
                <w:rFonts w:ascii="Calibri" w:eastAsia="Times New Roman" w:hAnsi="Calibri" w:cs="Times New Roman"/>
                <w:color w:val="000000"/>
              </w:rPr>
              <w:t xml:space="preserve"> (</w:t>
            </w:r>
            <w:r w:rsidRPr="00657EE2">
              <w:rPr>
                <w:rFonts w:ascii="Calibri" w:eastAsia="Times New Roman" w:hAnsi="Calibri" w:cs="Times New Roman"/>
                <w:color w:val="000000"/>
              </w:rPr>
              <w:t>1.35)</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425</w:t>
            </w:r>
            <w:r>
              <w:rPr>
                <w:rFonts w:ascii="Calibri" w:eastAsia="Times New Roman" w:hAnsi="Calibri" w:cs="Times New Roman"/>
                <w:color w:val="000000"/>
              </w:rPr>
              <w:t xml:space="preserve"> (</w:t>
            </w:r>
            <w:r w:rsidRPr="00657EE2">
              <w:rPr>
                <w:rFonts w:ascii="Calibri" w:eastAsia="Times New Roman" w:hAnsi="Calibri" w:cs="Times New Roman"/>
                <w:color w:val="000000"/>
              </w:rPr>
              <w:t>4.20)</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CV death</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599</w:t>
            </w:r>
            <w:r>
              <w:rPr>
                <w:rFonts w:ascii="Calibri" w:eastAsia="Times New Roman" w:hAnsi="Calibri" w:cs="Times New Roman"/>
                <w:color w:val="000000"/>
              </w:rPr>
              <w:t xml:space="preserve"> (</w:t>
            </w:r>
            <w:r w:rsidRPr="00657EE2">
              <w:rPr>
                <w:rFonts w:ascii="Calibri" w:eastAsia="Times New Roman" w:hAnsi="Calibri" w:cs="Times New Roman"/>
                <w:color w:val="000000"/>
              </w:rPr>
              <w:t>5.29)</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1056</w:t>
            </w:r>
            <w:r>
              <w:rPr>
                <w:rFonts w:ascii="Calibri" w:eastAsia="Times New Roman" w:hAnsi="Calibri" w:cs="Times New Roman"/>
                <w:color w:val="000000"/>
              </w:rPr>
              <w:t xml:space="preserve"> (</w:t>
            </w:r>
            <w:r w:rsidRPr="00657EE2">
              <w:rPr>
                <w:rFonts w:ascii="Calibri" w:eastAsia="Times New Roman" w:hAnsi="Calibri" w:cs="Times New Roman"/>
                <w:color w:val="000000"/>
              </w:rPr>
              <w:t>5.64)</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1194</w:t>
            </w:r>
            <w:r>
              <w:rPr>
                <w:rFonts w:ascii="Calibri" w:eastAsia="Times New Roman" w:hAnsi="Calibri" w:cs="Times New Roman"/>
                <w:color w:val="000000"/>
              </w:rPr>
              <w:t xml:space="preserve"> (</w:t>
            </w:r>
            <w:r w:rsidRPr="00657EE2">
              <w:rPr>
                <w:rFonts w:ascii="Calibri" w:eastAsia="Times New Roman" w:hAnsi="Calibri" w:cs="Times New Roman"/>
                <w:color w:val="000000"/>
              </w:rPr>
              <w:t>10.18)</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497</w:t>
            </w:r>
            <w:r w:rsidRPr="00657EE2">
              <w:rPr>
                <w:rFonts w:ascii="Calibri" w:eastAsia="Times New Roman" w:hAnsi="Calibri" w:cs="Times New Roman"/>
                <w:color w:val="000000"/>
              </w:rPr>
              <w:t xml:space="preserve"> (2.18)</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40</w:t>
            </w:r>
            <w:r>
              <w:rPr>
                <w:rFonts w:ascii="Calibri" w:eastAsia="Times New Roman" w:hAnsi="Calibri" w:cs="Times New Roman"/>
                <w:color w:val="000000"/>
              </w:rPr>
              <w:t xml:space="preserve"> (</w:t>
            </w:r>
            <w:r w:rsidRPr="00657EE2">
              <w:rPr>
                <w:rFonts w:ascii="Calibri" w:eastAsia="Times New Roman" w:hAnsi="Calibri" w:cs="Times New Roman"/>
                <w:color w:val="000000"/>
              </w:rPr>
              <w:t>1.36)</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44</w:t>
            </w:r>
            <w:r>
              <w:rPr>
                <w:rFonts w:ascii="Calibri" w:eastAsia="Times New Roman" w:hAnsi="Calibri" w:cs="Times New Roman"/>
                <w:color w:val="000000"/>
              </w:rPr>
              <w:t xml:space="preserve"> (</w:t>
            </w:r>
            <w:r w:rsidRPr="00657EE2">
              <w:rPr>
                <w:rFonts w:ascii="Calibri" w:eastAsia="Times New Roman" w:hAnsi="Calibri" w:cs="Times New Roman"/>
                <w:color w:val="000000"/>
              </w:rPr>
              <w:t>3.45)</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35</w:t>
            </w:r>
            <w:r>
              <w:rPr>
                <w:rFonts w:ascii="Calibri" w:eastAsia="Times New Roman" w:hAnsi="Calibri" w:cs="Times New Roman"/>
                <w:color w:val="000000"/>
              </w:rPr>
              <w:t xml:space="preserve"> (</w:t>
            </w:r>
            <w:r w:rsidRPr="00657EE2">
              <w:rPr>
                <w:rFonts w:ascii="Calibri" w:eastAsia="Times New Roman" w:hAnsi="Calibri" w:cs="Times New Roman"/>
                <w:color w:val="000000"/>
              </w:rPr>
              <w:t>1.24)</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370</w:t>
            </w:r>
            <w:r>
              <w:rPr>
                <w:rFonts w:ascii="Calibri" w:eastAsia="Times New Roman" w:hAnsi="Calibri" w:cs="Times New Roman"/>
                <w:color w:val="000000"/>
              </w:rPr>
              <w:t xml:space="preserve"> (</w:t>
            </w:r>
            <w:r w:rsidRPr="00657EE2">
              <w:rPr>
                <w:rFonts w:ascii="Calibri" w:eastAsia="Times New Roman" w:hAnsi="Calibri" w:cs="Times New Roman"/>
                <w:color w:val="000000"/>
              </w:rPr>
              <w:t>3.66)</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MI</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718</w:t>
            </w:r>
            <w:r>
              <w:rPr>
                <w:rFonts w:ascii="Calibri" w:eastAsia="Times New Roman" w:hAnsi="Calibri" w:cs="Times New Roman"/>
                <w:color w:val="000000"/>
              </w:rPr>
              <w:t xml:space="preserve"> (</w:t>
            </w:r>
            <w:r w:rsidRPr="00657EE2">
              <w:rPr>
                <w:rFonts w:ascii="Calibri" w:eastAsia="Times New Roman" w:hAnsi="Calibri" w:cs="Times New Roman"/>
                <w:color w:val="000000"/>
              </w:rPr>
              <w:t>6.34)</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1234</w:t>
            </w:r>
            <w:r>
              <w:rPr>
                <w:rFonts w:ascii="Calibri" w:eastAsia="Times New Roman" w:hAnsi="Calibri" w:cs="Times New Roman"/>
                <w:color w:val="000000"/>
              </w:rPr>
              <w:t xml:space="preserve"> (</w:t>
            </w:r>
            <w:r w:rsidRPr="00657EE2">
              <w:rPr>
                <w:rFonts w:ascii="Calibri" w:eastAsia="Times New Roman" w:hAnsi="Calibri" w:cs="Times New Roman"/>
                <w:color w:val="000000"/>
              </w:rPr>
              <w:t>6.59)</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439</w:t>
            </w:r>
            <w:r>
              <w:rPr>
                <w:rFonts w:ascii="Calibri" w:eastAsia="Times New Roman" w:hAnsi="Calibri" w:cs="Times New Roman"/>
                <w:color w:val="000000"/>
              </w:rPr>
              <w:t xml:space="preserve"> (</w:t>
            </w:r>
            <w:r w:rsidRPr="00657EE2">
              <w:rPr>
                <w:rFonts w:ascii="Calibri" w:eastAsia="Times New Roman" w:hAnsi="Calibri" w:cs="Times New Roman"/>
                <w:color w:val="000000"/>
              </w:rPr>
              <w:t>3.74)</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505</w:t>
            </w:r>
            <w:r w:rsidRPr="00657EE2">
              <w:rPr>
                <w:rFonts w:ascii="Calibri" w:eastAsia="Times New Roman" w:hAnsi="Calibri" w:cs="Times New Roman"/>
                <w:color w:val="000000"/>
              </w:rPr>
              <w:t xml:space="preserve"> (2.2)</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73</w:t>
            </w:r>
            <w:r>
              <w:rPr>
                <w:rFonts w:ascii="Calibri" w:eastAsia="Times New Roman" w:hAnsi="Calibri" w:cs="Times New Roman"/>
                <w:color w:val="000000"/>
              </w:rPr>
              <w:t xml:space="preserve"> (</w:t>
            </w:r>
            <w:r w:rsidRPr="00657EE2">
              <w:rPr>
                <w:rFonts w:ascii="Calibri" w:eastAsia="Times New Roman" w:hAnsi="Calibri" w:cs="Times New Roman"/>
                <w:color w:val="000000"/>
              </w:rPr>
              <w:t>2.49)</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63</w:t>
            </w:r>
            <w:r>
              <w:rPr>
                <w:rFonts w:ascii="Calibri" w:eastAsia="Times New Roman" w:hAnsi="Calibri" w:cs="Times New Roman"/>
                <w:color w:val="000000"/>
              </w:rPr>
              <w:t xml:space="preserve"> (</w:t>
            </w:r>
            <w:r w:rsidRPr="00657EE2">
              <w:rPr>
                <w:rFonts w:ascii="Calibri" w:eastAsia="Times New Roman" w:hAnsi="Calibri" w:cs="Times New Roman"/>
                <w:color w:val="000000"/>
              </w:rPr>
              <w:t>4.94)</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60</w:t>
            </w:r>
            <w:r>
              <w:rPr>
                <w:rFonts w:ascii="Calibri" w:eastAsia="Times New Roman" w:hAnsi="Calibri" w:cs="Times New Roman"/>
                <w:color w:val="000000"/>
              </w:rPr>
              <w:t xml:space="preserve"> (</w:t>
            </w:r>
            <w:r w:rsidRPr="00657EE2">
              <w:rPr>
                <w:rFonts w:ascii="Calibri" w:eastAsia="Times New Roman" w:hAnsi="Calibri" w:cs="Times New Roman"/>
                <w:color w:val="000000"/>
              </w:rPr>
              <w:t>2.13)</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231</w:t>
            </w:r>
            <w:r>
              <w:rPr>
                <w:rFonts w:ascii="Calibri" w:eastAsia="Times New Roman" w:hAnsi="Calibri" w:cs="Times New Roman"/>
                <w:color w:val="000000"/>
              </w:rPr>
              <w:t xml:space="preserve"> (</w:t>
            </w:r>
            <w:r w:rsidRPr="00657EE2">
              <w:rPr>
                <w:rFonts w:ascii="Calibri" w:eastAsia="Times New Roman" w:hAnsi="Calibri" w:cs="Times New Roman"/>
                <w:color w:val="000000"/>
              </w:rPr>
              <w:t>2.28)</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Stroke</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147</w:t>
            </w:r>
            <w:r>
              <w:rPr>
                <w:rFonts w:ascii="Calibri" w:eastAsia="Times New Roman" w:hAnsi="Calibri" w:cs="Times New Roman"/>
                <w:color w:val="000000"/>
              </w:rPr>
              <w:t xml:space="preserve"> (</w:t>
            </w:r>
            <w:r w:rsidRPr="00657EE2">
              <w:rPr>
                <w:rFonts w:ascii="Calibri" w:eastAsia="Times New Roman" w:hAnsi="Calibri" w:cs="Times New Roman"/>
                <w:color w:val="000000"/>
              </w:rPr>
              <w:t>1.29)</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275</w:t>
            </w:r>
            <w:r>
              <w:rPr>
                <w:rFonts w:ascii="Calibri" w:eastAsia="Times New Roman" w:hAnsi="Calibri" w:cs="Times New Roman"/>
                <w:color w:val="000000"/>
              </w:rPr>
              <w:t xml:space="preserve"> (</w:t>
            </w:r>
            <w:r w:rsidRPr="00657EE2">
              <w:rPr>
                <w:rFonts w:ascii="Calibri" w:eastAsia="Times New Roman" w:hAnsi="Calibri" w:cs="Times New Roman"/>
                <w:color w:val="000000"/>
              </w:rPr>
              <w:t>1.46)</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165</w:t>
            </w:r>
            <w:r>
              <w:rPr>
                <w:rFonts w:ascii="Calibri" w:eastAsia="Times New Roman" w:hAnsi="Calibri" w:cs="Times New Roman"/>
                <w:color w:val="000000"/>
              </w:rPr>
              <w:t xml:space="preserve"> (</w:t>
            </w:r>
            <w:r w:rsidRPr="00657EE2">
              <w:rPr>
                <w:rFonts w:ascii="Calibri" w:eastAsia="Times New Roman" w:hAnsi="Calibri" w:cs="Times New Roman"/>
                <w:color w:val="000000"/>
              </w:rPr>
              <w:t>1.40)</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r w:rsidRPr="00657EE2">
              <w:rPr>
                <w:rFonts w:ascii="Calibri" w:eastAsia="Times New Roman" w:hAnsi="Calibri" w:cs="Times New Roman"/>
                <w:color w:val="000000"/>
              </w:rPr>
              <w:t xml:space="preserve"> (0.51)</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18</w:t>
            </w:r>
            <w:r>
              <w:rPr>
                <w:rFonts w:ascii="Calibri" w:eastAsia="Times New Roman" w:hAnsi="Calibri" w:cs="Times New Roman"/>
                <w:color w:val="000000"/>
              </w:rPr>
              <w:t xml:space="preserve"> (</w:t>
            </w:r>
            <w:r w:rsidRPr="00657EE2">
              <w:rPr>
                <w:rFonts w:ascii="Calibri" w:eastAsia="Times New Roman" w:hAnsi="Calibri" w:cs="Times New Roman"/>
                <w:color w:val="000000"/>
              </w:rPr>
              <w:t>0.61)</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12</w:t>
            </w:r>
            <w:r>
              <w:rPr>
                <w:rFonts w:ascii="Calibri" w:eastAsia="Times New Roman" w:hAnsi="Calibri" w:cs="Times New Roman"/>
                <w:color w:val="000000"/>
              </w:rPr>
              <w:t xml:space="preserve"> (</w:t>
            </w:r>
            <w:r w:rsidRPr="00657EE2">
              <w:rPr>
                <w:rFonts w:ascii="Calibri" w:eastAsia="Times New Roman" w:hAnsi="Calibri" w:cs="Times New Roman"/>
                <w:color w:val="000000"/>
              </w:rPr>
              <w:t>0.94)</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18</w:t>
            </w:r>
            <w:r>
              <w:rPr>
                <w:rFonts w:ascii="Calibri" w:eastAsia="Times New Roman" w:hAnsi="Calibri" w:cs="Times New Roman"/>
                <w:color w:val="000000"/>
              </w:rPr>
              <w:t xml:space="preserve"> (</w:t>
            </w:r>
            <w:r w:rsidRPr="00657EE2">
              <w:rPr>
                <w:rFonts w:ascii="Calibri" w:eastAsia="Times New Roman" w:hAnsi="Calibri" w:cs="Times New Roman"/>
                <w:color w:val="000000"/>
              </w:rPr>
              <w:t>0.64)</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89</w:t>
            </w:r>
            <w:r>
              <w:rPr>
                <w:rFonts w:ascii="Calibri" w:eastAsia="Times New Roman" w:hAnsi="Calibri" w:cs="Times New Roman"/>
                <w:color w:val="000000"/>
              </w:rPr>
              <w:t xml:space="preserve"> (</w:t>
            </w:r>
            <w:r w:rsidRPr="00657EE2">
              <w:rPr>
                <w:rFonts w:ascii="Calibri" w:eastAsia="Times New Roman" w:hAnsi="Calibri" w:cs="Times New Roman"/>
                <w:color w:val="000000"/>
              </w:rPr>
              <w:t>0.88)</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Refractory ischemia</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1073</w:t>
            </w:r>
            <w:r>
              <w:rPr>
                <w:rFonts w:ascii="Calibri" w:eastAsia="Times New Roman" w:hAnsi="Calibri" w:cs="Times New Roman"/>
                <w:color w:val="000000"/>
              </w:rPr>
              <w:t xml:space="preserve"> (</w:t>
            </w:r>
            <w:r w:rsidRPr="00657EE2">
              <w:rPr>
                <w:rFonts w:ascii="Calibri" w:eastAsia="Times New Roman" w:hAnsi="Calibri" w:cs="Times New Roman"/>
                <w:color w:val="000000"/>
              </w:rPr>
              <w:t>9.48)</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465</w:t>
            </w:r>
            <w:r>
              <w:rPr>
                <w:rFonts w:ascii="Calibri" w:eastAsia="Times New Roman" w:hAnsi="Calibri" w:cs="Times New Roman"/>
                <w:color w:val="000000"/>
              </w:rPr>
              <w:t xml:space="preserve"> (</w:t>
            </w:r>
            <w:r w:rsidRPr="00657EE2">
              <w:rPr>
                <w:rFonts w:ascii="Calibri" w:eastAsia="Times New Roman" w:hAnsi="Calibri" w:cs="Times New Roman"/>
                <w:color w:val="000000"/>
              </w:rPr>
              <w:t>2.48)</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62</w:t>
            </w:r>
            <w:r>
              <w:rPr>
                <w:rFonts w:ascii="Calibri" w:eastAsia="Times New Roman" w:hAnsi="Calibri" w:cs="Times New Roman"/>
                <w:color w:val="000000"/>
              </w:rPr>
              <w:t xml:space="preserve"> (</w:t>
            </w:r>
            <w:r w:rsidRPr="00657EE2">
              <w:rPr>
                <w:rFonts w:ascii="Calibri" w:eastAsia="Times New Roman" w:hAnsi="Calibri" w:cs="Times New Roman"/>
                <w:color w:val="000000"/>
              </w:rPr>
              <w:t>0.52)</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r w:rsidRPr="00657EE2">
              <w:rPr>
                <w:rFonts w:ascii="Calibri" w:eastAsia="Times New Roman" w:hAnsi="Calibri" w:cs="Times New Roman"/>
                <w:color w:val="000000"/>
              </w:rPr>
              <w:t xml:space="preserve"> (0.44)</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42</w:t>
            </w:r>
            <w:r>
              <w:rPr>
                <w:rFonts w:ascii="Calibri" w:eastAsia="Times New Roman" w:hAnsi="Calibri" w:cs="Times New Roman"/>
                <w:color w:val="000000"/>
              </w:rPr>
              <w:t xml:space="preserve"> (</w:t>
            </w:r>
            <w:r w:rsidRPr="00657EE2">
              <w:rPr>
                <w:rFonts w:ascii="Calibri" w:eastAsia="Times New Roman" w:hAnsi="Calibri" w:cs="Times New Roman"/>
                <w:color w:val="000000"/>
              </w:rPr>
              <w:t>1.43)</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31</w:t>
            </w:r>
            <w:r>
              <w:rPr>
                <w:rFonts w:ascii="Calibri" w:eastAsia="Times New Roman" w:hAnsi="Calibri" w:cs="Times New Roman"/>
                <w:color w:val="000000"/>
              </w:rPr>
              <w:t xml:space="preserve"> (</w:t>
            </w:r>
            <w:r w:rsidRPr="00657EE2">
              <w:rPr>
                <w:rFonts w:ascii="Calibri" w:eastAsia="Times New Roman" w:hAnsi="Calibri" w:cs="Times New Roman"/>
                <w:color w:val="000000"/>
              </w:rPr>
              <w:t>2.43)</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7</w:t>
            </w:r>
            <w:r>
              <w:rPr>
                <w:rFonts w:ascii="Calibri" w:eastAsia="Times New Roman" w:hAnsi="Calibri" w:cs="Times New Roman"/>
                <w:color w:val="000000"/>
              </w:rPr>
              <w:t xml:space="preserve"> (</w:t>
            </w:r>
            <w:r w:rsidRPr="00657EE2">
              <w:rPr>
                <w:rFonts w:ascii="Calibri" w:eastAsia="Times New Roman" w:hAnsi="Calibri" w:cs="Times New Roman"/>
                <w:color w:val="000000"/>
              </w:rPr>
              <w:t>0.24)</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495</w:t>
            </w:r>
            <w:r>
              <w:rPr>
                <w:rFonts w:ascii="Calibri" w:eastAsia="Times New Roman" w:hAnsi="Calibri" w:cs="Times New Roman"/>
                <w:color w:val="000000"/>
              </w:rPr>
              <w:t xml:space="preserve"> (</w:t>
            </w:r>
            <w:r w:rsidRPr="00657EE2">
              <w:rPr>
                <w:rFonts w:ascii="Calibri" w:eastAsia="Times New Roman" w:hAnsi="Calibri" w:cs="Times New Roman"/>
                <w:color w:val="000000"/>
              </w:rPr>
              <w:t>4.90)</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sidRPr="00657EE2">
              <w:rPr>
                <w:rFonts w:ascii="Calibri" w:eastAsia="Times New Roman" w:hAnsi="Calibri" w:cs="Times New Roman"/>
                <w:color w:val="000000"/>
              </w:rPr>
              <w:t>Major bleeding</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361</w:t>
            </w:r>
            <w:r>
              <w:rPr>
                <w:rFonts w:ascii="Calibri" w:eastAsia="Times New Roman" w:hAnsi="Calibri" w:cs="Times New Roman"/>
                <w:color w:val="000000"/>
              </w:rPr>
              <w:t xml:space="preserve"> (</w:t>
            </w:r>
            <w:r w:rsidRPr="00657EE2">
              <w:rPr>
                <w:rFonts w:ascii="Calibri" w:eastAsia="Times New Roman" w:hAnsi="Calibri" w:cs="Times New Roman"/>
                <w:color w:val="000000"/>
              </w:rPr>
              <w:t>3.19)</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960</w:t>
            </w:r>
            <w:r>
              <w:rPr>
                <w:rFonts w:ascii="Calibri" w:eastAsia="Times New Roman" w:hAnsi="Calibri" w:cs="Times New Roman"/>
                <w:color w:val="000000"/>
              </w:rPr>
              <w:t xml:space="preserve"> (</w:t>
            </w:r>
            <w:r w:rsidRPr="00657EE2">
              <w:rPr>
                <w:rFonts w:ascii="Calibri" w:eastAsia="Times New Roman" w:hAnsi="Calibri" w:cs="Times New Roman"/>
                <w:color w:val="000000"/>
              </w:rPr>
              <w:t>5.13)</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194</w:t>
            </w:r>
            <w:r>
              <w:rPr>
                <w:rFonts w:ascii="Calibri" w:eastAsia="Times New Roman" w:hAnsi="Calibri" w:cs="Times New Roman"/>
                <w:color w:val="000000"/>
              </w:rPr>
              <w:t xml:space="preserve"> (</w:t>
            </w:r>
            <w:r w:rsidRPr="00657EE2">
              <w:rPr>
                <w:rFonts w:ascii="Calibri" w:eastAsia="Times New Roman" w:hAnsi="Calibri" w:cs="Times New Roman"/>
                <w:color w:val="000000"/>
              </w:rPr>
              <w:t>1.65)</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114</w:t>
            </w:r>
            <w:r w:rsidRPr="00657EE2">
              <w:rPr>
                <w:rFonts w:ascii="Calibri" w:eastAsia="Times New Roman" w:hAnsi="Calibri" w:cs="Times New Roman"/>
                <w:color w:val="000000"/>
              </w:rPr>
              <w:t xml:space="preserve"> (0.50)</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70</w:t>
            </w:r>
            <w:r>
              <w:rPr>
                <w:rFonts w:ascii="Calibri" w:eastAsia="Times New Roman" w:hAnsi="Calibri" w:cs="Times New Roman"/>
                <w:color w:val="000000"/>
              </w:rPr>
              <w:t xml:space="preserve"> (</w:t>
            </w:r>
            <w:r w:rsidRPr="00657EE2">
              <w:rPr>
                <w:rFonts w:ascii="Calibri" w:eastAsia="Times New Roman" w:hAnsi="Calibri" w:cs="Times New Roman"/>
                <w:color w:val="000000"/>
              </w:rPr>
              <w:t>2.39)</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7</w:t>
            </w:r>
            <w:r>
              <w:rPr>
                <w:rFonts w:ascii="Calibri" w:eastAsia="Times New Roman" w:hAnsi="Calibri" w:cs="Times New Roman"/>
                <w:color w:val="000000"/>
              </w:rPr>
              <w:t xml:space="preserve"> (</w:t>
            </w:r>
            <w:r w:rsidRPr="00657EE2">
              <w:rPr>
                <w:rFonts w:ascii="Calibri" w:eastAsia="Times New Roman" w:hAnsi="Calibri" w:cs="Times New Roman"/>
                <w:color w:val="000000"/>
              </w:rPr>
              <w:t>0.54)</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14</w:t>
            </w:r>
            <w:r>
              <w:rPr>
                <w:rFonts w:ascii="Calibri" w:eastAsia="Times New Roman" w:hAnsi="Calibri" w:cs="Times New Roman"/>
                <w:color w:val="000000"/>
              </w:rPr>
              <w:t xml:space="preserve"> (</w:t>
            </w:r>
            <w:r w:rsidRPr="00657EE2">
              <w:rPr>
                <w:rFonts w:ascii="Calibri" w:eastAsia="Times New Roman" w:hAnsi="Calibri" w:cs="Times New Roman"/>
                <w:color w:val="000000"/>
              </w:rPr>
              <w:t>0.49)</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34</w:t>
            </w:r>
            <w:r>
              <w:rPr>
                <w:rFonts w:ascii="Calibri" w:eastAsia="Times New Roman" w:hAnsi="Calibri" w:cs="Times New Roman"/>
                <w:color w:val="000000"/>
              </w:rPr>
              <w:t xml:space="preserve"> (</w:t>
            </w:r>
            <w:r w:rsidRPr="00657EE2">
              <w:rPr>
                <w:rFonts w:ascii="Calibri" w:eastAsia="Times New Roman" w:hAnsi="Calibri" w:cs="Times New Roman"/>
                <w:color w:val="000000"/>
              </w:rPr>
              <w:t>0.33)</w:t>
            </w:r>
          </w:p>
        </w:tc>
      </w:tr>
      <w:tr w:rsidR="00A917FF" w:rsidRPr="00657EE2" w:rsidTr="00CB12B7">
        <w:trPr>
          <w:trHeight w:val="301"/>
        </w:trPr>
        <w:tc>
          <w:tcPr>
            <w:tcW w:w="294" w:type="dxa"/>
            <w:tcBorders>
              <w:top w:val="nil"/>
              <w:left w:val="nil"/>
              <w:bottom w:val="nil"/>
              <w:right w:val="nil"/>
            </w:tcBorders>
            <w:shd w:val="clear" w:color="000000" w:fill="FFFFFF"/>
            <w:noWrap/>
            <w:vAlign w:val="bottom"/>
            <w:hideMark/>
          </w:tcPr>
          <w:p w:rsidR="00A917FF" w:rsidRPr="00657EE2" w:rsidRDefault="00A917FF" w:rsidP="0052196B">
            <w:pPr>
              <w:spacing w:after="0" w:line="240" w:lineRule="auto"/>
              <w:jc w:val="both"/>
              <w:rPr>
                <w:rFonts w:ascii="Calibri" w:eastAsia="Times New Roman" w:hAnsi="Calibri" w:cs="Times New Roman"/>
                <w:color w:val="000000"/>
              </w:rPr>
            </w:pPr>
            <w:r w:rsidRPr="00657EE2">
              <w:rPr>
                <w:rFonts w:ascii="Calibri" w:eastAsia="Times New Roman" w:hAnsi="Calibri" w:cs="Times New Roman"/>
                <w:color w:val="000000"/>
              </w:rPr>
              <w:t> </w:t>
            </w:r>
          </w:p>
        </w:tc>
        <w:tc>
          <w:tcPr>
            <w:tcW w:w="1885" w:type="dxa"/>
            <w:tcBorders>
              <w:top w:val="single" w:sz="4" w:space="0" w:color="auto"/>
              <w:left w:val="nil"/>
              <w:bottom w:val="single" w:sz="4" w:space="0" w:color="auto"/>
              <w:right w:val="single" w:sz="4" w:space="0" w:color="000000"/>
            </w:tcBorders>
            <w:shd w:val="clear" w:color="000000" w:fill="FFFFFF"/>
            <w:noWrap/>
            <w:vAlign w:val="center"/>
            <w:hideMark/>
          </w:tcPr>
          <w:p w:rsidR="00A917FF" w:rsidRPr="00657EE2" w:rsidRDefault="00A917FF" w:rsidP="00CB12B7">
            <w:pPr>
              <w:spacing w:after="0" w:line="240" w:lineRule="auto"/>
              <w:rPr>
                <w:rFonts w:ascii="Calibri" w:eastAsia="Times New Roman" w:hAnsi="Calibri" w:cs="Times New Roman"/>
                <w:color w:val="000000"/>
              </w:rPr>
            </w:pPr>
            <w:r>
              <w:rPr>
                <w:rFonts w:ascii="Calibri" w:eastAsia="Times New Roman" w:hAnsi="Calibri" w:cs="Times New Roman"/>
                <w:color w:val="000000"/>
              </w:rPr>
              <w:t>HF hospitalization</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299</w:t>
            </w:r>
            <w:r>
              <w:rPr>
                <w:rFonts w:ascii="Calibri" w:eastAsia="Times New Roman" w:hAnsi="Calibri" w:cs="Times New Roman"/>
                <w:color w:val="000000"/>
              </w:rPr>
              <w:t xml:space="preserve"> (</w:t>
            </w:r>
            <w:r w:rsidRPr="00657EE2">
              <w:rPr>
                <w:rFonts w:ascii="Calibri" w:eastAsia="Times New Roman" w:hAnsi="Calibri" w:cs="Times New Roman"/>
                <w:color w:val="000000"/>
              </w:rPr>
              <w:t>2.64)</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460</w:t>
            </w:r>
            <w:r>
              <w:rPr>
                <w:rFonts w:ascii="Calibri" w:eastAsia="Times New Roman" w:hAnsi="Calibri" w:cs="Times New Roman"/>
                <w:color w:val="000000"/>
              </w:rPr>
              <w:t xml:space="preserve"> (</w:t>
            </w:r>
            <w:r w:rsidRPr="00657EE2">
              <w:rPr>
                <w:rFonts w:ascii="Calibri" w:eastAsia="Times New Roman" w:hAnsi="Calibri" w:cs="Times New Roman"/>
                <w:color w:val="000000"/>
              </w:rPr>
              <w:t>2.45)</w:t>
            </w:r>
          </w:p>
        </w:tc>
        <w:tc>
          <w:tcPr>
            <w:tcW w:w="1422"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190</w:t>
            </w:r>
            <w:r>
              <w:rPr>
                <w:rFonts w:ascii="Calibri" w:eastAsia="Times New Roman" w:hAnsi="Calibri" w:cs="Times New Roman"/>
                <w:color w:val="000000"/>
              </w:rPr>
              <w:t xml:space="preserve"> (</w:t>
            </w:r>
            <w:r w:rsidRPr="00657EE2">
              <w:rPr>
                <w:rFonts w:ascii="Calibri" w:eastAsia="Times New Roman" w:hAnsi="Calibri" w:cs="Times New Roman"/>
                <w:color w:val="000000"/>
              </w:rPr>
              <w:t>1.62)</w:t>
            </w:r>
          </w:p>
        </w:tc>
        <w:tc>
          <w:tcPr>
            <w:tcW w:w="144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r w:rsidRPr="00657EE2">
              <w:rPr>
                <w:rFonts w:ascii="Calibri" w:eastAsia="Times New Roman" w:hAnsi="Calibri" w:cs="Times New Roman"/>
                <w:color w:val="000000"/>
              </w:rPr>
              <w:t xml:space="preserve"> (0.47)</w:t>
            </w:r>
          </w:p>
        </w:tc>
        <w:tc>
          <w:tcPr>
            <w:tcW w:w="1241"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10</w:t>
            </w:r>
            <w:r>
              <w:rPr>
                <w:rFonts w:ascii="Calibri" w:eastAsia="Times New Roman" w:hAnsi="Calibri" w:cs="Times New Roman"/>
                <w:color w:val="000000"/>
              </w:rPr>
              <w:t xml:space="preserve"> (</w:t>
            </w:r>
            <w:r w:rsidRPr="00657EE2">
              <w:rPr>
                <w:rFonts w:ascii="Calibri" w:eastAsia="Times New Roman" w:hAnsi="Calibri" w:cs="Times New Roman"/>
                <w:color w:val="000000"/>
              </w:rPr>
              <w:t>0.34)</w:t>
            </w:r>
          </w:p>
        </w:tc>
        <w:tc>
          <w:tcPr>
            <w:tcW w:w="1260"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10</w:t>
            </w:r>
            <w:r>
              <w:rPr>
                <w:rFonts w:ascii="Calibri" w:eastAsia="Times New Roman" w:hAnsi="Calibri" w:cs="Times New Roman"/>
                <w:color w:val="000000"/>
              </w:rPr>
              <w:t xml:space="preserve"> (</w:t>
            </w:r>
            <w:r w:rsidRPr="00657EE2">
              <w:rPr>
                <w:rFonts w:ascii="Calibri" w:eastAsia="Times New Roman" w:hAnsi="Calibri" w:cs="Times New Roman"/>
                <w:color w:val="000000"/>
              </w:rPr>
              <w:t>0.78)</w:t>
            </w:r>
          </w:p>
        </w:tc>
        <w:tc>
          <w:tcPr>
            <w:tcW w:w="1163"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8</w:t>
            </w:r>
            <w:r>
              <w:rPr>
                <w:rFonts w:ascii="Calibri" w:eastAsia="Times New Roman" w:hAnsi="Calibri" w:cs="Times New Roman"/>
                <w:color w:val="000000"/>
              </w:rPr>
              <w:t xml:space="preserve"> (</w:t>
            </w:r>
            <w:r w:rsidRPr="00657EE2">
              <w:rPr>
                <w:rFonts w:ascii="Calibri" w:eastAsia="Times New Roman" w:hAnsi="Calibri" w:cs="Times New Roman"/>
                <w:color w:val="000000"/>
              </w:rPr>
              <w:t>0.28)</w:t>
            </w:r>
          </w:p>
        </w:tc>
        <w:tc>
          <w:tcPr>
            <w:tcW w:w="1286" w:type="dxa"/>
            <w:tcBorders>
              <w:top w:val="nil"/>
              <w:left w:val="nil"/>
              <w:bottom w:val="single" w:sz="4" w:space="0" w:color="auto"/>
              <w:right w:val="single" w:sz="4" w:space="0" w:color="auto"/>
            </w:tcBorders>
            <w:shd w:val="clear" w:color="000000" w:fill="FFFFFF"/>
            <w:noWrap/>
            <w:vAlign w:val="center"/>
            <w:hideMark/>
          </w:tcPr>
          <w:p w:rsidR="00A917FF" w:rsidRPr="00657EE2" w:rsidRDefault="00A917FF" w:rsidP="00CB12B7">
            <w:pPr>
              <w:spacing w:after="0" w:line="240" w:lineRule="auto"/>
              <w:jc w:val="center"/>
              <w:rPr>
                <w:rFonts w:ascii="Calibri" w:eastAsia="Times New Roman" w:hAnsi="Calibri" w:cs="Times New Roman"/>
                <w:color w:val="000000"/>
              </w:rPr>
            </w:pPr>
            <w:r w:rsidRPr="00657EE2">
              <w:rPr>
                <w:rFonts w:ascii="Calibri" w:eastAsia="Times New Roman" w:hAnsi="Calibri" w:cs="Times New Roman"/>
                <w:color w:val="000000"/>
              </w:rPr>
              <w:t>212</w:t>
            </w:r>
            <w:r>
              <w:rPr>
                <w:rFonts w:ascii="Calibri" w:eastAsia="Times New Roman" w:hAnsi="Calibri" w:cs="Times New Roman"/>
                <w:color w:val="000000"/>
              </w:rPr>
              <w:t xml:space="preserve"> (</w:t>
            </w:r>
            <w:r w:rsidRPr="00657EE2">
              <w:rPr>
                <w:rFonts w:ascii="Calibri" w:eastAsia="Times New Roman" w:hAnsi="Calibri" w:cs="Times New Roman"/>
                <w:color w:val="000000"/>
              </w:rPr>
              <w:t>2.09)</w:t>
            </w:r>
          </w:p>
        </w:tc>
      </w:tr>
    </w:tbl>
    <w:p w:rsidR="00A917FF" w:rsidRDefault="00A917FF" w:rsidP="0052196B">
      <w:pPr>
        <w:jc w:val="both"/>
      </w:pPr>
    </w:p>
    <w:p w:rsidR="00A917FF" w:rsidRDefault="00A917FF" w:rsidP="0052196B">
      <w:pPr>
        <w:jc w:val="both"/>
      </w:pPr>
      <w:r>
        <w:t>Notes: Baseline characteristics and outcomes across the included randomized controlled trials. CKD defined as creatinine clearance &lt; 60 ml/minute. CV: Cardiovascular, HF: heart failure, IABP: intra-aortic balloon pump, PCI: percutaneous coronary intervention, CABG: coronary bypass surgery, UA: unstable angina, NSTEMI: non-ST segment elevation myocardial infarction, STEMI: ST segment elevation myocardial infarction, CKD: chronic kidney disease, ACS: acute coronary syndrome, SD: standard deviation.</w:t>
      </w:r>
    </w:p>
    <w:p w:rsidR="00A917FF" w:rsidRDefault="00A917FF" w:rsidP="0052196B">
      <w:pPr>
        <w:jc w:val="both"/>
      </w:pPr>
    </w:p>
    <w:p w:rsidR="00A917FF" w:rsidRDefault="00A917FF" w:rsidP="0052196B">
      <w:pPr>
        <w:jc w:val="both"/>
      </w:pPr>
      <w:r>
        <w:br w:type="page"/>
      </w:r>
    </w:p>
    <w:p w:rsidR="00A917FF" w:rsidRPr="001D19F4" w:rsidRDefault="00A917FF" w:rsidP="0052196B">
      <w:pPr>
        <w:jc w:val="both"/>
      </w:pPr>
      <w:r>
        <w:lastRenderedPageBreak/>
        <w:t>Table S2:</w:t>
      </w:r>
    </w:p>
    <w:tbl>
      <w:tblPr>
        <w:tblW w:w="12915" w:type="dxa"/>
        <w:tblInd w:w="93" w:type="dxa"/>
        <w:tblLayout w:type="fixed"/>
        <w:tblLook w:val="04A0" w:firstRow="1" w:lastRow="0" w:firstColumn="1" w:lastColumn="0" w:noHBand="0" w:noVBand="1"/>
      </w:tblPr>
      <w:tblGrid>
        <w:gridCol w:w="1008"/>
        <w:gridCol w:w="1275"/>
        <w:gridCol w:w="423"/>
        <w:gridCol w:w="867"/>
        <w:gridCol w:w="262"/>
        <w:gridCol w:w="1138"/>
        <w:gridCol w:w="287"/>
        <w:gridCol w:w="847"/>
        <w:gridCol w:w="287"/>
        <w:gridCol w:w="284"/>
        <w:gridCol w:w="547"/>
        <w:gridCol w:w="587"/>
        <w:gridCol w:w="1965"/>
        <w:gridCol w:w="456"/>
        <w:gridCol w:w="961"/>
        <w:gridCol w:w="587"/>
        <w:gridCol w:w="1134"/>
      </w:tblGrid>
      <w:tr w:rsidR="00A917FF" w:rsidRPr="00FB6665" w:rsidTr="00081DC9">
        <w:trPr>
          <w:trHeight w:val="300"/>
        </w:trPr>
        <w:tc>
          <w:tcPr>
            <w:tcW w:w="2706" w:type="dxa"/>
            <w:gridSpan w:val="3"/>
            <w:tcBorders>
              <w:top w:val="single" w:sz="4" w:space="0" w:color="auto"/>
              <w:left w:val="single" w:sz="4" w:space="0" w:color="auto"/>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Demographics</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mean,SD</w:t>
            </w:r>
            <w:proofErr w:type="spellEnd"/>
            <w:r>
              <w:rPr>
                <w:rFonts w:ascii="Calibri" w:eastAsia="Times New Roman" w:hAnsi="Calibri" w:cs="Times New Roman"/>
                <w:color w:val="000000"/>
              </w:rPr>
              <w:t>)</w:t>
            </w:r>
          </w:p>
        </w:tc>
        <w:tc>
          <w:tcPr>
            <w:tcW w:w="867" w:type="dxa"/>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400" w:type="dxa"/>
            <w:gridSpan w:val="2"/>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7" w:type="dxa"/>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831" w:type="dxa"/>
            <w:gridSpan w:val="2"/>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552" w:type="dxa"/>
            <w:gridSpan w:val="2"/>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417" w:type="dxa"/>
            <w:gridSpan w:val="2"/>
            <w:tcBorders>
              <w:top w:val="single" w:sz="4" w:space="0" w:color="auto"/>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721" w:type="dxa"/>
            <w:gridSpan w:val="2"/>
            <w:tcBorders>
              <w:top w:val="single" w:sz="4" w:space="0" w:color="auto"/>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081DC9">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Age group</w:t>
            </w:r>
          </w:p>
        </w:tc>
        <w:tc>
          <w:tcPr>
            <w:tcW w:w="1552" w:type="dxa"/>
            <w:gridSpan w:val="3"/>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425"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Region</w:t>
            </w:r>
          </w:p>
        </w:tc>
        <w:tc>
          <w:tcPr>
            <w:tcW w:w="2421"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48"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 xml:space="preserve">p &lt; </w:t>
            </w:r>
            <w:r>
              <w:rPr>
                <w:rFonts w:ascii="Calibri" w:eastAsia="Times New Roman" w:hAnsi="Calibri" w:cs="Times New Roman"/>
                <w:color w:val="000000"/>
              </w:rPr>
              <w:t>0.001</w:t>
            </w: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&lt; 40</w:t>
            </w:r>
            <w:r>
              <w:rPr>
                <w:rFonts w:ascii="Calibri" w:eastAsia="Times New Roman" w:hAnsi="Calibri" w:cs="Times New Roman"/>
                <w:color w:val="000000"/>
              </w:rPr>
              <w:t xml:space="preserve"> years</w:t>
            </w:r>
          </w:p>
        </w:tc>
        <w:tc>
          <w:tcPr>
            <w:tcW w:w="1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27.96 (5.33)</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South Africa</w:t>
            </w:r>
          </w:p>
        </w:tc>
        <w:tc>
          <w:tcPr>
            <w:tcW w:w="1548"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27.78 (4.93)</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40 - 50</w:t>
            </w:r>
            <w:r>
              <w:rPr>
                <w:rFonts w:ascii="Calibri" w:eastAsia="Times New Roman" w:hAnsi="Calibri" w:cs="Times New Roman"/>
                <w:color w:val="000000"/>
              </w:rPr>
              <w:t xml:space="preserve"> years</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27.96 (5.05)</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Asia</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24.68 (3.69)</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50 - 60</w:t>
            </w:r>
            <w:r>
              <w:rPr>
                <w:rFonts w:ascii="Calibri" w:eastAsia="Times New Roman" w:hAnsi="Calibri" w:cs="Times New Roman"/>
                <w:color w:val="000000"/>
              </w:rPr>
              <w:t xml:space="preserve"> years</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27.78 (4.88)</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Australia / New Zealand</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27.95 (4.89)</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60 - 70</w:t>
            </w:r>
            <w:r>
              <w:rPr>
                <w:rFonts w:ascii="Calibri" w:eastAsia="Times New Roman" w:hAnsi="Calibri" w:cs="Times New Roman"/>
                <w:color w:val="000000"/>
              </w:rPr>
              <w:t xml:space="preserve"> years</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27.51 (4.62)</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Eastern Europe</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27.79 (4.35)</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70</w:t>
            </w:r>
            <w:r>
              <w:rPr>
                <w:rFonts w:ascii="Calibri" w:eastAsia="Times New Roman" w:hAnsi="Calibri" w:cs="Times New Roman"/>
                <w:color w:val="000000"/>
              </w:rPr>
              <w:t xml:space="preserve"> - 80 years</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26.78 (4.30</w:t>
            </w:r>
            <w:r w:rsidRPr="00FB6665">
              <w:rPr>
                <w:rFonts w:ascii="Calibri" w:eastAsia="Times New Roman" w:hAnsi="Calibri" w:cs="Times New Roman"/>
                <w:color w:val="000000"/>
              </w:rPr>
              <w:t>)</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Latin America</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27.24 (4.35)</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80 – 90 years</w:t>
            </w:r>
          </w:p>
        </w:tc>
        <w:tc>
          <w:tcPr>
            <w:tcW w:w="1425" w:type="dxa"/>
            <w:gridSpan w:val="2"/>
            <w:tcBorders>
              <w:top w:val="nil"/>
              <w:left w:val="nil"/>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25.67 (4.08)</w:t>
            </w:r>
          </w:p>
        </w:tc>
        <w:tc>
          <w:tcPr>
            <w:tcW w:w="1134" w:type="dxa"/>
            <w:gridSpan w:val="2"/>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Middle East</w:t>
            </w:r>
          </w:p>
        </w:tc>
        <w:tc>
          <w:tcPr>
            <w:tcW w:w="1548" w:type="dxa"/>
            <w:gridSpan w:val="2"/>
            <w:tcBorders>
              <w:top w:val="nil"/>
              <w:left w:val="nil"/>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27.73 (4.37)</w:t>
            </w:r>
          </w:p>
        </w:tc>
        <w:tc>
          <w:tcPr>
            <w:tcW w:w="1134" w:type="dxa"/>
            <w:tcBorders>
              <w:top w:val="nil"/>
              <w:left w:val="nil"/>
              <w:bottom w:val="nil"/>
              <w:right w:val="single" w:sz="4" w:space="0" w:color="auto"/>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tcPr>
          <w:p w:rsidR="00A917FF" w:rsidRPr="00963E45"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&gt; </w:t>
            </w:r>
            <w:r w:rsidRPr="00963E45">
              <w:rPr>
                <w:rFonts w:ascii="Calibri" w:eastAsia="Times New Roman" w:hAnsi="Calibri" w:cs="Times New Roman"/>
                <w:color w:val="000000"/>
              </w:rPr>
              <w:t>90 years</w:t>
            </w:r>
          </w:p>
        </w:tc>
        <w:tc>
          <w:tcPr>
            <w:tcW w:w="1425" w:type="dxa"/>
            <w:gridSpan w:val="2"/>
            <w:tcBorders>
              <w:top w:val="nil"/>
              <w:left w:val="nil"/>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24.22 (3.69)</w:t>
            </w:r>
          </w:p>
        </w:tc>
        <w:tc>
          <w:tcPr>
            <w:tcW w:w="1134" w:type="dxa"/>
            <w:gridSpan w:val="2"/>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North America</w:t>
            </w:r>
          </w:p>
        </w:tc>
        <w:tc>
          <w:tcPr>
            <w:tcW w:w="1548" w:type="dxa"/>
            <w:gridSpan w:val="2"/>
            <w:tcBorders>
              <w:top w:val="nil"/>
              <w:left w:val="nil"/>
              <w:bottom w:val="single" w:sz="4" w:space="0" w:color="auto"/>
              <w:right w:val="single" w:sz="4" w:space="0" w:color="auto"/>
            </w:tcBorders>
            <w:shd w:val="clear" w:color="auto" w:fill="auto"/>
            <w:noWrap/>
            <w:vAlign w:val="center"/>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28.37 (5.56)</w:t>
            </w:r>
          </w:p>
        </w:tc>
        <w:tc>
          <w:tcPr>
            <w:tcW w:w="1134" w:type="dxa"/>
            <w:tcBorders>
              <w:top w:val="nil"/>
              <w:left w:val="nil"/>
              <w:bottom w:val="nil"/>
              <w:right w:val="single" w:sz="4" w:space="0" w:color="auto"/>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Sex</w:t>
            </w:r>
          </w:p>
        </w:tc>
        <w:tc>
          <w:tcPr>
            <w:tcW w:w="1552" w:type="dxa"/>
            <w:gridSpan w:val="3"/>
            <w:tcBorders>
              <w:top w:val="nil"/>
              <w:left w:val="nil"/>
              <w:bottom w:val="nil"/>
              <w:right w:val="nil"/>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p>
        </w:tc>
        <w:tc>
          <w:tcPr>
            <w:tcW w:w="1425" w:type="dxa"/>
            <w:gridSpan w:val="2"/>
            <w:tcBorders>
              <w:top w:val="nil"/>
              <w:left w:val="nil"/>
              <w:bottom w:val="nil"/>
              <w:right w:val="nil"/>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p>
        </w:tc>
        <w:tc>
          <w:tcPr>
            <w:tcW w:w="1134"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r w:rsidRPr="00FB6665">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Western Europe</w:t>
            </w:r>
          </w:p>
        </w:tc>
        <w:tc>
          <w:tcPr>
            <w:tcW w:w="1548"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27.38 (4.37)</w:t>
            </w: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Male</w:t>
            </w:r>
          </w:p>
        </w:tc>
        <w:tc>
          <w:tcPr>
            <w:tcW w:w="1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27.26 (4.41)</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single" w:sz="4" w:space="0" w:color="auto"/>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548" w:type="dxa"/>
            <w:gridSpan w:val="2"/>
            <w:tcBorders>
              <w:top w:val="single" w:sz="4" w:space="0" w:color="auto"/>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CB12B7">
        <w:trPr>
          <w:trHeight w:val="300"/>
        </w:trPr>
        <w:tc>
          <w:tcPr>
            <w:tcW w:w="1008" w:type="dxa"/>
            <w:tcBorders>
              <w:top w:val="nil"/>
              <w:left w:val="single" w:sz="4" w:space="0" w:color="auto"/>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single" w:sz="4" w:space="0" w:color="auto"/>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Female</w:t>
            </w:r>
          </w:p>
        </w:tc>
        <w:tc>
          <w:tcPr>
            <w:tcW w:w="1425" w:type="dxa"/>
            <w:gridSpan w:val="2"/>
            <w:tcBorders>
              <w:top w:val="nil"/>
              <w:left w:val="nil"/>
              <w:bottom w:val="single" w:sz="4" w:space="0" w:color="auto"/>
              <w:right w:val="single" w:sz="4" w:space="0" w:color="auto"/>
            </w:tcBorders>
            <w:shd w:val="clear" w:color="auto" w:fill="auto"/>
            <w:noWrap/>
            <w:vAlign w:val="center"/>
            <w:hideMark/>
          </w:tcPr>
          <w:p w:rsidR="00A917FF" w:rsidRPr="00FB6665" w:rsidRDefault="00A917FF" w:rsidP="00CB12B7">
            <w:pPr>
              <w:spacing w:after="0" w:line="240" w:lineRule="auto"/>
              <w:jc w:val="center"/>
              <w:rPr>
                <w:rFonts w:ascii="Calibri" w:eastAsia="Times New Roman" w:hAnsi="Calibri" w:cs="Times New Roman"/>
                <w:color w:val="000000"/>
              </w:rPr>
            </w:pPr>
            <w:r w:rsidRPr="00FB6665">
              <w:rPr>
                <w:rFonts w:ascii="Calibri" w:eastAsia="Times New Roman" w:hAnsi="Calibri" w:cs="Times New Roman"/>
                <w:color w:val="000000"/>
              </w:rPr>
              <w:t>27.48 (5.26)</w:t>
            </w:r>
          </w:p>
        </w:tc>
        <w:tc>
          <w:tcPr>
            <w:tcW w:w="1134" w:type="dxa"/>
            <w:gridSpan w:val="2"/>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nil"/>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top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548" w:type="dxa"/>
            <w:gridSpan w:val="2"/>
            <w:tcBorders>
              <w:top w:val="nil"/>
            </w:tcBorders>
            <w:shd w:val="clear" w:color="auto" w:fill="auto"/>
            <w:noWrap/>
            <w:vAlign w:val="center"/>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nil"/>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r w:rsidR="00A917FF" w:rsidRPr="00FB6665" w:rsidTr="00081DC9">
        <w:trPr>
          <w:trHeight w:val="300"/>
        </w:trPr>
        <w:tc>
          <w:tcPr>
            <w:tcW w:w="1008" w:type="dxa"/>
            <w:tcBorders>
              <w:top w:val="nil"/>
              <w:left w:val="single" w:sz="4" w:space="0" w:color="auto"/>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52" w:type="dxa"/>
            <w:gridSpan w:val="3"/>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425"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84" w:type="dxa"/>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gridSpan w:val="2"/>
            <w:tcBorders>
              <w:top w:val="nil"/>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2421" w:type="dxa"/>
            <w:gridSpan w:val="2"/>
            <w:tcBorders>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548" w:type="dxa"/>
            <w:gridSpan w:val="2"/>
            <w:tcBorders>
              <w:left w:val="nil"/>
              <w:bottom w:val="single" w:sz="4" w:space="0" w:color="auto"/>
              <w:right w:val="nil"/>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A917FF" w:rsidRPr="00FB6665"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p>
    <w:p w:rsidR="00A917FF" w:rsidRDefault="00A917FF" w:rsidP="0052196B">
      <w:pPr>
        <w:jc w:val="both"/>
      </w:pPr>
      <w:r>
        <w:br w:type="page"/>
      </w:r>
      <w:r>
        <w:lastRenderedPageBreak/>
        <w:tab/>
      </w:r>
    </w:p>
    <w:p w:rsidR="00A917FF" w:rsidRPr="001D19F4" w:rsidRDefault="00A917FF" w:rsidP="0052196B">
      <w:pPr>
        <w:jc w:val="both"/>
      </w:pPr>
      <w:r>
        <w:t>Table S2 cont.:</w:t>
      </w:r>
    </w:p>
    <w:tbl>
      <w:tblPr>
        <w:tblW w:w="11927" w:type="dxa"/>
        <w:tblInd w:w="93" w:type="dxa"/>
        <w:tblLook w:val="04A0" w:firstRow="1" w:lastRow="0" w:firstColumn="1" w:lastColumn="0" w:noHBand="0" w:noVBand="1"/>
      </w:tblPr>
      <w:tblGrid>
        <w:gridCol w:w="582"/>
        <w:gridCol w:w="1560"/>
        <w:gridCol w:w="1275"/>
        <w:gridCol w:w="1418"/>
        <w:gridCol w:w="1134"/>
        <w:gridCol w:w="1162"/>
        <w:gridCol w:w="1280"/>
        <w:gridCol w:w="822"/>
        <w:gridCol w:w="1418"/>
        <w:gridCol w:w="1276"/>
      </w:tblGrid>
      <w:tr w:rsidR="00A917FF" w:rsidRPr="00825BA3" w:rsidTr="00081DC9">
        <w:trPr>
          <w:trHeight w:val="300"/>
        </w:trPr>
        <w:tc>
          <w:tcPr>
            <w:tcW w:w="2142" w:type="dxa"/>
            <w:gridSpan w:val="2"/>
            <w:tcBorders>
              <w:top w:val="single" w:sz="4" w:space="0" w:color="auto"/>
              <w:left w:val="single" w:sz="4" w:space="0" w:color="auto"/>
              <w:bottom w:val="single" w:sz="4" w:space="0" w:color="auto"/>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Past history</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mean,SD</w:t>
            </w:r>
            <w:proofErr w:type="spellEnd"/>
            <w:r>
              <w:rPr>
                <w:rFonts w:ascii="Calibri" w:eastAsia="Times New Roman" w:hAnsi="Calibri" w:cs="Times New Roman"/>
                <w:color w:val="000000"/>
              </w:rPr>
              <w:t>)</w:t>
            </w:r>
          </w:p>
        </w:tc>
        <w:tc>
          <w:tcPr>
            <w:tcW w:w="1275"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418"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134"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162"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280"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822"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418" w:type="dxa"/>
            <w:tcBorders>
              <w:top w:val="single" w:sz="4" w:space="0" w:color="auto"/>
              <w:left w:val="nil"/>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276" w:type="dxa"/>
            <w:tcBorders>
              <w:top w:val="single" w:sz="4" w:space="0" w:color="auto"/>
              <w:left w:val="nil"/>
              <w:bottom w:val="nil"/>
              <w:right w:val="single" w:sz="4" w:space="0" w:color="auto"/>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r>
      <w:tr w:rsidR="00A917FF" w:rsidRPr="00825BA3" w:rsidTr="00081DC9">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Hypertension</w:t>
            </w: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PCI</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26.46 (4.34)</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27.24 (4.65)</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27.89 (4.81)</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27.95 (4.88)</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Diabetes</w:t>
            </w: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CABG</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26.98 (4.48)</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27.29 (4.69)</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28.46(5.14)</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27.80 (4.52)</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High Cholesterol</w:t>
            </w: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Heart failure</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p = 0.005</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26.93 (4.57)</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27.31 (4.66)</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27.98(4.79)</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27.56 (5.09)</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Smoking status</w:t>
            </w: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Stroke</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Current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27.87 (4.61)</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27.34 (4.68)</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Former</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26.96 (4.71)</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27.04 (4.74)</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Never</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27.24 (4.67)</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PAD</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Myocardial infarction</w:t>
            </w: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xml:space="preserve">p &lt; </w:t>
            </w:r>
            <w:r>
              <w:rPr>
                <w:rFonts w:ascii="Calibri" w:eastAsia="Times New Roman" w:hAnsi="Calibri" w:cs="Times New Roman"/>
                <w:color w:val="000000"/>
              </w:rPr>
              <w:t>0.001</w:t>
            </w: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27.34 (4.68)</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27.28 (4.69)</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27.02 (4.62)</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27.48 (4.63)</w:t>
            </w: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Cancer</w:t>
            </w:r>
          </w:p>
        </w:tc>
        <w:tc>
          <w:tcPr>
            <w:tcW w:w="82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p = 0.54</w:t>
            </w: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27.32 (4.68)</w:t>
            </w:r>
          </w:p>
        </w:tc>
        <w:tc>
          <w:tcPr>
            <w:tcW w:w="1276" w:type="dxa"/>
            <w:tcBorders>
              <w:top w:val="nil"/>
              <w:left w:val="nil"/>
              <w:bottom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CB12B7">
        <w:trPr>
          <w:trHeight w:val="300"/>
        </w:trPr>
        <w:tc>
          <w:tcPr>
            <w:tcW w:w="582" w:type="dxa"/>
            <w:tcBorders>
              <w:top w:val="nil"/>
              <w:left w:val="single" w:sz="4" w:space="0" w:color="auto"/>
              <w:bottom w:val="nil"/>
              <w:right w:val="nil"/>
            </w:tcBorders>
            <w:shd w:val="clear" w:color="auto" w:fill="auto"/>
            <w:noWrap/>
            <w:vAlign w:val="bottom"/>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 </w:t>
            </w:r>
          </w:p>
        </w:tc>
        <w:tc>
          <w:tcPr>
            <w:tcW w:w="1560"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right w:val="nil"/>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r w:rsidRPr="00825BA3">
              <w:rPr>
                <w:rFonts w:ascii="Calibri" w:eastAsia="Times New Roman" w:hAnsi="Calibri" w:cs="Times New Roman"/>
                <w:color w:val="000000"/>
              </w:rPr>
              <w:t>Yes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917FF" w:rsidRPr="00825BA3" w:rsidRDefault="00A917FF" w:rsidP="00CB12B7">
            <w:pPr>
              <w:spacing w:after="0" w:line="240" w:lineRule="auto"/>
              <w:jc w:val="center"/>
              <w:rPr>
                <w:rFonts w:ascii="Calibri" w:eastAsia="Times New Roman" w:hAnsi="Calibri" w:cs="Times New Roman"/>
                <w:color w:val="000000"/>
              </w:rPr>
            </w:pPr>
            <w:r w:rsidRPr="00825BA3">
              <w:rPr>
                <w:rFonts w:ascii="Calibri" w:eastAsia="Times New Roman" w:hAnsi="Calibri" w:cs="Times New Roman"/>
                <w:color w:val="000000"/>
              </w:rPr>
              <w:t>27.37 (4.73)</w:t>
            </w:r>
          </w:p>
        </w:tc>
        <w:tc>
          <w:tcPr>
            <w:tcW w:w="1276" w:type="dxa"/>
            <w:tcBorders>
              <w:top w:val="nil"/>
              <w:left w:val="nil"/>
              <w:right w:val="single" w:sz="4" w:space="0" w:color="auto"/>
            </w:tcBorders>
            <w:shd w:val="clear" w:color="auto" w:fill="auto"/>
            <w:noWrap/>
            <w:vAlign w:val="center"/>
            <w:hideMark/>
          </w:tcPr>
          <w:p w:rsidR="00A917FF" w:rsidRPr="00825BA3" w:rsidRDefault="00A917FF" w:rsidP="0052196B">
            <w:pPr>
              <w:spacing w:after="0" w:line="240" w:lineRule="auto"/>
              <w:jc w:val="both"/>
              <w:rPr>
                <w:rFonts w:ascii="Calibri" w:eastAsia="Times New Roman" w:hAnsi="Calibri" w:cs="Times New Roman"/>
                <w:color w:val="000000"/>
              </w:rPr>
            </w:pPr>
          </w:p>
        </w:tc>
      </w:tr>
      <w:tr w:rsidR="00A917FF" w:rsidRPr="00825BA3" w:rsidTr="00081DC9">
        <w:trPr>
          <w:trHeight w:val="300"/>
        </w:trPr>
        <w:tc>
          <w:tcPr>
            <w:tcW w:w="582" w:type="dxa"/>
            <w:tcBorders>
              <w:top w:val="nil"/>
              <w:left w:val="single" w:sz="4" w:space="0" w:color="auto"/>
              <w:bottom w:val="single" w:sz="4" w:space="0" w:color="auto"/>
              <w:right w:val="nil"/>
            </w:tcBorders>
            <w:shd w:val="clear" w:color="auto" w:fill="auto"/>
            <w:noWrap/>
            <w:vAlign w:val="bottom"/>
          </w:tcPr>
          <w:p w:rsidR="00A917FF" w:rsidRPr="00825BA3" w:rsidRDefault="00A917FF" w:rsidP="0052196B">
            <w:pPr>
              <w:spacing w:after="0" w:line="240" w:lineRule="auto"/>
              <w:jc w:val="both"/>
              <w:rPr>
                <w:rFonts w:ascii="Calibri" w:eastAsia="Times New Roman" w:hAnsi="Calibri" w:cs="Times New Roman"/>
                <w:color w:val="000000"/>
              </w:rPr>
            </w:pPr>
          </w:p>
        </w:tc>
        <w:tc>
          <w:tcPr>
            <w:tcW w:w="1560" w:type="dxa"/>
            <w:tcBorders>
              <w:top w:val="nil"/>
              <w:left w:val="nil"/>
              <w:bottom w:val="single" w:sz="4" w:space="0" w:color="auto"/>
              <w:right w:val="nil"/>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275" w:type="dxa"/>
            <w:tcBorders>
              <w:top w:val="nil"/>
              <w:left w:val="nil"/>
              <w:bottom w:val="single" w:sz="4" w:space="0" w:color="auto"/>
              <w:right w:val="nil"/>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nil"/>
              <w:left w:val="nil"/>
              <w:bottom w:val="single" w:sz="4" w:space="0" w:color="auto"/>
              <w:right w:val="nil"/>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134" w:type="dxa"/>
            <w:tcBorders>
              <w:top w:val="nil"/>
              <w:left w:val="nil"/>
              <w:bottom w:val="single" w:sz="4" w:space="0" w:color="auto"/>
              <w:right w:val="nil"/>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162" w:type="dxa"/>
            <w:tcBorders>
              <w:top w:val="nil"/>
              <w:left w:val="nil"/>
              <w:bottom w:val="single" w:sz="4" w:space="0" w:color="auto"/>
              <w:right w:val="nil"/>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280" w:type="dxa"/>
            <w:tcBorders>
              <w:top w:val="nil"/>
              <w:left w:val="nil"/>
              <w:bottom w:val="single" w:sz="4" w:space="0" w:color="auto"/>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822" w:type="dxa"/>
            <w:tcBorders>
              <w:top w:val="single" w:sz="4" w:space="0" w:color="auto"/>
              <w:bottom w:val="single" w:sz="4" w:space="0" w:color="auto"/>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418" w:type="dxa"/>
            <w:tcBorders>
              <w:top w:val="single" w:sz="4" w:space="0" w:color="auto"/>
              <w:bottom w:val="single" w:sz="4" w:space="0" w:color="auto"/>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c>
          <w:tcPr>
            <w:tcW w:w="1276" w:type="dxa"/>
            <w:tcBorders>
              <w:top w:val="nil"/>
              <w:bottom w:val="single" w:sz="4" w:space="0" w:color="auto"/>
              <w:right w:val="single" w:sz="4" w:space="0" w:color="auto"/>
            </w:tcBorders>
            <w:shd w:val="clear" w:color="auto" w:fill="auto"/>
            <w:noWrap/>
            <w:vAlign w:val="center"/>
          </w:tcPr>
          <w:p w:rsidR="00A917FF" w:rsidRPr="00825BA3"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t>Notes: BMI mean and standard deviation across different baseline characteristics. SD: standard deviation, PCI: percutaneous coronary intervention, CABG: coronary bypass surgery.</w:t>
      </w:r>
    </w:p>
    <w:p w:rsidR="00A917FF" w:rsidRDefault="00A917FF" w:rsidP="0052196B">
      <w:pPr>
        <w:jc w:val="both"/>
      </w:pPr>
      <w:r>
        <w:br w:type="page"/>
      </w:r>
    </w:p>
    <w:p w:rsidR="00A917FF" w:rsidRDefault="00A917FF" w:rsidP="0052196B">
      <w:pPr>
        <w:jc w:val="both"/>
      </w:pPr>
      <w:r>
        <w:rPr>
          <w:rFonts w:ascii="Calibri" w:eastAsia="Times New Roman" w:hAnsi="Calibri" w:cs="Times New Roman"/>
          <w:noProof/>
          <w:color w:val="000000"/>
        </w:rPr>
        <w:lastRenderedPageBreak/>
        <w:drawing>
          <wp:anchor distT="0" distB="0" distL="114300" distR="114300" simplePos="0" relativeHeight="251659264" behindDoc="0" locked="0" layoutInCell="1" allowOverlap="1" wp14:anchorId="08E5509D" wp14:editId="60524EDB">
            <wp:simplePos x="0" y="0"/>
            <wp:positionH relativeFrom="column">
              <wp:posOffset>5454015</wp:posOffset>
            </wp:positionH>
            <wp:positionV relativeFrom="paragraph">
              <wp:posOffset>509743</wp:posOffset>
            </wp:positionV>
            <wp:extent cx="2286000" cy="4051004"/>
            <wp:effectExtent l="0" t="0" r="0" b="6985"/>
            <wp:wrapNone/>
            <wp:docPr id="27" name="Imagen 27"/>
            <wp:cNvGraphicFramePr/>
            <a:graphic xmlns:a="http://schemas.openxmlformats.org/drawingml/2006/main">
              <a:graphicData uri="http://schemas.openxmlformats.org/drawingml/2006/picture">
                <pic:pic xmlns:pic="http://schemas.openxmlformats.org/drawingml/2006/picture">
                  <pic:nvPicPr>
                    <pic:cNvPr id="2" name="Object 3"/>
                    <pic:cNvPicPr>
                      <a:picLocks noChangeAspect="1"/>
                    </pic:cNvPicPr>
                  </pic:nvPicPr>
                  <pic:blipFill rotWithShape="1">
                    <a:blip r:embed="rId41"/>
                    <a:srcRect l="6800" r="7199"/>
                    <a:stretch/>
                  </pic:blipFill>
                  <pic:spPr bwMode="auto">
                    <a:xfrm>
                      <a:off x="0" y="0"/>
                      <a:ext cx="2286000" cy="4051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Table S3:</w:t>
      </w:r>
    </w:p>
    <w:tbl>
      <w:tblPr>
        <w:tblW w:w="8473" w:type="dxa"/>
        <w:tblInd w:w="108" w:type="dxa"/>
        <w:tblLook w:val="04A0" w:firstRow="1" w:lastRow="0" w:firstColumn="1" w:lastColumn="0" w:noHBand="0" w:noVBand="1"/>
      </w:tblPr>
      <w:tblGrid>
        <w:gridCol w:w="1955"/>
        <w:gridCol w:w="1208"/>
        <w:gridCol w:w="1988"/>
        <w:gridCol w:w="1846"/>
        <w:gridCol w:w="1476"/>
      </w:tblGrid>
      <w:tr w:rsidR="00A917FF" w:rsidRPr="00CE7E1F" w:rsidTr="00CB12B7">
        <w:trPr>
          <w:trHeight w:val="300"/>
        </w:trPr>
        <w:tc>
          <w:tcPr>
            <w:tcW w:w="1955" w:type="dxa"/>
            <w:tcBorders>
              <w:top w:val="nil"/>
              <w:left w:val="nil"/>
              <w:bottom w:val="nil"/>
              <w:right w:val="nil"/>
            </w:tcBorders>
            <w:shd w:val="clear" w:color="auto" w:fill="auto"/>
            <w:noWrap/>
            <w:vAlign w:val="bottom"/>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category</w:t>
            </w: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w:t>
            </w: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roofErr w:type="gramStart"/>
            <w:r w:rsidRPr="00CE7E1F">
              <w:rPr>
                <w:rFonts w:ascii="Calibri" w:eastAsia="Times New Roman" w:hAnsi="Calibri" w:cs="Times New Roman"/>
                <w:color w:val="000000"/>
              </w:rPr>
              <w:t>n/N</w:t>
            </w:r>
            <w:proofErr w:type="gramEnd"/>
            <w:r w:rsidRPr="00CE7E1F">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Interaction p</w:t>
            </w: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&lt; 18.5</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60</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12/277 (4.33)</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1.49 (0.83 - 2.66)</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0.92</w:t>
            </w: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60</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92/680 (13.53)</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1.44 (1.17 - 1.79)</w:t>
            </w:r>
          </w:p>
        </w:tc>
        <w:tc>
          <w:tcPr>
            <w:tcW w:w="1476" w:type="dxa"/>
            <w:vMerge/>
            <w:tcBorders>
              <w:top w:val="single" w:sz="4" w:space="0" w:color="auto"/>
              <w:left w:val="nil"/>
              <w:bottom w:val="single" w:sz="4" w:space="0" w:color="000000"/>
              <w:right w:val="nil"/>
            </w:tcBorders>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tcBorders>
              <w:top w:val="nil"/>
              <w:left w:val="nil"/>
              <w:bottom w:val="nil"/>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&gt;= 18.5 - 24.9</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61</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235/9355 (2.51)</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61</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1387/16034 (8.65)</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tcBorders>
              <w:top w:val="nil"/>
              <w:left w:val="nil"/>
              <w:bottom w:val="nil"/>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25 - 29.9</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62</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230/13915 (1.65)</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0.68 (0.57 - 0.82)</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0.19</w:t>
            </w: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62</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1404/21651 (6.48)</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0.78 (0.72 - 0.84)</w:t>
            </w:r>
          </w:p>
        </w:tc>
        <w:tc>
          <w:tcPr>
            <w:tcW w:w="1476" w:type="dxa"/>
            <w:vMerge/>
            <w:tcBorders>
              <w:top w:val="single" w:sz="4" w:space="0" w:color="auto"/>
              <w:left w:val="nil"/>
              <w:bottom w:val="single" w:sz="4" w:space="0" w:color="000000"/>
              <w:right w:val="nil"/>
            </w:tcBorders>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tcBorders>
              <w:top w:val="nil"/>
              <w:left w:val="nil"/>
              <w:bottom w:val="nil"/>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30 - 34.9</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63</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113/6550 (1.73)</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0.68 (0.54 - 0.86)</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0.69</w:t>
            </w: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63</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492/8136 (6.05)</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0.72 (0.65 - 0.80)</w:t>
            </w:r>
          </w:p>
        </w:tc>
        <w:tc>
          <w:tcPr>
            <w:tcW w:w="1476" w:type="dxa"/>
            <w:vMerge/>
            <w:tcBorders>
              <w:top w:val="single" w:sz="4" w:space="0" w:color="auto"/>
              <w:left w:val="nil"/>
              <w:bottom w:val="single" w:sz="4" w:space="0" w:color="000000"/>
              <w:right w:val="nil"/>
            </w:tcBorders>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tcBorders>
              <w:top w:val="nil"/>
              <w:left w:val="nil"/>
              <w:bottom w:val="nil"/>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35 - 39.4</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64</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33/1797 (1.84)</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0.82 (0.57 - 1.18)</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0.53</w:t>
            </w: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64</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108/1810 (5.97)</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0.72 (0.59 - 0.87)</w:t>
            </w:r>
          </w:p>
        </w:tc>
        <w:tc>
          <w:tcPr>
            <w:tcW w:w="1476" w:type="dxa"/>
            <w:vMerge/>
            <w:tcBorders>
              <w:top w:val="single" w:sz="4" w:space="0" w:color="auto"/>
              <w:left w:val="nil"/>
              <w:bottom w:val="single" w:sz="4" w:space="0" w:color="000000"/>
              <w:right w:val="nil"/>
            </w:tcBorders>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tcBorders>
              <w:top w:val="nil"/>
              <w:left w:val="nil"/>
              <w:bottom w:val="nil"/>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r w:rsidR="00A917FF" w:rsidRPr="00CE7E1F"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r w:rsidRPr="00CE7E1F">
              <w:rPr>
                <w:rFonts w:ascii="Calibri" w:eastAsia="Times New Roman" w:hAnsi="Calibri" w:cs="Times New Roman"/>
                <w:color w:val="000000"/>
              </w:rPr>
              <w:t>BMI &gt;= 40</w:t>
            </w:r>
          </w:p>
        </w:tc>
        <w:tc>
          <w:tcPr>
            <w:tcW w:w="120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&lt;= 65</w:t>
            </w:r>
          </w:p>
        </w:tc>
        <w:tc>
          <w:tcPr>
            <w:tcW w:w="1988"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19/715 (2.66)</w:t>
            </w:r>
          </w:p>
        </w:tc>
        <w:tc>
          <w:tcPr>
            <w:tcW w:w="1846" w:type="dxa"/>
            <w:tcBorders>
              <w:top w:val="single" w:sz="4" w:space="0" w:color="auto"/>
              <w:left w:val="nil"/>
              <w:bottom w:val="nil"/>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1.15 (0.72 - 1.84)</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0.1</w:t>
            </w:r>
          </w:p>
        </w:tc>
      </w:tr>
      <w:tr w:rsidR="00A917FF" w:rsidRPr="00CE7E1F"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CE7E1F" w:rsidRDefault="00A917FF" w:rsidP="0052196B">
            <w:pPr>
              <w:spacing w:after="0" w:line="240" w:lineRule="auto"/>
              <w:jc w:val="both"/>
              <w:rPr>
                <w:rFonts w:ascii="Calibri" w:eastAsia="Times New Roman" w:hAnsi="Calibri" w:cs="Times New Roman"/>
                <w:color w:val="000000"/>
              </w:rPr>
            </w:pPr>
          </w:p>
        </w:tc>
        <w:tc>
          <w:tcPr>
            <w:tcW w:w="120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Age &gt; 65</w:t>
            </w:r>
          </w:p>
        </w:tc>
        <w:tc>
          <w:tcPr>
            <w:tcW w:w="1988"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30/515 (5.83)</w:t>
            </w:r>
          </w:p>
        </w:tc>
        <w:tc>
          <w:tcPr>
            <w:tcW w:w="1846" w:type="dxa"/>
            <w:tcBorders>
              <w:top w:val="nil"/>
              <w:left w:val="nil"/>
              <w:bottom w:val="single" w:sz="4" w:space="0" w:color="auto"/>
              <w:right w:val="nil"/>
            </w:tcBorders>
            <w:shd w:val="clear" w:color="auto" w:fill="auto"/>
            <w:noWrap/>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r w:rsidRPr="00CE7E1F">
              <w:rPr>
                <w:rFonts w:ascii="Calibri" w:eastAsia="Times New Roman" w:hAnsi="Calibri" w:cs="Times New Roman"/>
                <w:color w:val="000000"/>
              </w:rPr>
              <w:t>0.71 (0.49 - 1.02)</w:t>
            </w:r>
          </w:p>
        </w:tc>
        <w:tc>
          <w:tcPr>
            <w:tcW w:w="1476" w:type="dxa"/>
            <w:vMerge/>
            <w:tcBorders>
              <w:top w:val="single" w:sz="4" w:space="0" w:color="auto"/>
              <w:left w:val="nil"/>
              <w:bottom w:val="single" w:sz="4" w:space="0" w:color="000000"/>
              <w:right w:val="nil"/>
            </w:tcBorders>
            <w:vAlign w:val="center"/>
            <w:hideMark/>
          </w:tcPr>
          <w:p w:rsidR="00A917FF" w:rsidRPr="00CE7E1F" w:rsidRDefault="00A917FF" w:rsidP="00CB12B7">
            <w:pPr>
              <w:spacing w:after="0" w:line="240" w:lineRule="auto"/>
              <w:jc w:val="center"/>
              <w:rPr>
                <w:rFonts w:ascii="Calibri" w:eastAsia="Times New Roman" w:hAnsi="Calibri" w:cs="Times New Roman"/>
                <w:color w:val="000000"/>
              </w:rPr>
            </w:pPr>
          </w:p>
        </w:tc>
      </w:tr>
    </w:tbl>
    <w:p w:rsidR="00A917FF" w:rsidRDefault="00A917FF" w:rsidP="0052196B">
      <w:pPr>
        <w:jc w:val="both"/>
      </w:pPr>
    </w:p>
    <w:p w:rsidR="00A917FF" w:rsidRDefault="00A917FF" w:rsidP="0052196B">
      <w:pPr>
        <w:jc w:val="both"/>
      </w:pPr>
      <w:r>
        <w:t xml:space="preserve">Overall interaction p value = </w:t>
      </w:r>
      <w:r w:rsidRPr="004B4CB4">
        <w:t>0.31</w:t>
      </w:r>
      <w:r>
        <w:br w:type="page"/>
      </w:r>
    </w:p>
    <w:tbl>
      <w:tblPr>
        <w:tblW w:w="8441" w:type="dxa"/>
        <w:tblInd w:w="108" w:type="dxa"/>
        <w:tblLook w:val="04A0" w:firstRow="1" w:lastRow="0" w:firstColumn="1" w:lastColumn="0" w:noHBand="0" w:noVBand="1"/>
      </w:tblPr>
      <w:tblGrid>
        <w:gridCol w:w="1955"/>
        <w:gridCol w:w="1064"/>
        <w:gridCol w:w="1988"/>
        <w:gridCol w:w="1958"/>
        <w:gridCol w:w="1476"/>
      </w:tblGrid>
      <w:tr w:rsidR="00A917FF" w:rsidRPr="006A3E62"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category</w:t>
            </w: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Sex</w:t>
            </w: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roofErr w:type="gramStart"/>
            <w:r w:rsidRPr="006A3E62">
              <w:rPr>
                <w:rFonts w:ascii="Calibri" w:eastAsia="Times New Roman" w:hAnsi="Calibri" w:cs="Times New Roman"/>
                <w:color w:val="000000"/>
              </w:rPr>
              <w:t>n/N</w:t>
            </w:r>
            <w:proofErr w:type="gramEnd"/>
            <w:r w:rsidRPr="006A3E62">
              <w:rPr>
                <w:rFonts w:ascii="Calibri" w:eastAsia="Times New Roman" w:hAnsi="Calibri" w:cs="Times New Roman"/>
                <w:color w:val="000000"/>
              </w:rPr>
              <w:t xml:space="preserve"> (%)</w:t>
            </w: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Interaction p</w:t>
            </w: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&lt; 18.5</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52/475 (10.95)</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1.60 (1.21 - 2.11)</w:t>
            </w:r>
          </w:p>
        </w:tc>
        <w:tc>
          <w:tcPr>
            <w:tcW w:w="1476" w:type="dxa"/>
            <w:vMerge w:val="restart"/>
            <w:tcBorders>
              <w:top w:val="single" w:sz="4" w:space="0" w:color="auto"/>
              <w:left w:val="nil"/>
              <w:bottom w:val="single" w:sz="4" w:space="0" w:color="000000"/>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0.12</w:t>
            </w: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52/482 (10.79)</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1.17 (0.88 - 1.55)</w:t>
            </w:r>
          </w:p>
        </w:tc>
        <w:tc>
          <w:tcPr>
            <w:tcW w:w="1476" w:type="dxa"/>
            <w:vMerge/>
            <w:tcBorders>
              <w:top w:val="single" w:sz="4" w:space="0" w:color="auto"/>
              <w:left w:val="nil"/>
              <w:bottom w:val="single" w:sz="4" w:space="0" w:color="000000"/>
              <w:right w:val="nil"/>
            </w:tcBorders>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tcBorders>
              <w:top w:val="nil"/>
              <w:left w:val="nil"/>
              <w:bottom w:val="nil"/>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&gt;= 18.5 - 24.9</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1015/17545 (5.79)</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607/7844 (7.74)</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tcBorders>
              <w:top w:val="nil"/>
              <w:left w:val="nil"/>
              <w:bottom w:val="nil"/>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25 - 29.9</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1013/26153 (3.87)</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0.76 (0.70 - 0.84)</w:t>
            </w:r>
          </w:p>
        </w:tc>
        <w:tc>
          <w:tcPr>
            <w:tcW w:w="1476" w:type="dxa"/>
            <w:vMerge w:val="restart"/>
            <w:tcBorders>
              <w:top w:val="single" w:sz="4" w:space="0" w:color="auto"/>
              <w:left w:val="nil"/>
              <w:bottom w:val="single" w:sz="4" w:space="0" w:color="000000"/>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0.02</w:t>
            </w: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621/9413 (6.60)</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0.90 (0.81 - 1.01)</w:t>
            </w:r>
          </w:p>
        </w:tc>
        <w:tc>
          <w:tcPr>
            <w:tcW w:w="1476" w:type="dxa"/>
            <w:vMerge/>
            <w:tcBorders>
              <w:top w:val="single" w:sz="4" w:space="0" w:color="auto"/>
              <w:left w:val="nil"/>
              <w:bottom w:val="single" w:sz="4" w:space="0" w:color="000000"/>
              <w:right w:val="nil"/>
            </w:tcBorders>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tcBorders>
              <w:top w:val="nil"/>
              <w:left w:val="nil"/>
              <w:bottom w:val="nil"/>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30 - 34.9</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342/9981 (3.43)</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0.80</w:t>
            </w:r>
            <w:r w:rsidRPr="006A3E62">
              <w:rPr>
                <w:rFonts w:ascii="Calibri" w:eastAsia="Times New Roman" w:hAnsi="Calibri" w:cs="Times New Roman"/>
                <w:color w:val="000000"/>
              </w:rPr>
              <w:t xml:space="preserve"> (0.71 - 0.91)</w:t>
            </w:r>
          </w:p>
        </w:tc>
        <w:tc>
          <w:tcPr>
            <w:tcW w:w="1476" w:type="dxa"/>
            <w:vMerge w:val="restart"/>
            <w:tcBorders>
              <w:top w:val="single" w:sz="4" w:space="0" w:color="auto"/>
              <w:left w:val="nil"/>
              <w:bottom w:val="single" w:sz="4" w:space="0" w:color="000000"/>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0.97</w:t>
            </w: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263/4705 (5.59)</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0.80 (0.69 - 0.93)</w:t>
            </w:r>
          </w:p>
        </w:tc>
        <w:tc>
          <w:tcPr>
            <w:tcW w:w="1476" w:type="dxa"/>
            <w:vMerge/>
            <w:tcBorders>
              <w:top w:val="single" w:sz="4" w:space="0" w:color="auto"/>
              <w:left w:val="nil"/>
              <w:bottom w:val="single" w:sz="4" w:space="0" w:color="000000"/>
              <w:right w:val="nil"/>
            </w:tcBorders>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tcBorders>
              <w:top w:val="nil"/>
              <w:left w:val="nil"/>
              <w:bottom w:val="nil"/>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35 - 39.4</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62/2190 (2.83)</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0.78 (0.60 - 1.01)</w:t>
            </w:r>
          </w:p>
        </w:tc>
        <w:tc>
          <w:tcPr>
            <w:tcW w:w="1476" w:type="dxa"/>
            <w:vMerge w:val="restart"/>
            <w:tcBorders>
              <w:top w:val="single" w:sz="4" w:space="0" w:color="auto"/>
              <w:left w:val="nil"/>
              <w:bottom w:val="single" w:sz="4" w:space="0" w:color="000000"/>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0.15</w:t>
            </w: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79/1417 (5.58)</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1.00 (0.79 - 1.27)</w:t>
            </w:r>
          </w:p>
        </w:tc>
        <w:tc>
          <w:tcPr>
            <w:tcW w:w="1476" w:type="dxa"/>
            <w:vMerge/>
            <w:tcBorders>
              <w:top w:val="single" w:sz="4" w:space="0" w:color="auto"/>
              <w:left w:val="nil"/>
              <w:bottom w:val="single" w:sz="4" w:space="0" w:color="000000"/>
              <w:right w:val="nil"/>
            </w:tcBorders>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tcBorders>
              <w:top w:val="nil"/>
              <w:left w:val="nil"/>
              <w:bottom w:val="nil"/>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958"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p>
        </w:tc>
      </w:tr>
      <w:tr w:rsidR="00A917FF" w:rsidRPr="006A3E62"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r w:rsidRPr="006A3E62">
              <w:rPr>
                <w:rFonts w:ascii="Calibri" w:eastAsia="Times New Roman" w:hAnsi="Calibri" w:cs="Times New Roman"/>
                <w:color w:val="000000"/>
              </w:rPr>
              <w:t>BMI &gt;= 40</w:t>
            </w:r>
          </w:p>
        </w:tc>
        <w:tc>
          <w:tcPr>
            <w:tcW w:w="1064"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Males</w:t>
            </w:r>
          </w:p>
        </w:tc>
        <w:tc>
          <w:tcPr>
            <w:tcW w:w="198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15/685 (2.19)</w:t>
            </w:r>
          </w:p>
        </w:tc>
        <w:tc>
          <w:tcPr>
            <w:tcW w:w="1958" w:type="dxa"/>
            <w:tcBorders>
              <w:top w:val="single" w:sz="4" w:space="0" w:color="auto"/>
              <w:left w:val="nil"/>
              <w:bottom w:val="nil"/>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0.73 (0.44 - 1.22)</w:t>
            </w:r>
          </w:p>
        </w:tc>
        <w:tc>
          <w:tcPr>
            <w:tcW w:w="1476" w:type="dxa"/>
            <w:vMerge w:val="restart"/>
            <w:tcBorders>
              <w:top w:val="single" w:sz="4" w:space="0" w:color="auto"/>
              <w:left w:val="nil"/>
              <w:bottom w:val="single" w:sz="4" w:space="0" w:color="000000"/>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0.06</w:t>
            </w:r>
          </w:p>
        </w:tc>
      </w:tr>
      <w:tr w:rsidR="00A917FF" w:rsidRPr="006A3E62"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c>
          <w:tcPr>
            <w:tcW w:w="1064"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Females</w:t>
            </w:r>
          </w:p>
        </w:tc>
        <w:tc>
          <w:tcPr>
            <w:tcW w:w="198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34/545 (6.24)</w:t>
            </w:r>
          </w:p>
        </w:tc>
        <w:tc>
          <w:tcPr>
            <w:tcW w:w="1958" w:type="dxa"/>
            <w:tcBorders>
              <w:top w:val="nil"/>
              <w:left w:val="nil"/>
              <w:bottom w:val="single" w:sz="4" w:space="0" w:color="auto"/>
              <w:right w:val="nil"/>
            </w:tcBorders>
            <w:shd w:val="clear" w:color="auto" w:fill="auto"/>
            <w:noWrap/>
            <w:hideMark/>
          </w:tcPr>
          <w:p w:rsidR="00A917FF" w:rsidRPr="006A3E62" w:rsidRDefault="00A917FF" w:rsidP="00CB12B7">
            <w:pPr>
              <w:spacing w:after="0" w:line="240" w:lineRule="auto"/>
              <w:jc w:val="center"/>
              <w:rPr>
                <w:rFonts w:ascii="Calibri" w:eastAsia="Times New Roman" w:hAnsi="Calibri" w:cs="Times New Roman"/>
                <w:color w:val="000000"/>
              </w:rPr>
            </w:pPr>
            <w:r w:rsidRPr="006A3E62">
              <w:rPr>
                <w:rFonts w:ascii="Calibri" w:eastAsia="Times New Roman" w:hAnsi="Calibri" w:cs="Times New Roman"/>
                <w:color w:val="000000"/>
              </w:rPr>
              <w:t>1.29 (0.91 - 1.83)</w:t>
            </w:r>
          </w:p>
        </w:tc>
        <w:tc>
          <w:tcPr>
            <w:tcW w:w="1476" w:type="dxa"/>
            <w:vMerge/>
            <w:tcBorders>
              <w:top w:val="single" w:sz="4" w:space="0" w:color="auto"/>
              <w:left w:val="nil"/>
              <w:bottom w:val="single" w:sz="4" w:space="0" w:color="000000"/>
              <w:right w:val="nil"/>
            </w:tcBorders>
            <w:vAlign w:val="center"/>
            <w:hideMark/>
          </w:tcPr>
          <w:p w:rsidR="00A917FF" w:rsidRPr="006A3E62"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rPr>
          <w:noProof/>
        </w:rPr>
        <w:drawing>
          <wp:anchor distT="0" distB="0" distL="114300" distR="114300" simplePos="0" relativeHeight="251660288" behindDoc="0" locked="0" layoutInCell="1" allowOverlap="1" wp14:anchorId="50A80DC3" wp14:editId="5A24C263">
            <wp:simplePos x="0" y="0"/>
            <wp:positionH relativeFrom="column">
              <wp:posOffset>5456289</wp:posOffset>
            </wp:positionH>
            <wp:positionV relativeFrom="paragraph">
              <wp:posOffset>-3285520</wp:posOffset>
            </wp:positionV>
            <wp:extent cx="2583180" cy="4064635"/>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79" r="37794"/>
                    <a:stretch/>
                  </pic:blipFill>
                  <pic:spPr bwMode="auto">
                    <a:xfrm>
                      <a:off x="0" y="0"/>
                      <a:ext cx="2583180" cy="406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0.018</w:t>
      </w:r>
    </w:p>
    <w:p w:rsidR="00A917FF" w:rsidRDefault="00A917FF" w:rsidP="0052196B">
      <w:pPr>
        <w:jc w:val="both"/>
      </w:pPr>
      <w:r>
        <w:br w:type="page"/>
      </w:r>
    </w:p>
    <w:tbl>
      <w:tblPr>
        <w:tblW w:w="8377" w:type="dxa"/>
        <w:tblInd w:w="108" w:type="dxa"/>
        <w:tblLook w:val="04A0" w:firstRow="1" w:lastRow="0" w:firstColumn="1" w:lastColumn="0" w:noHBand="0" w:noVBand="1"/>
      </w:tblPr>
      <w:tblGrid>
        <w:gridCol w:w="1955"/>
        <w:gridCol w:w="1112"/>
        <w:gridCol w:w="1988"/>
        <w:gridCol w:w="1846"/>
        <w:gridCol w:w="1476"/>
      </w:tblGrid>
      <w:tr w:rsidR="00A917FF" w:rsidRPr="000C5991"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category</w:t>
            </w: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Diabetes</w:t>
            </w: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roofErr w:type="gramStart"/>
            <w:r w:rsidRPr="000C5991">
              <w:rPr>
                <w:rFonts w:ascii="Calibri" w:eastAsia="Times New Roman" w:hAnsi="Calibri" w:cs="Times New Roman"/>
                <w:color w:val="000000"/>
              </w:rPr>
              <w:t>n/N</w:t>
            </w:r>
            <w:proofErr w:type="gramEnd"/>
            <w:r w:rsidRPr="000C5991">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Interaction p</w:t>
            </w: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&lt; 18.5</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82/828 (9.90)</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1.31 (1.05 - 1.65)</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0.31</w:t>
            </w: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22/129 (17.05)</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1.68 (1.10 - 2.59)</w:t>
            </w:r>
          </w:p>
        </w:tc>
        <w:tc>
          <w:tcPr>
            <w:tcW w:w="1476" w:type="dxa"/>
            <w:vMerge/>
            <w:tcBorders>
              <w:top w:val="single" w:sz="4" w:space="0" w:color="auto"/>
              <w:left w:val="nil"/>
              <w:bottom w:val="single" w:sz="4" w:space="0" w:color="000000"/>
              <w:right w:val="nil"/>
            </w:tcBorders>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tcBorders>
              <w:top w:val="nil"/>
              <w:left w:val="nil"/>
              <w:bottom w:val="nil"/>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&gt;= 18.5 - 24.9</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1180/20847 (5.66)</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442/4542 (9.73)</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tcBorders>
              <w:top w:val="nil"/>
              <w:left w:val="nil"/>
              <w:bottom w:val="nil"/>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25 - 29.9</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1102/27590 (3.99)</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0.81 (0.75 - 0.88)</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0.5</w:t>
            </w: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532/7976 (6.67)</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0.77 (0.68 - 0.87)</w:t>
            </w:r>
          </w:p>
        </w:tc>
        <w:tc>
          <w:tcPr>
            <w:tcW w:w="1476" w:type="dxa"/>
            <w:vMerge/>
            <w:tcBorders>
              <w:top w:val="single" w:sz="4" w:space="0" w:color="auto"/>
              <w:left w:val="nil"/>
              <w:bottom w:val="single" w:sz="4" w:space="0" w:color="000000"/>
              <w:right w:val="nil"/>
            </w:tcBorders>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tcBorders>
              <w:top w:val="nil"/>
              <w:left w:val="nil"/>
              <w:bottom w:val="nil"/>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30 - 34.9</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346/10502 (3.29)</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0.75 (0.67 - 0.85)</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0.73</w:t>
            </w: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259/4183 (6.19)</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0.78 (0.67 - 0.91)</w:t>
            </w:r>
          </w:p>
        </w:tc>
        <w:tc>
          <w:tcPr>
            <w:tcW w:w="1476" w:type="dxa"/>
            <w:vMerge/>
            <w:tcBorders>
              <w:top w:val="single" w:sz="4" w:space="0" w:color="auto"/>
              <w:left w:val="nil"/>
              <w:bottom w:val="single" w:sz="4" w:space="0" w:color="000000"/>
              <w:right w:val="nil"/>
            </w:tcBorders>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tcBorders>
              <w:top w:val="nil"/>
              <w:left w:val="nil"/>
              <w:bottom w:val="nil"/>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35 - 39.4</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69/2262 (3.05)</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0.82(0.64 - 1.05)</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0.94</w:t>
            </w: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72/1345 (5.35)</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0.83 (0.64 - 1.07)</w:t>
            </w:r>
          </w:p>
        </w:tc>
        <w:tc>
          <w:tcPr>
            <w:tcW w:w="1476" w:type="dxa"/>
            <w:vMerge/>
            <w:tcBorders>
              <w:top w:val="single" w:sz="4" w:space="0" w:color="auto"/>
              <w:left w:val="nil"/>
              <w:bottom w:val="single" w:sz="4" w:space="0" w:color="000000"/>
              <w:right w:val="nil"/>
            </w:tcBorders>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tcBorders>
              <w:top w:val="nil"/>
              <w:left w:val="nil"/>
              <w:bottom w:val="nil"/>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p>
        </w:tc>
      </w:tr>
      <w:tr w:rsidR="00A917FF" w:rsidRPr="000C5991"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r w:rsidRPr="000C5991">
              <w:rPr>
                <w:rFonts w:ascii="Calibri" w:eastAsia="Times New Roman" w:hAnsi="Calibri" w:cs="Times New Roman"/>
                <w:color w:val="000000"/>
              </w:rPr>
              <w:t>BMI &gt;= 40</w:t>
            </w:r>
          </w:p>
        </w:tc>
        <w:tc>
          <w:tcPr>
            <w:tcW w:w="1112"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20/707 (2.83)</w:t>
            </w:r>
          </w:p>
        </w:tc>
        <w:tc>
          <w:tcPr>
            <w:tcW w:w="1846" w:type="dxa"/>
            <w:tcBorders>
              <w:top w:val="single" w:sz="4" w:space="0" w:color="auto"/>
              <w:left w:val="nil"/>
              <w:bottom w:val="nil"/>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0.89 (0.57 - 1.39)</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0.74</w:t>
            </w:r>
          </w:p>
        </w:tc>
      </w:tr>
      <w:tr w:rsidR="00A917FF" w:rsidRPr="000C5991"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c>
          <w:tcPr>
            <w:tcW w:w="1112"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29/523 (5.54)</w:t>
            </w:r>
          </w:p>
        </w:tc>
        <w:tc>
          <w:tcPr>
            <w:tcW w:w="1846" w:type="dxa"/>
            <w:tcBorders>
              <w:top w:val="nil"/>
              <w:left w:val="nil"/>
              <w:bottom w:val="single" w:sz="4" w:space="0" w:color="auto"/>
              <w:right w:val="nil"/>
            </w:tcBorders>
            <w:shd w:val="clear" w:color="auto" w:fill="auto"/>
            <w:noWrap/>
            <w:vAlign w:val="center"/>
            <w:hideMark/>
          </w:tcPr>
          <w:p w:rsidR="00A917FF" w:rsidRPr="000C5991" w:rsidRDefault="00A917FF" w:rsidP="00CB12B7">
            <w:pPr>
              <w:spacing w:after="0" w:line="240" w:lineRule="auto"/>
              <w:jc w:val="center"/>
              <w:rPr>
                <w:rFonts w:ascii="Calibri" w:eastAsia="Times New Roman" w:hAnsi="Calibri" w:cs="Times New Roman"/>
                <w:color w:val="000000"/>
              </w:rPr>
            </w:pPr>
            <w:r w:rsidRPr="000C5991">
              <w:rPr>
                <w:rFonts w:ascii="Calibri" w:eastAsia="Times New Roman" w:hAnsi="Calibri" w:cs="Times New Roman"/>
                <w:color w:val="000000"/>
              </w:rPr>
              <w:t>0.99 (0.67 - 1.44)</w:t>
            </w:r>
          </w:p>
        </w:tc>
        <w:tc>
          <w:tcPr>
            <w:tcW w:w="1476" w:type="dxa"/>
            <w:vMerge/>
            <w:tcBorders>
              <w:top w:val="single" w:sz="4" w:space="0" w:color="auto"/>
              <w:left w:val="nil"/>
              <w:bottom w:val="single" w:sz="4" w:space="0" w:color="000000"/>
              <w:right w:val="nil"/>
            </w:tcBorders>
            <w:vAlign w:val="center"/>
            <w:hideMark/>
          </w:tcPr>
          <w:p w:rsidR="00A917FF" w:rsidRPr="000C5991"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rPr>
          <w:noProof/>
        </w:rPr>
        <w:drawing>
          <wp:anchor distT="0" distB="0" distL="114300" distR="114300" simplePos="0" relativeHeight="251662336" behindDoc="0" locked="0" layoutInCell="1" allowOverlap="1" wp14:anchorId="4F4233EB" wp14:editId="39CEA40D">
            <wp:simplePos x="0" y="0"/>
            <wp:positionH relativeFrom="column">
              <wp:posOffset>5388123</wp:posOffset>
            </wp:positionH>
            <wp:positionV relativeFrom="paragraph">
              <wp:posOffset>-3325318</wp:posOffset>
            </wp:positionV>
            <wp:extent cx="2793365" cy="4018915"/>
            <wp:effectExtent l="0" t="0" r="6985"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3">
                      <a:extLst>
                        <a:ext uri="{28A0092B-C50C-407E-A947-70E740481C1C}">
                          <a14:useLocalDpi xmlns:a14="http://schemas.microsoft.com/office/drawing/2010/main" val="0"/>
                        </a:ext>
                      </a:extLst>
                    </a:blip>
                    <a:srcRect l="4708" r="41761"/>
                    <a:stretch/>
                  </pic:blipFill>
                  <pic:spPr bwMode="auto">
                    <a:xfrm>
                      <a:off x="0" y="0"/>
                      <a:ext cx="2793365" cy="401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0.81</w:t>
      </w:r>
    </w:p>
    <w:p w:rsidR="00A917FF" w:rsidRDefault="00A917FF" w:rsidP="0052196B">
      <w:pPr>
        <w:jc w:val="both"/>
      </w:pPr>
      <w:r>
        <w:br w:type="page"/>
      </w:r>
    </w:p>
    <w:tbl>
      <w:tblPr>
        <w:tblW w:w="8786" w:type="dxa"/>
        <w:tblInd w:w="108" w:type="dxa"/>
        <w:tblLook w:val="04A0" w:firstRow="1" w:lastRow="0" w:firstColumn="1" w:lastColumn="0" w:noHBand="0" w:noVBand="1"/>
      </w:tblPr>
      <w:tblGrid>
        <w:gridCol w:w="1955"/>
        <w:gridCol w:w="1521"/>
        <w:gridCol w:w="1988"/>
        <w:gridCol w:w="1846"/>
        <w:gridCol w:w="1476"/>
      </w:tblGrid>
      <w:tr w:rsidR="00A917FF" w:rsidRPr="006B0A66"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category</w:t>
            </w: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Previous CVD</w:t>
            </w: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roofErr w:type="gramStart"/>
            <w:r w:rsidRPr="006B0A66">
              <w:rPr>
                <w:rFonts w:ascii="Calibri" w:eastAsia="Times New Roman" w:hAnsi="Calibri" w:cs="Times New Roman"/>
                <w:color w:val="000000"/>
              </w:rPr>
              <w:t>n/N</w:t>
            </w:r>
            <w:proofErr w:type="gramEnd"/>
            <w:r w:rsidRPr="006B0A66">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Interaction p</w:t>
            </w: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&lt; 18.5</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47/589 (7.98)</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1.29 (0.96 - 1.73)</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0.72</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57/368 (15.49)</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1.38 (1.06 - 1.81)</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&gt;= 18.5 - 24.9</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695/15156 (4.59)</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927/10233 (9.06)</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25 - 29.9</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631/20812 (3.03)</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0.75 (0.68 - 0.84)</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0.09</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1003/14754 (6.80)</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0.85 (0.76 - 0.93)</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30 - 34.9</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234/8316 (2.81)</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0.79 (0.68 - 0.92)</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0.94</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371/6370 (5.82)</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0.79 (0.70 - 0.89)</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35 - 39.4</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50/2065 (2.42)</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0.76 (0.57 - 1.02)</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0.23</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91/1542 (5.90)</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0.94 (0.76 - 1.17)</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&gt;= 40</w:t>
            </w:r>
          </w:p>
        </w:tc>
        <w:tc>
          <w:tcPr>
            <w:tcW w:w="1521"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20/729 (2.74)</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0.99 (0.63 - 1.55)</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0.87</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21"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29/501 (5.79)</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1.04 (0.71 - 1.50)</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rPr>
          <w:noProof/>
        </w:rPr>
        <w:drawing>
          <wp:anchor distT="0" distB="0" distL="114300" distR="114300" simplePos="0" relativeHeight="251663360" behindDoc="0" locked="0" layoutInCell="1" allowOverlap="1" wp14:anchorId="47784CDB" wp14:editId="6D2947FF">
            <wp:simplePos x="0" y="0"/>
            <wp:positionH relativeFrom="column">
              <wp:posOffset>5689733</wp:posOffset>
            </wp:positionH>
            <wp:positionV relativeFrom="paragraph">
              <wp:posOffset>-3346731</wp:posOffset>
            </wp:positionV>
            <wp:extent cx="2817495" cy="3983990"/>
            <wp:effectExtent l="0" t="0" r="190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l="3914" r="42660" b="1968"/>
                    <a:stretch/>
                  </pic:blipFill>
                  <pic:spPr bwMode="auto">
                    <a:xfrm>
                      <a:off x="0" y="0"/>
                      <a:ext cx="2817495" cy="3983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0.52</w:t>
      </w:r>
    </w:p>
    <w:p w:rsidR="00A917FF" w:rsidRDefault="00A917FF" w:rsidP="0052196B">
      <w:pPr>
        <w:jc w:val="both"/>
      </w:pPr>
      <w:r>
        <w:br w:type="page"/>
      </w:r>
    </w:p>
    <w:tbl>
      <w:tblPr>
        <w:tblW w:w="8692" w:type="dxa"/>
        <w:tblInd w:w="108" w:type="dxa"/>
        <w:tblLook w:val="04A0" w:firstRow="1" w:lastRow="0" w:firstColumn="1" w:lastColumn="0" w:noHBand="0" w:noVBand="1"/>
      </w:tblPr>
      <w:tblGrid>
        <w:gridCol w:w="1955"/>
        <w:gridCol w:w="1539"/>
        <w:gridCol w:w="1876"/>
        <w:gridCol w:w="1846"/>
        <w:gridCol w:w="1476"/>
      </w:tblGrid>
      <w:tr w:rsidR="00A917FF" w:rsidRPr="006B0A66"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category</w:t>
            </w: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Renal disease</w:t>
            </w: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roofErr w:type="gramStart"/>
            <w:r w:rsidRPr="006B0A66">
              <w:rPr>
                <w:rFonts w:ascii="Calibri" w:eastAsia="Times New Roman" w:hAnsi="Calibri" w:cs="Times New Roman"/>
                <w:color w:val="000000"/>
              </w:rPr>
              <w:t>n/N</w:t>
            </w:r>
            <w:proofErr w:type="gramEnd"/>
            <w:r w:rsidRPr="006B0A66">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Interaction p</w:t>
            </w: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&lt; 18.5</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46/662 (6.95)</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1.36 (1.01 - 1.84)</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0.83</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54/280 (19.29)</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1.31 (0.99 - 1.72)</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&gt;= 18.5 - 24.9</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765/18754 (4.08)</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825/6294 (13.11)</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25 - 29.9</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765/26451 (2.89)</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0.81 (0.73 - 0.90)</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831/8661 (9.59)</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0.83 (0.76 - 0.92)</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30 - 34.9</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289/10806 (2.67)</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0.86 (0.75 - 0.99)</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0.24</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307/3698 (8.30)</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0.77(0.68 - 0.88)</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35 - 39.4</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68/2647 (2.57)</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0.97 (0.76 - 1.25)</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0.45</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71/927 (7.66)</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0.85 (0.67- 1.09)</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tcBorders>
              <w:top w:val="nil"/>
              <w:left w:val="nil"/>
              <w:bottom w:val="nil"/>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p>
        </w:tc>
      </w:tr>
      <w:tr w:rsidR="00A917FF" w:rsidRPr="006B0A66"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r w:rsidRPr="006B0A66">
              <w:rPr>
                <w:rFonts w:ascii="Calibri" w:eastAsia="Times New Roman" w:hAnsi="Calibri" w:cs="Times New Roman"/>
                <w:color w:val="000000"/>
              </w:rPr>
              <w:t>BMI &gt;= 40</w:t>
            </w:r>
          </w:p>
        </w:tc>
        <w:tc>
          <w:tcPr>
            <w:tcW w:w="1539"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No</w:t>
            </w:r>
          </w:p>
        </w:tc>
        <w:tc>
          <w:tcPr>
            <w:tcW w:w="187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24/919 (2.61)</w:t>
            </w:r>
          </w:p>
        </w:tc>
        <w:tc>
          <w:tcPr>
            <w:tcW w:w="1846" w:type="dxa"/>
            <w:tcBorders>
              <w:top w:val="single" w:sz="4" w:space="0" w:color="auto"/>
              <w:left w:val="nil"/>
              <w:bottom w:val="nil"/>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1.14 (0.76 - 1.72)</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0.74</w:t>
            </w:r>
          </w:p>
        </w:tc>
      </w:tr>
      <w:tr w:rsidR="00A917FF" w:rsidRPr="006B0A66"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c>
          <w:tcPr>
            <w:tcW w:w="1539"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Yes</w:t>
            </w:r>
          </w:p>
        </w:tc>
        <w:tc>
          <w:tcPr>
            <w:tcW w:w="187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25/299 (8.36)</w:t>
            </w:r>
          </w:p>
        </w:tc>
        <w:tc>
          <w:tcPr>
            <w:tcW w:w="1846" w:type="dxa"/>
            <w:tcBorders>
              <w:top w:val="nil"/>
              <w:left w:val="nil"/>
              <w:bottom w:val="single" w:sz="4" w:space="0" w:color="auto"/>
              <w:right w:val="nil"/>
            </w:tcBorders>
            <w:shd w:val="clear" w:color="auto" w:fill="auto"/>
            <w:noWrap/>
            <w:vAlign w:val="center"/>
            <w:hideMark/>
          </w:tcPr>
          <w:p w:rsidR="00A917FF" w:rsidRPr="006B0A66" w:rsidRDefault="00A917FF" w:rsidP="00CB12B7">
            <w:pPr>
              <w:spacing w:after="0" w:line="240" w:lineRule="auto"/>
              <w:jc w:val="center"/>
              <w:rPr>
                <w:rFonts w:ascii="Calibri" w:eastAsia="Times New Roman" w:hAnsi="Calibri" w:cs="Times New Roman"/>
                <w:color w:val="000000"/>
              </w:rPr>
            </w:pPr>
            <w:r w:rsidRPr="006B0A66">
              <w:rPr>
                <w:rFonts w:ascii="Calibri" w:eastAsia="Times New Roman" w:hAnsi="Calibri" w:cs="Times New Roman"/>
                <w:color w:val="000000"/>
              </w:rPr>
              <w:t>1.04 (0.70 - 1.55)</w:t>
            </w:r>
          </w:p>
        </w:tc>
        <w:tc>
          <w:tcPr>
            <w:tcW w:w="1476" w:type="dxa"/>
            <w:vMerge/>
            <w:tcBorders>
              <w:top w:val="single" w:sz="4" w:space="0" w:color="auto"/>
              <w:left w:val="nil"/>
              <w:bottom w:val="single" w:sz="4" w:space="0" w:color="000000"/>
              <w:right w:val="nil"/>
            </w:tcBorders>
            <w:vAlign w:val="center"/>
            <w:hideMark/>
          </w:tcPr>
          <w:p w:rsidR="00A917FF" w:rsidRPr="006B0A66"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rPr>
          <w:noProof/>
        </w:rPr>
        <w:drawing>
          <wp:anchor distT="0" distB="0" distL="114300" distR="114300" simplePos="0" relativeHeight="251664384" behindDoc="0" locked="0" layoutInCell="1" allowOverlap="1" wp14:anchorId="63BBE4B1" wp14:editId="3A413916">
            <wp:simplePos x="0" y="0"/>
            <wp:positionH relativeFrom="column">
              <wp:posOffset>5623560</wp:posOffset>
            </wp:positionH>
            <wp:positionV relativeFrom="paragraph">
              <wp:posOffset>-3380710</wp:posOffset>
            </wp:positionV>
            <wp:extent cx="2885440" cy="403987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l="4314" t="1" r="41779" b="2048"/>
                    <a:stretch/>
                  </pic:blipFill>
                  <pic:spPr bwMode="auto">
                    <a:xfrm>
                      <a:off x="0" y="0"/>
                      <a:ext cx="2885440" cy="403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0.73</w:t>
      </w:r>
    </w:p>
    <w:p w:rsidR="00A917FF" w:rsidRDefault="00A917FF" w:rsidP="0052196B">
      <w:pPr>
        <w:jc w:val="both"/>
      </w:pPr>
    </w:p>
    <w:p w:rsidR="00A917FF" w:rsidRDefault="00A917FF" w:rsidP="0052196B">
      <w:pPr>
        <w:jc w:val="both"/>
      </w:pPr>
      <w:r>
        <w:br w:type="page"/>
      </w:r>
    </w:p>
    <w:tbl>
      <w:tblPr>
        <w:tblW w:w="9062" w:type="dxa"/>
        <w:tblInd w:w="108" w:type="dxa"/>
        <w:tblLook w:val="04A0" w:firstRow="1" w:lastRow="0" w:firstColumn="1" w:lastColumn="0" w:noHBand="0" w:noVBand="1"/>
      </w:tblPr>
      <w:tblGrid>
        <w:gridCol w:w="1955"/>
        <w:gridCol w:w="1797"/>
        <w:gridCol w:w="1988"/>
        <w:gridCol w:w="1846"/>
        <w:gridCol w:w="1476"/>
      </w:tblGrid>
      <w:tr w:rsidR="00A917FF" w:rsidRPr="008C1AB0"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category</w:t>
            </w: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HF on admission</w:t>
            </w: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roofErr w:type="gramStart"/>
            <w:r w:rsidRPr="008C1AB0">
              <w:rPr>
                <w:rFonts w:ascii="Calibri" w:eastAsia="Times New Roman" w:hAnsi="Calibri" w:cs="Times New Roman"/>
                <w:color w:val="000000"/>
              </w:rPr>
              <w:t>n/N</w:t>
            </w:r>
            <w:proofErr w:type="gramEnd"/>
            <w:r w:rsidRPr="008C1AB0">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Interaction p</w:t>
            </w: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&lt; 18.5</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79/878 (9.00)</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1.32 (1.05 - 1.66)</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0.94</w:t>
            </w: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25/79 (31.65)</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1.35 (0.89 - 2.03)</w:t>
            </w:r>
          </w:p>
        </w:tc>
        <w:tc>
          <w:tcPr>
            <w:tcW w:w="1476" w:type="dxa"/>
            <w:vMerge/>
            <w:tcBorders>
              <w:top w:val="single" w:sz="4" w:space="0" w:color="auto"/>
              <w:left w:val="nil"/>
              <w:bottom w:val="single" w:sz="4" w:space="0" w:color="000000"/>
              <w:right w:val="nil"/>
            </w:tcBorders>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tcBorders>
              <w:top w:val="nil"/>
              <w:left w:val="nil"/>
              <w:bottom w:val="nil"/>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&gt;= 18.5 - 24.9</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1325/23880 (5.55)</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297/1509 (19.68)</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tcBorders>
              <w:top w:val="nil"/>
              <w:left w:val="nil"/>
              <w:bottom w:val="nil"/>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25 - 29.9</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1326/33621 (3.94)</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0.80 (0.74 - 0.87)</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0.43</w:t>
            </w: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308/1945 (15.84)</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0.86 (0.74 - 1.01)</w:t>
            </w:r>
          </w:p>
        </w:tc>
        <w:tc>
          <w:tcPr>
            <w:tcW w:w="1476" w:type="dxa"/>
            <w:vMerge/>
            <w:tcBorders>
              <w:top w:val="single" w:sz="4" w:space="0" w:color="auto"/>
              <w:left w:val="nil"/>
              <w:bottom w:val="single" w:sz="4" w:space="0" w:color="000000"/>
              <w:right w:val="nil"/>
            </w:tcBorders>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tcBorders>
              <w:top w:val="nil"/>
              <w:left w:val="nil"/>
              <w:bottom w:val="nil"/>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30 - 34.9</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482/13807 (3.49)</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0.79 (0.71 - 0.88)</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0.7</w:t>
            </w: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123/879 (13.99)</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0.83 (0.67 - 1.02)</w:t>
            </w:r>
          </w:p>
        </w:tc>
        <w:tc>
          <w:tcPr>
            <w:tcW w:w="1476" w:type="dxa"/>
            <w:vMerge/>
            <w:tcBorders>
              <w:top w:val="single" w:sz="4" w:space="0" w:color="auto"/>
              <w:left w:val="nil"/>
              <w:bottom w:val="single" w:sz="4" w:space="0" w:color="000000"/>
              <w:right w:val="nil"/>
            </w:tcBorders>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tcBorders>
              <w:top w:val="nil"/>
              <w:left w:val="nil"/>
              <w:bottom w:val="nil"/>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35 - 39.4</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113/3371 (3.35)</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0.88 (0.72 - 1.07)</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0.87</w:t>
            </w: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28/236 (11.86)</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0.91 (0.62 - 1.34)</w:t>
            </w:r>
          </w:p>
        </w:tc>
        <w:tc>
          <w:tcPr>
            <w:tcW w:w="1476" w:type="dxa"/>
            <w:vMerge/>
            <w:tcBorders>
              <w:top w:val="single" w:sz="4" w:space="0" w:color="auto"/>
              <w:left w:val="nil"/>
              <w:bottom w:val="single" w:sz="4" w:space="0" w:color="000000"/>
              <w:right w:val="nil"/>
            </w:tcBorders>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tcBorders>
              <w:top w:val="nil"/>
              <w:left w:val="nil"/>
              <w:bottom w:val="nil"/>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988"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p>
        </w:tc>
      </w:tr>
      <w:tr w:rsidR="00A917FF" w:rsidRPr="008C1AB0"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r w:rsidRPr="008C1AB0">
              <w:rPr>
                <w:rFonts w:ascii="Calibri" w:eastAsia="Times New Roman" w:hAnsi="Calibri" w:cs="Times New Roman"/>
                <w:color w:val="000000"/>
              </w:rPr>
              <w:t>BMI &gt;= 40</w:t>
            </w:r>
          </w:p>
        </w:tc>
        <w:tc>
          <w:tcPr>
            <w:tcW w:w="1797"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No</w:t>
            </w:r>
          </w:p>
        </w:tc>
        <w:tc>
          <w:tcPr>
            <w:tcW w:w="1988"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42/1143 (3.67)</w:t>
            </w:r>
          </w:p>
        </w:tc>
        <w:tc>
          <w:tcPr>
            <w:tcW w:w="1846" w:type="dxa"/>
            <w:tcBorders>
              <w:top w:val="single" w:sz="4" w:space="0" w:color="auto"/>
              <w:left w:val="nil"/>
              <w:bottom w:val="nil"/>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1.21 (0.89 - 1.66)</w:t>
            </w:r>
          </w:p>
        </w:tc>
        <w:tc>
          <w:tcPr>
            <w:tcW w:w="1476" w:type="dxa"/>
            <w:vMerge w:val="restart"/>
            <w:tcBorders>
              <w:top w:val="single" w:sz="4" w:space="0" w:color="auto"/>
              <w:left w:val="nil"/>
              <w:bottom w:val="single" w:sz="4" w:space="0" w:color="000000"/>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0.057</w:t>
            </w:r>
          </w:p>
        </w:tc>
      </w:tr>
      <w:tr w:rsidR="00A917FF" w:rsidRPr="008C1AB0"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c>
          <w:tcPr>
            <w:tcW w:w="1797"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Yes</w:t>
            </w:r>
          </w:p>
        </w:tc>
        <w:tc>
          <w:tcPr>
            <w:tcW w:w="1988"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7/87 (8.05)</w:t>
            </w:r>
          </w:p>
        </w:tc>
        <w:tc>
          <w:tcPr>
            <w:tcW w:w="1846" w:type="dxa"/>
            <w:tcBorders>
              <w:top w:val="nil"/>
              <w:left w:val="nil"/>
              <w:bottom w:val="single" w:sz="4" w:space="0" w:color="auto"/>
              <w:right w:val="nil"/>
            </w:tcBorders>
            <w:shd w:val="clear" w:color="auto" w:fill="auto"/>
            <w:noWrap/>
            <w:vAlign w:val="center"/>
            <w:hideMark/>
          </w:tcPr>
          <w:p w:rsidR="00A917FF" w:rsidRPr="008C1AB0" w:rsidRDefault="00A917FF" w:rsidP="00CB12B7">
            <w:pPr>
              <w:spacing w:after="0" w:line="240" w:lineRule="auto"/>
              <w:jc w:val="center"/>
              <w:rPr>
                <w:rFonts w:ascii="Calibri" w:eastAsia="Times New Roman" w:hAnsi="Calibri" w:cs="Times New Roman"/>
                <w:color w:val="000000"/>
              </w:rPr>
            </w:pPr>
            <w:r w:rsidRPr="008C1AB0">
              <w:rPr>
                <w:rFonts w:ascii="Calibri" w:eastAsia="Times New Roman" w:hAnsi="Calibri" w:cs="Times New Roman"/>
                <w:color w:val="000000"/>
              </w:rPr>
              <w:t>0.55 (0.26 - 1.17)</w:t>
            </w:r>
          </w:p>
        </w:tc>
        <w:tc>
          <w:tcPr>
            <w:tcW w:w="1476" w:type="dxa"/>
            <w:vMerge/>
            <w:tcBorders>
              <w:top w:val="single" w:sz="4" w:space="0" w:color="auto"/>
              <w:left w:val="nil"/>
              <w:bottom w:val="single" w:sz="4" w:space="0" w:color="000000"/>
              <w:right w:val="nil"/>
            </w:tcBorders>
            <w:vAlign w:val="center"/>
            <w:hideMark/>
          </w:tcPr>
          <w:p w:rsidR="00A917FF" w:rsidRPr="008C1AB0"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r>
        <w:rPr>
          <w:noProof/>
        </w:rPr>
        <w:drawing>
          <wp:anchor distT="0" distB="0" distL="114300" distR="114300" simplePos="0" relativeHeight="251665408" behindDoc="0" locked="0" layoutInCell="1" allowOverlap="1" wp14:anchorId="7337D236" wp14:editId="3F885DEC">
            <wp:simplePos x="0" y="0"/>
            <wp:positionH relativeFrom="column">
              <wp:posOffset>5826642</wp:posOffset>
            </wp:positionH>
            <wp:positionV relativeFrom="paragraph">
              <wp:posOffset>-3375511</wp:posOffset>
            </wp:positionV>
            <wp:extent cx="2880995" cy="4008474"/>
            <wp:effectExtent l="0" t="0" r="0" b="0"/>
            <wp:wrapNone/>
            <wp:docPr id="336896" name="Imagen 33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extLst>
                        <a:ext uri="{28A0092B-C50C-407E-A947-70E740481C1C}">
                          <a14:useLocalDpi xmlns:a14="http://schemas.microsoft.com/office/drawing/2010/main" val="0"/>
                        </a:ext>
                      </a:extLst>
                    </a:blip>
                    <a:srcRect l="6622" r="7317" b="1916"/>
                    <a:stretch/>
                  </pic:blipFill>
                  <pic:spPr bwMode="auto">
                    <a:xfrm>
                      <a:off x="0" y="0"/>
                      <a:ext cx="2881766" cy="4009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0.46</w:t>
      </w:r>
      <w:r>
        <w:br w:type="page"/>
      </w:r>
    </w:p>
    <w:tbl>
      <w:tblPr>
        <w:tblW w:w="8704" w:type="dxa"/>
        <w:tblInd w:w="108" w:type="dxa"/>
        <w:tblLook w:val="04A0" w:firstRow="1" w:lastRow="0" w:firstColumn="1" w:lastColumn="0" w:noHBand="0" w:noVBand="1"/>
      </w:tblPr>
      <w:tblGrid>
        <w:gridCol w:w="1955"/>
        <w:gridCol w:w="1551"/>
        <w:gridCol w:w="1876"/>
        <w:gridCol w:w="1846"/>
        <w:gridCol w:w="1476"/>
      </w:tblGrid>
      <w:tr w:rsidR="00A917FF" w:rsidRPr="00900229" w:rsidTr="00CB12B7">
        <w:trPr>
          <w:trHeight w:val="300"/>
        </w:trPr>
        <w:tc>
          <w:tcPr>
            <w:tcW w:w="1955"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category</w:t>
            </w: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ACS diagnosis</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roofErr w:type="gramStart"/>
            <w:r w:rsidRPr="00900229">
              <w:rPr>
                <w:rFonts w:ascii="Calibri" w:eastAsia="Times New Roman" w:hAnsi="Calibri" w:cs="Times New Roman"/>
                <w:color w:val="000000"/>
              </w:rPr>
              <w:t>n/N</w:t>
            </w:r>
            <w:proofErr w:type="gramEnd"/>
            <w:r w:rsidRPr="00900229">
              <w:rPr>
                <w:rFonts w:ascii="Calibri" w:eastAsia="Times New Roman" w:hAnsi="Calibri" w:cs="Times New Roman"/>
                <w:color w:val="000000"/>
              </w:rPr>
              <w:t xml:space="preserve"> (%)</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HR (95% CI)</w:t>
            </w: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Interaction p</w:t>
            </w: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&lt; 18.5</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21/259 (8.11)</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1.54 (0.99 - 2.39)</w:t>
            </w:r>
          </w:p>
        </w:tc>
        <w:tc>
          <w:tcPr>
            <w:tcW w:w="1476" w:type="dxa"/>
            <w:vMerge w:val="restart"/>
            <w:tcBorders>
              <w:top w:val="single" w:sz="4" w:space="0" w:color="auto"/>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0.77</w:t>
            </w:r>
          </w:p>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29/297 (9.76)</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1.29 (0.88 - 1.88)</w:t>
            </w:r>
          </w:p>
        </w:tc>
        <w:tc>
          <w:tcPr>
            <w:tcW w:w="1476" w:type="dxa"/>
            <w:vMerge/>
            <w:tcBorders>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54/401 (13.47)</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1.28 (0.97 - 1.69)</w:t>
            </w:r>
          </w:p>
        </w:tc>
        <w:tc>
          <w:tcPr>
            <w:tcW w:w="1476" w:type="dxa"/>
            <w:vMerge/>
            <w:tcBorders>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tcBorders>
              <w:top w:val="nil"/>
              <w:left w:val="nil"/>
              <w:bottom w:val="nil"/>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&gt;= 18.5 - 24.9</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331/7093 (4.67)</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w:t>
            </w:r>
          </w:p>
        </w:tc>
        <w:tc>
          <w:tcPr>
            <w:tcW w:w="14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481/8405 (5.72)</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w:t>
            </w: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810/9891 (8.19)</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w:t>
            </w:r>
          </w:p>
        </w:tc>
        <w:tc>
          <w:tcPr>
            <w:tcW w:w="14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tcBorders>
              <w:top w:val="nil"/>
              <w:left w:val="nil"/>
              <w:bottom w:val="nil"/>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25 - 29.9</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366/9842 (3.72)</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0.87 (0.75 - 1.01)</w:t>
            </w:r>
          </w:p>
        </w:tc>
        <w:tc>
          <w:tcPr>
            <w:tcW w:w="1476" w:type="dxa"/>
            <w:vMerge w:val="restart"/>
            <w:tcBorders>
              <w:top w:val="single" w:sz="4" w:space="0" w:color="auto"/>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0.62</w:t>
            </w:r>
          </w:p>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508/12727 (3.99)</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0.80 (0.71 - 0.91)</w:t>
            </w:r>
          </w:p>
        </w:tc>
        <w:tc>
          <w:tcPr>
            <w:tcW w:w="1476" w:type="dxa"/>
            <w:vMerge/>
            <w:tcBorders>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760/12997 (5.85)</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0.80 (0.72 - 0.89)</w:t>
            </w:r>
          </w:p>
        </w:tc>
        <w:tc>
          <w:tcPr>
            <w:tcW w:w="1476" w:type="dxa"/>
            <w:vMerge/>
            <w:tcBorders>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tcBorders>
              <w:top w:val="nil"/>
              <w:left w:val="nil"/>
              <w:bottom w:val="nil"/>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30 - 34.9</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132/4188 (3.15)</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0.79 (0.64 - 0.96)</w:t>
            </w:r>
          </w:p>
        </w:tc>
        <w:tc>
          <w:tcPr>
            <w:tcW w:w="1476" w:type="dxa"/>
            <w:vMerge w:val="restart"/>
            <w:tcBorders>
              <w:top w:val="single" w:sz="4" w:space="0" w:color="auto"/>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0.19</w:t>
            </w:r>
          </w:p>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183/5630 (3.25)</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0.71 (0.60 - 0.85)</w:t>
            </w:r>
          </w:p>
        </w:tc>
        <w:tc>
          <w:tcPr>
            <w:tcW w:w="1476" w:type="dxa"/>
            <w:vMerge/>
            <w:tcBorders>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290/4868 (5.96)</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0.87 (0.76 - 0.99)</w:t>
            </w:r>
          </w:p>
        </w:tc>
        <w:tc>
          <w:tcPr>
            <w:tcW w:w="1476" w:type="dxa"/>
            <w:vMerge/>
            <w:tcBorders>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tcBorders>
              <w:top w:val="nil"/>
              <w:left w:val="nil"/>
              <w:bottom w:val="nil"/>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35 - 39.4</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32/990 (3.23)</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0.89 (0.62 - 1.29)</w:t>
            </w:r>
          </w:p>
        </w:tc>
        <w:tc>
          <w:tcPr>
            <w:tcW w:w="1476" w:type="dxa"/>
            <w:vMerge w:val="restart"/>
            <w:tcBorders>
              <w:top w:val="single" w:sz="4" w:space="0" w:color="auto"/>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0.61</w:t>
            </w:r>
          </w:p>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53/1427 (3.71)</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0.99 (0.74- 1.31)</w:t>
            </w:r>
          </w:p>
        </w:tc>
        <w:tc>
          <w:tcPr>
            <w:tcW w:w="1476" w:type="dxa"/>
            <w:vMerge/>
            <w:tcBorders>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56/1190 (4.71)</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0.81 (0.61 - 1.06)</w:t>
            </w:r>
          </w:p>
        </w:tc>
        <w:tc>
          <w:tcPr>
            <w:tcW w:w="1476" w:type="dxa"/>
            <w:vMerge/>
            <w:tcBorders>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tcBorders>
              <w:top w:val="nil"/>
              <w:left w:val="nil"/>
              <w:bottom w:val="nil"/>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val="restart"/>
            <w:tcBorders>
              <w:top w:val="single" w:sz="4" w:space="0" w:color="auto"/>
              <w:left w:val="nil"/>
              <w:bottom w:val="single" w:sz="4" w:space="0" w:color="000000"/>
              <w:right w:val="nil"/>
            </w:tcBorders>
            <w:shd w:val="clear" w:color="auto" w:fill="auto"/>
            <w:noWrap/>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r w:rsidRPr="00900229">
              <w:rPr>
                <w:rFonts w:ascii="Calibri" w:eastAsia="Times New Roman" w:hAnsi="Calibri" w:cs="Times New Roman"/>
                <w:color w:val="000000"/>
              </w:rPr>
              <w:t>BMI &gt;= 40</w:t>
            </w:r>
          </w:p>
        </w:tc>
        <w:tc>
          <w:tcPr>
            <w:tcW w:w="1551"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UA</w:t>
            </w:r>
          </w:p>
        </w:tc>
        <w:tc>
          <w:tcPr>
            <w:tcW w:w="187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12/278 (4.32)</w:t>
            </w:r>
          </w:p>
        </w:tc>
        <w:tc>
          <w:tcPr>
            <w:tcW w:w="1846" w:type="dxa"/>
            <w:tcBorders>
              <w:top w:val="single" w:sz="4" w:space="0" w:color="auto"/>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1.57(0.88 - 2.79)</w:t>
            </w:r>
          </w:p>
        </w:tc>
        <w:tc>
          <w:tcPr>
            <w:tcW w:w="1476" w:type="dxa"/>
            <w:vMerge w:val="restart"/>
            <w:tcBorders>
              <w:top w:val="single" w:sz="4" w:space="0" w:color="auto"/>
              <w:left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0.29</w:t>
            </w:r>
          </w:p>
          <w:p w:rsidR="00A917FF" w:rsidRPr="00900229" w:rsidRDefault="00A917FF" w:rsidP="00CB12B7">
            <w:pPr>
              <w:spacing w:after="0" w:line="240" w:lineRule="auto"/>
              <w:jc w:val="center"/>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NSTEMI</w:t>
            </w:r>
          </w:p>
        </w:tc>
        <w:tc>
          <w:tcPr>
            <w:tcW w:w="187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18/540 (3.33)</w:t>
            </w:r>
          </w:p>
        </w:tc>
        <w:tc>
          <w:tcPr>
            <w:tcW w:w="1846" w:type="dxa"/>
            <w:tcBorders>
              <w:top w:val="nil"/>
              <w:left w:val="nil"/>
              <w:bottom w:val="nil"/>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0.97 (0.61 - 1.56)</w:t>
            </w:r>
          </w:p>
        </w:tc>
        <w:tc>
          <w:tcPr>
            <w:tcW w:w="1476" w:type="dxa"/>
            <w:vMerge/>
            <w:tcBorders>
              <w:left w:val="nil"/>
              <w:right w:val="nil"/>
            </w:tcBorders>
            <w:shd w:val="clear" w:color="auto" w:fill="auto"/>
            <w:noWrap/>
            <w:vAlign w:val="bottom"/>
            <w:hideMark/>
          </w:tcPr>
          <w:p w:rsidR="00A917FF" w:rsidRPr="00900229" w:rsidRDefault="00A917FF" w:rsidP="0052196B">
            <w:pPr>
              <w:spacing w:after="0" w:line="240" w:lineRule="auto"/>
              <w:jc w:val="both"/>
              <w:rPr>
                <w:rFonts w:ascii="Calibri" w:eastAsia="Times New Roman" w:hAnsi="Calibri" w:cs="Times New Roman"/>
                <w:color w:val="000000"/>
              </w:rPr>
            </w:pPr>
          </w:p>
        </w:tc>
      </w:tr>
      <w:tr w:rsidR="00A917FF" w:rsidRPr="00900229" w:rsidTr="00CB12B7">
        <w:trPr>
          <w:trHeight w:val="300"/>
        </w:trPr>
        <w:tc>
          <w:tcPr>
            <w:tcW w:w="1955" w:type="dxa"/>
            <w:vMerge/>
            <w:tcBorders>
              <w:top w:val="single" w:sz="4" w:space="0" w:color="auto"/>
              <w:left w:val="nil"/>
              <w:bottom w:val="single" w:sz="4" w:space="0" w:color="000000"/>
              <w:right w:val="nil"/>
            </w:tcBorders>
            <w:vAlign w:val="center"/>
            <w:hideMark/>
          </w:tcPr>
          <w:p w:rsidR="00A917FF" w:rsidRPr="00900229" w:rsidRDefault="00A917FF" w:rsidP="0052196B">
            <w:pPr>
              <w:spacing w:after="0" w:line="240" w:lineRule="auto"/>
              <w:jc w:val="both"/>
              <w:rPr>
                <w:rFonts w:ascii="Calibri" w:eastAsia="Times New Roman" w:hAnsi="Calibri" w:cs="Times New Roman"/>
                <w:color w:val="000000"/>
              </w:rPr>
            </w:pPr>
          </w:p>
        </w:tc>
        <w:tc>
          <w:tcPr>
            <w:tcW w:w="1551"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STEMI</w:t>
            </w:r>
          </w:p>
        </w:tc>
        <w:tc>
          <w:tcPr>
            <w:tcW w:w="187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19/412 (4.61)</w:t>
            </w:r>
          </w:p>
        </w:tc>
        <w:tc>
          <w:tcPr>
            <w:tcW w:w="1846" w:type="dxa"/>
            <w:tcBorders>
              <w:top w:val="nil"/>
              <w:left w:val="nil"/>
              <w:bottom w:val="single" w:sz="4" w:space="0" w:color="auto"/>
              <w:right w:val="nil"/>
            </w:tcBorders>
            <w:shd w:val="clear" w:color="auto" w:fill="auto"/>
            <w:noWrap/>
            <w:vAlign w:val="center"/>
            <w:hideMark/>
          </w:tcPr>
          <w:p w:rsidR="00A917FF" w:rsidRPr="00900229" w:rsidRDefault="00A917FF" w:rsidP="00CB12B7">
            <w:pPr>
              <w:spacing w:after="0" w:line="240" w:lineRule="auto"/>
              <w:jc w:val="center"/>
              <w:rPr>
                <w:rFonts w:ascii="Calibri" w:eastAsia="Times New Roman" w:hAnsi="Calibri" w:cs="Times New Roman"/>
                <w:color w:val="000000"/>
              </w:rPr>
            </w:pPr>
            <w:r w:rsidRPr="00900229">
              <w:rPr>
                <w:rFonts w:ascii="Calibri" w:eastAsia="Times New Roman" w:hAnsi="Calibri" w:cs="Times New Roman"/>
                <w:color w:val="000000"/>
              </w:rPr>
              <w:t>0.89 (0.56 - 1.41)</w:t>
            </w:r>
          </w:p>
        </w:tc>
        <w:tc>
          <w:tcPr>
            <w:tcW w:w="1476" w:type="dxa"/>
            <w:vMerge/>
            <w:tcBorders>
              <w:left w:val="nil"/>
              <w:bottom w:val="single" w:sz="4" w:space="0" w:color="auto"/>
              <w:right w:val="nil"/>
            </w:tcBorders>
            <w:shd w:val="clear" w:color="auto" w:fill="auto"/>
            <w:noWrap/>
            <w:vAlign w:val="bottom"/>
            <w:hideMark/>
          </w:tcPr>
          <w:p w:rsidR="00A917FF" w:rsidRPr="00900229" w:rsidRDefault="00A917FF" w:rsidP="0052196B">
            <w:pPr>
              <w:spacing w:after="0" w:line="240" w:lineRule="auto"/>
              <w:jc w:val="both"/>
              <w:rPr>
                <w:rFonts w:ascii="Calibri" w:eastAsia="Times New Roman" w:hAnsi="Calibri" w:cs="Times New Roman"/>
                <w:color w:val="000000"/>
              </w:rPr>
            </w:pPr>
          </w:p>
        </w:tc>
      </w:tr>
    </w:tbl>
    <w:p w:rsidR="00A917FF" w:rsidRDefault="00CB12B7" w:rsidP="0052196B">
      <w:pPr>
        <w:jc w:val="both"/>
      </w:pPr>
      <w:r>
        <w:rPr>
          <w:noProof/>
        </w:rPr>
        <w:drawing>
          <wp:anchor distT="0" distB="0" distL="114300" distR="114300" simplePos="0" relativeHeight="251657216" behindDoc="0" locked="0" layoutInCell="1" allowOverlap="1" wp14:anchorId="1DB97A0A" wp14:editId="6F8B9C55">
            <wp:simplePos x="0" y="0"/>
            <wp:positionH relativeFrom="column">
              <wp:posOffset>5706110</wp:posOffset>
            </wp:positionH>
            <wp:positionV relativeFrom="paragraph">
              <wp:posOffset>-4609836</wp:posOffset>
            </wp:positionV>
            <wp:extent cx="2615565" cy="5666740"/>
            <wp:effectExtent l="0" t="0" r="0" b="0"/>
            <wp:wrapNone/>
            <wp:docPr id="336897" name="Imagen 3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a:extLst>
                        <a:ext uri="{28A0092B-C50C-407E-A947-70E740481C1C}">
                          <a14:useLocalDpi xmlns:a14="http://schemas.microsoft.com/office/drawing/2010/main" val="0"/>
                        </a:ext>
                      </a:extLst>
                    </a:blip>
                    <a:srcRect l="6280" r="7897"/>
                    <a:stretch/>
                  </pic:blipFill>
                  <pic:spPr bwMode="auto">
                    <a:xfrm>
                      <a:off x="0" y="0"/>
                      <a:ext cx="2615565" cy="566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t>Overall interaction p value = 0.53</w:t>
      </w:r>
      <w:r>
        <w:br w:type="page"/>
      </w:r>
    </w:p>
    <w:tbl>
      <w:tblPr>
        <w:tblW w:w="9620" w:type="dxa"/>
        <w:tblInd w:w="108" w:type="dxa"/>
        <w:tblLook w:val="04A0" w:firstRow="1" w:lastRow="0" w:firstColumn="1" w:lastColumn="0" w:noHBand="0" w:noVBand="1"/>
      </w:tblPr>
      <w:tblGrid>
        <w:gridCol w:w="1916"/>
        <w:gridCol w:w="2436"/>
        <w:gridCol w:w="1976"/>
        <w:gridCol w:w="1916"/>
        <w:gridCol w:w="1376"/>
      </w:tblGrid>
      <w:tr w:rsidR="00A917FF" w:rsidRPr="000E20C9" w:rsidTr="00CB12B7">
        <w:trPr>
          <w:trHeight w:val="300"/>
        </w:trPr>
        <w:tc>
          <w:tcPr>
            <w:tcW w:w="1916" w:type="dxa"/>
            <w:tcBorders>
              <w:top w:val="nil"/>
              <w:left w:val="nil"/>
              <w:bottom w:val="nil"/>
              <w:right w:val="nil"/>
            </w:tcBorders>
            <w:shd w:val="clear" w:color="auto" w:fill="auto"/>
            <w:noWrap/>
            <w:vAlign w:val="bottom"/>
            <w:hideMark/>
          </w:tcPr>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Default="00A917FF" w:rsidP="0052196B">
            <w:pPr>
              <w:spacing w:after="0" w:line="240" w:lineRule="auto"/>
              <w:jc w:val="both"/>
              <w:rPr>
                <w:rFonts w:ascii="Calibri" w:eastAsia="Times New Roman" w:hAnsi="Calibri" w:cs="Times New Roman"/>
                <w:color w:val="000000"/>
              </w:rPr>
            </w:pPr>
          </w:p>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category</w:t>
            </w: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Geographic region</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roofErr w:type="gramStart"/>
            <w:r w:rsidRPr="000E20C9">
              <w:rPr>
                <w:rFonts w:ascii="Calibri" w:eastAsia="Times New Roman" w:hAnsi="Calibri" w:cs="Times New Roman"/>
                <w:color w:val="000000"/>
              </w:rPr>
              <w:t>n/N</w:t>
            </w:r>
            <w:proofErr w:type="gramEnd"/>
            <w:r w:rsidRPr="000E20C9">
              <w:rPr>
                <w:rFonts w:ascii="Calibri" w:eastAsia="Times New Roman" w:hAnsi="Calibri" w:cs="Times New Roman"/>
                <w:color w:val="000000"/>
              </w:rPr>
              <w:t xml:space="preserve"> (%)</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HR (95% CI)</w:t>
            </w: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Interaction p</w:t>
            </w:r>
          </w:p>
        </w:tc>
      </w:tr>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&lt; 18.5</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332/5840 (5.68)</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1.34 (0.94 - 1.91)</w:t>
            </w:r>
          </w:p>
        </w:tc>
        <w:tc>
          <w:tcPr>
            <w:tcW w:w="1376" w:type="dxa"/>
            <w:vMerge w:val="restart"/>
            <w:tcBorders>
              <w:top w:val="single" w:sz="4" w:space="0" w:color="auto"/>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0.05</w:t>
            </w:r>
          </w:p>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405/5349 (7.57)</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1.47 (0.86 - 2.5)</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349/6932 (5.03)</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1.26 (0.76 - 2.08)</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272/3967 (6.86)</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2.53 (1.70 - 3.76)</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216/2040 (10.59)</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0.82 (0.37 - 1.85)</w:t>
            </w:r>
          </w:p>
        </w:tc>
        <w:tc>
          <w:tcPr>
            <w:tcW w:w="1376" w:type="dxa"/>
            <w:vMerge/>
            <w:tcBorders>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tcBorders>
              <w:top w:val="nil"/>
              <w:left w:val="nil"/>
              <w:bottom w:val="nil"/>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&gt;= 18.5 - 24.9</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155/3893 (3.98)</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w:t>
            </w:r>
          </w:p>
        </w:tc>
        <w:tc>
          <w:tcPr>
            <w:tcW w:w="13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502/9312 (5.39)</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w:t>
            </w: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384/10955 (3.51)</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w:t>
            </w: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295/6234 (4.73)</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w:t>
            </w: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210/3011 (6.97)</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w:t>
            </w:r>
          </w:p>
        </w:tc>
        <w:tc>
          <w:tcPr>
            <w:tcW w:w="13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tcBorders>
              <w:top w:val="nil"/>
              <w:left w:val="nil"/>
              <w:bottom w:val="nil"/>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25 - 29.9</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36/692 (5.20)</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0.81 (0.66 - 0.98)</w:t>
            </w:r>
          </w:p>
        </w:tc>
        <w:tc>
          <w:tcPr>
            <w:tcW w:w="1376" w:type="dxa"/>
            <w:vMerge w:val="restart"/>
            <w:tcBorders>
              <w:top w:val="single" w:sz="4" w:space="0" w:color="auto"/>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0.78</w:t>
            </w:r>
          </w:p>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217/4376 (4.96)</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0.72 (0.63 - 0.82)</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129/4218 (3.06)</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0.74 (0.64 - 0.86)</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109/3178 (3.43)</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0.80 (0.67 - 0.94)</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79/1226 (6.44)</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0.71 (0.59 - 0.86)</w:t>
            </w:r>
          </w:p>
        </w:tc>
        <w:tc>
          <w:tcPr>
            <w:tcW w:w="1376" w:type="dxa"/>
            <w:vMerge/>
            <w:tcBorders>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tcBorders>
              <w:top w:val="nil"/>
              <w:left w:val="nil"/>
              <w:bottom w:val="nil"/>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30 - 34.9</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4/85 (4.71)</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1.12(0.79 - 1.59)</w:t>
            </w:r>
          </w:p>
        </w:tc>
        <w:tc>
          <w:tcPr>
            <w:tcW w:w="1376" w:type="dxa"/>
            <w:vMerge w:val="restart"/>
            <w:tcBorders>
              <w:top w:val="single" w:sz="4" w:space="0" w:color="auto"/>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0.1</w:t>
            </w:r>
          </w:p>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42/982 (4.28)</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0.65 (0.55 - 0.77)</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31/951 (3.26)</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0.69(0.56 - 0.84)</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42/1089 (3.86)</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0.73 (0.58 - 0.91)</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16/273 (5.86)</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0.69 (0.53 - 0.89)</w:t>
            </w:r>
          </w:p>
        </w:tc>
        <w:tc>
          <w:tcPr>
            <w:tcW w:w="1376" w:type="dxa"/>
            <w:vMerge/>
            <w:tcBorders>
              <w:left w:val="nil"/>
              <w:bottom w:val="single" w:sz="4" w:space="0" w:color="auto"/>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bl>
    <w:p w:rsidR="00A917FF" w:rsidRDefault="00CB12B7" w:rsidP="0052196B">
      <w:pPr>
        <w:jc w:val="both"/>
      </w:pPr>
      <w:r>
        <w:rPr>
          <w:noProof/>
        </w:rPr>
        <w:drawing>
          <wp:anchor distT="0" distB="0" distL="114300" distR="114300" simplePos="0" relativeHeight="251654144" behindDoc="0" locked="0" layoutInCell="1" allowOverlap="1" wp14:anchorId="6CFADDF3" wp14:editId="6F21AB3C">
            <wp:simplePos x="0" y="0"/>
            <wp:positionH relativeFrom="column">
              <wp:posOffset>6123940</wp:posOffset>
            </wp:positionH>
            <wp:positionV relativeFrom="paragraph">
              <wp:posOffset>-53076</wp:posOffset>
            </wp:positionV>
            <wp:extent cx="2158365" cy="711835"/>
            <wp:effectExtent l="0" t="0" r="0" b="0"/>
            <wp:wrapNone/>
            <wp:docPr id="336899" name="12 Imagen"/>
            <wp:cNvGraphicFramePr/>
            <a:graphic xmlns:a="http://schemas.openxmlformats.org/drawingml/2006/main">
              <a:graphicData uri="http://schemas.openxmlformats.org/drawingml/2006/picture">
                <pic:pic xmlns:pic="http://schemas.openxmlformats.org/drawingml/2006/picture">
                  <pic:nvPicPr>
                    <pic:cNvPr id="13" name="12 Imagen"/>
                    <pic:cNvPicPr/>
                  </pic:nvPicPr>
                  <pic:blipFill rotWithShape="1">
                    <a:blip r:embed="rId48">
                      <a:extLst>
                        <a:ext uri="{28A0092B-C50C-407E-A947-70E740481C1C}">
                          <a14:useLocalDpi xmlns:a14="http://schemas.microsoft.com/office/drawing/2010/main" val="0"/>
                        </a:ext>
                      </a:extLst>
                    </a:blip>
                    <a:srcRect l="6205" t="87066" r="16607"/>
                    <a:stretch/>
                  </pic:blipFill>
                  <pic:spPr bwMode="auto">
                    <a:xfrm>
                      <a:off x="0" y="0"/>
                      <a:ext cx="2158365" cy="71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15E1C26" wp14:editId="026ABD58">
            <wp:simplePos x="0" y="0"/>
            <wp:positionH relativeFrom="column">
              <wp:posOffset>6265234</wp:posOffset>
            </wp:positionH>
            <wp:positionV relativeFrom="paragraph">
              <wp:posOffset>-4627712</wp:posOffset>
            </wp:positionV>
            <wp:extent cx="2157730" cy="4613910"/>
            <wp:effectExtent l="0" t="0" r="0" b="0"/>
            <wp:wrapNone/>
            <wp:docPr id="336898" name="Imagen 33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a:extLst>
                        <a:ext uri="{28A0092B-C50C-407E-A947-70E740481C1C}">
                          <a14:useLocalDpi xmlns:a14="http://schemas.microsoft.com/office/drawing/2010/main" val="0"/>
                        </a:ext>
                      </a:extLst>
                    </a:blip>
                    <a:srcRect l="6205" r="16607" b="41313"/>
                    <a:stretch/>
                  </pic:blipFill>
                  <pic:spPr bwMode="auto">
                    <a:xfrm>
                      <a:off x="0" y="0"/>
                      <a:ext cx="2157730" cy="461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FF" w:rsidRDefault="00A917FF" w:rsidP="0052196B">
      <w:pPr>
        <w:jc w:val="both"/>
      </w:pPr>
      <w:r>
        <w:br w:type="page"/>
      </w:r>
    </w:p>
    <w:p w:rsidR="00A917FF" w:rsidRDefault="00A917FF" w:rsidP="0052196B">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lastRenderedPageBreak/>
        <w:t>Table S3 cont.:</w:t>
      </w:r>
    </w:p>
    <w:p w:rsidR="00A917FF" w:rsidRPr="00894A6D" w:rsidRDefault="00A917FF" w:rsidP="0052196B">
      <w:pPr>
        <w:spacing w:after="0" w:line="240" w:lineRule="auto"/>
        <w:jc w:val="both"/>
        <w:rPr>
          <w:rFonts w:ascii="Calibri" w:eastAsia="Times New Roman" w:hAnsi="Calibri" w:cs="Times New Roman"/>
          <w:color w:val="000000"/>
        </w:rPr>
      </w:pPr>
      <w:r>
        <w:rPr>
          <w:noProof/>
        </w:rPr>
        <w:drawing>
          <wp:anchor distT="0" distB="0" distL="114300" distR="114300" simplePos="0" relativeHeight="251666432" behindDoc="0" locked="0" layoutInCell="1" allowOverlap="1" wp14:anchorId="6D35A1C8" wp14:editId="3D8C78EE">
            <wp:simplePos x="0" y="0"/>
            <wp:positionH relativeFrom="column">
              <wp:posOffset>6123940</wp:posOffset>
            </wp:positionH>
            <wp:positionV relativeFrom="paragraph">
              <wp:posOffset>200187</wp:posOffset>
            </wp:positionV>
            <wp:extent cx="2530548" cy="3051544"/>
            <wp:effectExtent l="0" t="0" r="3175" b="0"/>
            <wp:wrapNone/>
            <wp:docPr id="336901" name="Imagen 3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a:extLst>
                        <a:ext uri="{28A0092B-C50C-407E-A947-70E740481C1C}">
                          <a14:useLocalDpi xmlns:a14="http://schemas.microsoft.com/office/drawing/2010/main" val="0"/>
                        </a:ext>
                      </a:extLst>
                    </a:blip>
                    <a:srcRect t="60122"/>
                    <a:stretch/>
                  </pic:blipFill>
                  <pic:spPr bwMode="auto">
                    <a:xfrm>
                      <a:off x="0" y="0"/>
                      <a:ext cx="2530548" cy="305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620" w:type="dxa"/>
        <w:tblInd w:w="108" w:type="dxa"/>
        <w:tblLook w:val="04A0" w:firstRow="1" w:lastRow="0" w:firstColumn="1" w:lastColumn="0" w:noHBand="0" w:noVBand="1"/>
      </w:tblPr>
      <w:tblGrid>
        <w:gridCol w:w="1916"/>
        <w:gridCol w:w="2436"/>
        <w:gridCol w:w="1976"/>
        <w:gridCol w:w="1916"/>
        <w:gridCol w:w="1376"/>
      </w:tblGrid>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Default="00A917FF" w:rsidP="0052196B">
            <w:pPr>
              <w:jc w:val="both"/>
            </w:pPr>
            <w:r>
              <w:br w:type="page"/>
            </w:r>
          </w:p>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35 - 39.4</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2/23 (8.70)</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1.22 (0.46 - 3.28)</w:t>
            </w:r>
          </w:p>
        </w:tc>
        <w:tc>
          <w:tcPr>
            <w:tcW w:w="1376" w:type="dxa"/>
            <w:vMerge w:val="restart"/>
            <w:tcBorders>
              <w:top w:val="single" w:sz="4" w:space="0" w:color="auto"/>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0.47</w:t>
            </w:r>
          </w:p>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16/218 (7.34)</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0.60 (0.44 - 0.83)</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9/284 (3.17)</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0.75 (0.52 - 1.08)</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18/557 (3.23)</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0.88 (0.63- 1.22)</w:t>
            </w:r>
          </w:p>
        </w:tc>
        <w:tc>
          <w:tcPr>
            <w:tcW w:w="1376" w:type="dxa"/>
            <w:vMerge/>
            <w:tcBorders>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4/61 (6.56)</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0.71 (0.42 - 1.18)</w:t>
            </w:r>
          </w:p>
        </w:tc>
        <w:tc>
          <w:tcPr>
            <w:tcW w:w="1376" w:type="dxa"/>
            <w:vMerge/>
            <w:tcBorders>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tcBorders>
              <w:top w:val="nil"/>
              <w:left w:val="nil"/>
              <w:bottom w:val="nil"/>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c>
          <w:tcPr>
            <w:tcW w:w="13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val="restart"/>
            <w:tcBorders>
              <w:top w:val="single" w:sz="4" w:space="0" w:color="auto"/>
              <w:left w:val="nil"/>
              <w:bottom w:val="single" w:sz="4" w:space="0" w:color="000000"/>
              <w:right w:val="nil"/>
            </w:tcBorders>
            <w:shd w:val="clear" w:color="auto" w:fill="auto"/>
            <w:noWrap/>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r w:rsidRPr="000E20C9">
              <w:rPr>
                <w:rFonts w:ascii="Calibri" w:eastAsia="Times New Roman" w:hAnsi="Calibri" w:cs="Times New Roman"/>
                <w:color w:val="000000"/>
              </w:rPr>
              <w:t>BMI &gt;= 40</w:t>
            </w:r>
          </w:p>
        </w:tc>
        <w:tc>
          <w:tcPr>
            <w:tcW w:w="243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Asia</w:t>
            </w:r>
          </w:p>
        </w:tc>
        <w:tc>
          <w:tcPr>
            <w:tcW w:w="197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35/370 (9.46)</w:t>
            </w:r>
          </w:p>
        </w:tc>
        <w:tc>
          <w:tcPr>
            <w:tcW w:w="1916" w:type="dxa"/>
            <w:tcBorders>
              <w:top w:val="single" w:sz="4" w:space="0" w:color="auto"/>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2.14 (0.53 - 8.62)</w:t>
            </w:r>
          </w:p>
        </w:tc>
        <w:tc>
          <w:tcPr>
            <w:tcW w:w="1376" w:type="dxa"/>
            <w:vMerge w:val="restart"/>
            <w:tcBorders>
              <w:top w:val="single" w:sz="4" w:space="0" w:color="auto"/>
              <w:left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0.64</w:t>
            </w:r>
          </w:p>
          <w:p w:rsidR="00A917FF" w:rsidRPr="000E20C9" w:rsidRDefault="00A917FF" w:rsidP="00CB12B7">
            <w:pPr>
              <w:spacing w:after="0" w:line="240" w:lineRule="auto"/>
              <w:jc w:val="center"/>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Eastern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15/118 (12.71)</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1.10 (0.66- 1.81)</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Western Europe</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17/210 (8.10)</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0.78 (0.40 - 1.52)</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North America</w:t>
            </w:r>
          </w:p>
        </w:tc>
        <w:tc>
          <w:tcPr>
            <w:tcW w:w="197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28/151 (18.54)</w:t>
            </w:r>
          </w:p>
        </w:tc>
        <w:tc>
          <w:tcPr>
            <w:tcW w:w="1916" w:type="dxa"/>
            <w:tcBorders>
              <w:top w:val="nil"/>
              <w:left w:val="nil"/>
              <w:bottom w:val="nil"/>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0.82 (0.51 - 1.33)</w:t>
            </w:r>
          </w:p>
        </w:tc>
        <w:tc>
          <w:tcPr>
            <w:tcW w:w="1376" w:type="dxa"/>
            <w:vMerge/>
            <w:tcBorders>
              <w:left w:val="nil"/>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r w:rsidR="00A917FF" w:rsidRPr="000E20C9" w:rsidTr="00CB12B7">
        <w:trPr>
          <w:trHeight w:val="300"/>
        </w:trPr>
        <w:tc>
          <w:tcPr>
            <w:tcW w:w="1916" w:type="dxa"/>
            <w:vMerge/>
            <w:tcBorders>
              <w:top w:val="single" w:sz="4" w:space="0" w:color="auto"/>
              <w:left w:val="nil"/>
              <w:bottom w:val="single" w:sz="4" w:space="0" w:color="000000"/>
              <w:right w:val="nil"/>
            </w:tcBorders>
            <w:vAlign w:val="center"/>
            <w:hideMark/>
          </w:tcPr>
          <w:p w:rsidR="00A917FF" w:rsidRPr="000E20C9" w:rsidRDefault="00A917FF" w:rsidP="0052196B">
            <w:pPr>
              <w:spacing w:after="0" w:line="240" w:lineRule="auto"/>
              <w:jc w:val="both"/>
              <w:rPr>
                <w:rFonts w:ascii="Calibri" w:eastAsia="Times New Roman" w:hAnsi="Calibri" w:cs="Times New Roman"/>
                <w:color w:val="000000"/>
              </w:rPr>
            </w:pPr>
          </w:p>
        </w:tc>
        <w:tc>
          <w:tcPr>
            <w:tcW w:w="243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Latin America</w:t>
            </w:r>
          </w:p>
        </w:tc>
        <w:tc>
          <w:tcPr>
            <w:tcW w:w="197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6/68 (8.82)</w:t>
            </w:r>
          </w:p>
        </w:tc>
        <w:tc>
          <w:tcPr>
            <w:tcW w:w="1916" w:type="dxa"/>
            <w:tcBorders>
              <w:top w:val="nil"/>
              <w:left w:val="nil"/>
              <w:bottom w:val="single" w:sz="4" w:space="0" w:color="auto"/>
              <w:right w:val="nil"/>
            </w:tcBorders>
            <w:shd w:val="clear" w:color="auto" w:fill="auto"/>
            <w:noWrap/>
            <w:vAlign w:val="center"/>
            <w:hideMark/>
          </w:tcPr>
          <w:p w:rsidR="00A917FF" w:rsidRPr="000E20C9" w:rsidRDefault="00A917FF" w:rsidP="00CB12B7">
            <w:pPr>
              <w:spacing w:after="0" w:line="240" w:lineRule="auto"/>
              <w:jc w:val="center"/>
              <w:rPr>
                <w:rFonts w:ascii="Calibri" w:eastAsia="Times New Roman" w:hAnsi="Calibri" w:cs="Times New Roman"/>
                <w:color w:val="000000"/>
              </w:rPr>
            </w:pPr>
            <w:r w:rsidRPr="000E20C9">
              <w:rPr>
                <w:rFonts w:ascii="Calibri" w:eastAsia="Times New Roman" w:hAnsi="Calibri" w:cs="Times New Roman"/>
                <w:color w:val="000000"/>
              </w:rPr>
              <w:t>0.73 (0.27 - 1.96)</w:t>
            </w:r>
          </w:p>
        </w:tc>
        <w:tc>
          <w:tcPr>
            <w:tcW w:w="1376" w:type="dxa"/>
            <w:vMerge/>
            <w:tcBorders>
              <w:left w:val="nil"/>
              <w:bottom w:val="single" w:sz="4" w:space="0" w:color="auto"/>
              <w:right w:val="nil"/>
            </w:tcBorders>
            <w:shd w:val="clear" w:color="auto" w:fill="auto"/>
            <w:noWrap/>
            <w:vAlign w:val="bottom"/>
            <w:hideMark/>
          </w:tcPr>
          <w:p w:rsidR="00A917FF" w:rsidRPr="000E20C9" w:rsidRDefault="00A917FF" w:rsidP="0052196B">
            <w:pPr>
              <w:spacing w:after="0" w:line="240" w:lineRule="auto"/>
              <w:jc w:val="both"/>
              <w:rPr>
                <w:rFonts w:ascii="Calibri" w:eastAsia="Times New Roman" w:hAnsi="Calibri" w:cs="Times New Roman"/>
                <w:color w:val="000000"/>
              </w:rPr>
            </w:pPr>
          </w:p>
        </w:tc>
      </w:tr>
    </w:tbl>
    <w:p w:rsidR="00A917FF" w:rsidRDefault="00A917FF" w:rsidP="0052196B">
      <w:pPr>
        <w:jc w:val="both"/>
      </w:pPr>
    </w:p>
    <w:p w:rsidR="00A917FF" w:rsidRDefault="00A917FF" w:rsidP="0052196B">
      <w:pPr>
        <w:jc w:val="both"/>
      </w:pPr>
      <w:r>
        <w:t>Overall interaction p value = 0.26</w:t>
      </w:r>
    </w:p>
    <w:p w:rsidR="00A917FF" w:rsidRDefault="00A917FF" w:rsidP="0052196B">
      <w:pPr>
        <w:jc w:val="both"/>
      </w:pPr>
    </w:p>
    <w:p w:rsidR="00A917FF" w:rsidRDefault="00A917FF" w:rsidP="0052196B">
      <w:pPr>
        <w:jc w:val="both"/>
      </w:pPr>
      <w:r>
        <w:t xml:space="preserve">Notes: Subgroup analysis with interaction tests. Interaction p values were calculated including an interaction term in the multivariate shared frailty model. </w:t>
      </w:r>
    </w:p>
    <w:p w:rsidR="00A917FF" w:rsidRDefault="00A917FF" w:rsidP="0052196B">
      <w:pPr>
        <w:jc w:val="both"/>
        <w:sectPr w:rsidR="00A917FF" w:rsidSect="00081DC9">
          <w:pgSz w:w="15840" w:h="12240" w:orient="landscape"/>
          <w:pgMar w:top="1440" w:right="1440" w:bottom="1440" w:left="1440" w:header="426" w:footer="720" w:gutter="0"/>
          <w:cols w:space="720"/>
          <w:docGrid w:linePitch="360"/>
        </w:sectPr>
      </w:pPr>
    </w:p>
    <w:p w:rsidR="00A917FF" w:rsidRDefault="0052012C" w:rsidP="0052196B">
      <w:pPr>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45pt;margin-top:24.1pt;width:381pt;height:266.25pt;z-index:251667456;mso-position-horizontal-relative:text;mso-position-vertical-relative:text">
            <v:imagedata r:id="rId50" o:title=""/>
          </v:shape>
          <o:OLEObject Type="Embed" ProgID="Prism6.Document" ShapeID="_x0000_s1026" DrawAspect="Content" ObjectID="_1504460630" r:id="rId51"/>
        </w:pict>
      </w:r>
      <w:r w:rsidR="00A917FF">
        <w:t xml:space="preserve">Figure S1: </w:t>
      </w: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p>
    <w:p w:rsidR="00A917FF" w:rsidRDefault="00A917FF" w:rsidP="0052196B">
      <w:pPr>
        <w:jc w:val="both"/>
      </w:pPr>
      <w:r>
        <w:t>Notes: BMI mean and standard deviation according to age group.</w:t>
      </w:r>
    </w:p>
    <w:p w:rsidR="00A917FF" w:rsidRDefault="00A917FF" w:rsidP="0052196B">
      <w:pPr>
        <w:jc w:val="both"/>
      </w:pPr>
    </w:p>
    <w:p w:rsidR="00A917FF" w:rsidRPr="00205F92" w:rsidRDefault="00A917FF" w:rsidP="0052196B">
      <w:pPr>
        <w:pStyle w:val="chapterstitles"/>
        <w:jc w:val="both"/>
      </w:pPr>
    </w:p>
    <w:p w:rsidR="00A917FF" w:rsidRDefault="00A917FF" w:rsidP="0052196B">
      <w:pPr>
        <w:jc w:val="both"/>
        <w:sectPr w:rsidR="00A917FF" w:rsidSect="00081DC9">
          <w:pgSz w:w="12240" w:h="15840"/>
          <w:pgMar w:top="1440" w:right="1440" w:bottom="1440" w:left="1440" w:header="426" w:footer="720" w:gutter="0"/>
          <w:cols w:space="720"/>
          <w:docGrid w:linePitch="360"/>
        </w:sectPr>
      </w:pPr>
    </w:p>
    <w:p w:rsidR="00A917FF" w:rsidRPr="00E36AAC" w:rsidRDefault="00A917FF" w:rsidP="0052196B">
      <w:pPr>
        <w:pStyle w:val="chapterstitles"/>
        <w:jc w:val="both"/>
      </w:pPr>
      <w:r w:rsidRPr="0007764B">
        <w:lastRenderedPageBreak/>
        <w:t>CHAPTER 5: DISCUSSION</w:t>
      </w:r>
    </w:p>
    <w:p w:rsidR="00A917FF" w:rsidRPr="00BC7982" w:rsidRDefault="00A917FF" w:rsidP="0052196B">
      <w:pPr>
        <w:spacing w:line="480" w:lineRule="auto"/>
        <w:jc w:val="both"/>
        <w:rPr>
          <w:b/>
          <w:sz w:val="24"/>
          <w:szCs w:val="24"/>
        </w:rPr>
      </w:pPr>
      <w:r w:rsidRPr="00BC7982">
        <w:rPr>
          <w:b/>
          <w:noProof/>
          <w:sz w:val="24"/>
          <w:szCs w:val="24"/>
        </w:rPr>
        <w:t>Main</w:t>
      </w:r>
      <w:r w:rsidRPr="00BC7982">
        <w:rPr>
          <w:b/>
          <w:sz w:val="24"/>
          <w:szCs w:val="24"/>
        </w:rPr>
        <w:t xml:space="preserve"> findings</w:t>
      </w:r>
    </w:p>
    <w:p w:rsidR="00A917FF" w:rsidRPr="00BC7982" w:rsidRDefault="00A917FF" w:rsidP="0052196B">
      <w:pPr>
        <w:spacing w:line="480" w:lineRule="auto"/>
        <w:ind w:firstLine="720"/>
        <w:jc w:val="both"/>
        <w:rPr>
          <w:sz w:val="24"/>
          <w:szCs w:val="24"/>
        </w:rPr>
      </w:pPr>
      <w:r w:rsidRPr="00BC7982">
        <w:rPr>
          <w:sz w:val="24"/>
          <w:szCs w:val="24"/>
        </w:rPr>
        <w:t xml:space="preserve">In this large individual patient data meta-analysis, we investigated the association between BMI and all-cause mortality among patients who suffered an ACS. Compared to normal weight individuals, overweight and type I obese participants </w:t>
      </w:r>
      <w:r w:rsidRPr="00BC7982">
        <w:rPr>
          <w:noProof/>
          <w:sz w:val="24"/>
          <w:szCs w:val="24"/>
        </w:rPr>
        <w:t>were associated with a</w:t>
      </w:r>
      <w:r w:rsidRPr="00BC7982">
        <w:rPr>
          <w:sz w:val="24"/>
          <w:szCs w:val="24"/>
        </w:rPr>
        <w:t xml:space="preserve"> lower risk of all-cause mortality. This association was consistent among all the sensitivity analysis performed, including alternative models, restriction of participants with potential </w:t>
      </w:r>
      <w:r w:rsidRPr="00BC7982">
        <w:rPr>
          <w:noProof/>
          <w:sz w:val="24"/>
          <w:szCs w:val="24"/>
        </w:rPr>
        <w:t>illness-related</w:t>
      </w:r>
      <w:r w:rsidRPr="00BC7982">
        <w:rPr>
          <w:sz w:val="24"/>
          <w:szCs w:val="24"/>
        </w:rPr>
        <w:t xml:space="preserve"> weight loss, landmark analysis, and propensity score </w:t>
      </w:r>
      <w:r w:rsidRPr="00BC7982">
        <w:rPr>
          <w:noProof/>
          <w:sz w:val="24"/>
          <w:szCs w:val="24"/>
        </w:rPr>
        <w:t>analyzes</w:t>
      </w:r>
      <w:r w:rsidRPr="00BC7982">
        <w:rPr>
          <w:sz w:val="24"/>
          <w:szCs w:val="24"/>
        </w:rPr>
        <w:t xml:space="preserve">. This mortality risk reduction </w:t>
      </w:r>
      <w:r w:rsidRPr="00BC7982">
        <w:rPr>
          <w:noProof/>
          <w:sz w:val="24"/>
          <w:szCs w:val="24"/>
        </w:rPr>
        <w:t>was mainly driven</w:t>
      </w:r>
      <w:r w:rsidRPr="00BC7982">
        <w:rPr>
          <w:sz w:val="24"/>
          <w:szCs w:val="24"/>
        </w:rPr>
        <w:t xml:space="preserve"> by a reduction in cardiovascular mortality, and the association differed according to gender and geographic region. </w:t>
      </w:r>
    </w:p>
    <w:p w:rsidR="00A917FF" w:rsidRPr="00BC7982" w:rsidRDefault="00A917FF" w:rsidP="0052196B">
      <w:pPr>
        <w:spacing w:line="480" w:lineRule="auto"/>
        <w:ind w:firstLine="720"/>
        <w:jc w:val="both"/>
        <w:rPr>
          <w:sz w:val="24"/>
          <w:szCs w:val="24"/>
        </w:rPr>
      </w:pPr>
      <w:r w:rsidRPr="00BC7982">
        <w:rPr>
          <w:sz w:val="24"/>
          <w:szCs w:val="24"/>
        </w:rPr>
        <w:t xml:space="preserve">Overweight participants had a </w:t>
      </w:r>
      <w:r w:rsidRPr="00BC7982">
        <w:rPr>
          <w:noProof/>
          <w:sz w:val="24"/>
          <w:szCs w:val="24"/>
        </w:rPr>
        <w:t>lower</w:t>
      </w:r>
      <w:r w:rsidRPr="00BC7982">
        <w:rPr>
          <w:sz w:val="24"/>
          <w:szCs w:val="24"/>
        </w:rPr>
        <w:t xml:space="preserve"> risk of developing</w:t>
      </w:r>
      <w:r w:rsidRPr="00BC7982">
        <w:rPr>
          <w:noProof/>
          <w:sz w:val="24"/>
          <w:szCs w:val="24"/>
        </w:rPr>
        <w:t xml:space="preserve"> myocardial</w:t>
      </w:r>
      <w:r w:rsidRPr="00BC7982">
        <w:rPr>
          <w:sz w:val="24"/>
          <w:szCs w:val="24"/>
        </w:rPr>
        <w:t xml:space="preserve"> infarction during follow-up, and all increased BMI categories experienced lower rates of refractory ischemia. However, there was no improvement of revascularization outcomes among those who received a PCI as a first revascularization strategy, either target vessel or lesion revascularization. Overweight patients also experienced lower heart failure hospitalizations, as well as lower heart failure related death. Finally, </w:t>
      </w:r>
      <w:r w:rsidRPr="00BC7982">
        <w:rPr>
          <w:noProof/>
          <w:sz w:val="24"/>
          <w:szCs w:val="24"/>
        </w:rPr>
        <w:t>bleeding</w:t>
      </w:r>
      <w:r w:rsidRPr="00BC7982">
        <w:rPr>
          <w:sz w:val="24"/>
          <w:szCs w:val="24"/>
        </w:rPr>
        <w:t xml:space="preserve"> risk was markedly reduced in all high BMI categories.</w:t>
      </w:r>
    </w:p>
    <w:p w:rsidR="00A917FF" w:rsidRPr="00BC7982" w:rsidRDefault="00A917FF" w:rsidP="0052196B">
      <w:pPr>
        <w:spacing w:line="480" w:lineRule="auto"/>
        <w:ind w:firstLine="720"/>
        <w:jc w:val="both"/>
        <w:rPr>
          <w:sz w:val="24"/>
          <w:szCs w:val="24"/>
        </w:rPr>
      </w:pPr>
    </w:p>
    <w:p w:rsidR="00A917FF" w:rsidRDefault="00A917FF" w:rsidP="0052196B">
      <w:pPr>
        <w:spacing w:line="480" w:lineRule="auto"/>
        <w:ind w:firstLine="720"/>
        <w:jc w:val="both"/>
        <w:rPr>
          <w:sz w:val="24"/>
          <w:szCs w:val="24"/>
        </w:rPr>
      </w:pPr>
    </w:p>
    <w:p w:rsidR="00A917FF" w:rsidRPr="00BC7982" w:rsidRDefault="00A917FF" w:rsidP="0052196B">
      <w:pPr>
        <w:spacing w:line="480" w:lineRule="auto"/>
        <w:ind w:firstLine="720"/>
        <w:jc w:val="both"/>
        <w:rPr>
          <w:sz w:val="24"/>
          <w:szCs w:val="24"/>
        </w:rPr>
      </w:pPr>
    </w:p>
    <w:p w:rsidR="00A917FF" w:rsidRPr="00BC7982" w:rsidRDefault="00A917FF" w:rsidP="0052196B">
      <w:pPr>
        <w:spacing w:line="480" w:lineRule="auto"/>
        <w:jc w:val="both"/>
        <w:rPr>
          <w:b/>
          <w:sz w:val="24"/>
          <w:szCs w:val="24"/>
        </w:rPr>
      </w:pPr>
      <w:r w:rsidRPr="00BC7982">
        <w:rPr>
          <w:b/>
          <w:sz w:val="24"/>
          <w:szCs w:val="24"/>
        </w:rPr>
        <w:lastRenderedPageBreak/>
        <w:t>Findings in the context of previous literature</w:t>
      </w:r>
    </w:p>
    <w:p w:rsidR="00A917FF" w:rsidRPr="00BC7982" w:rsidRDefault="00A917FF" w:rsidP="0052196B">
      <w:pPr>
        <w:spacing w:line="480" w:lineRule="auto"/>
        <w:ind w:firstLine="720"/>
        <w:jc w:val="both"/>
        <w:rPr>
          <w:sz w:val="24"/>
          <w:szCs w:val="24"/>
        </w:rPr>
      </w:pPr>
      <w:r>
        <w:rPr>
          <w:noProof/>
          <w:sz w:val="24"/>
          <w:szCs w:val="24"/>
        </w:rPr>
        <w:t>In this</w:t>
      </w:r>
      <w:r w:rsidRPr="00BC7982">
        <w:rPr>
          <w:noProof/>
          <w:sz w:val="24"/>
          <w:szCs w:val="24"/>
        </w:rPr>
        <w:t xml:space="preserve"> individual patient data meta-analysis all-cause mortality results presented herein, are consistent with the overweight (RR 0.82</w:t>
      </w:r>
      <w:r w:rsidRPr="00BC7982">
        <w:rPr>
          <w:noProof/>
          <w:sz w:val="24"/>
          <w:szCs w:val="24"/>
          <w:lang w:val="en-CA"/>
        </w:rPr>
        <w:t>; 95% CI 0.75 - 0.91</w:t>
      </w:r>
      <w:r w:rsidRPr="00BC7982">
        <w:rPr>
          <w:noProof/>
          <w:sz w:val="24"/>
          <w:szCs w:val="24"/>
        </w:rPr>
        <w:t>) and obese (RR 0.81</w:t>
      </w:r>
      <w:r w:rsidRPr="00BC7982">
        <w:rPr>
          <w:noProof/>
          <w:sz w:val="24"/>
          <w:szCs w:val="24"/>
          <w:lang w:val="en-CA"/>
        </w:rPr>
        <w:t>; 95% CI 0.73 - 0.91</w:t>
      </w:r>
      <w:r w:rsidRPr="00BC7982">
        <w:rPr>
          <w:noProof/>
          <w:sz w:val="24"/>
          <w:szCs w:val="24"/>
        </w:rPr>
        <w:t>) pooled estimates from the study-level meta-analysis presented in Chapter 2.</w:t>
      </w:r>
      <w:r w:rsidRPr="00BC7982">
        <w:rPr>
          <w:sz w:val="24"/>
          <w:szCs w:val="24"/>
        </w:rPr>
        <w:t xml:space="preserve"> However, those study-level estimates are the product of moderate to </w:t>
      </w:r>
      <w:r w:rsidRPr="00BC7982">
        <w:rPr>
          <w:noProof/>
          <w:sz w:val="24"/>
          <w:szCs w:val="24"/>
        </w:rPr>
        <w:t>high</w:t>
      </w:r>
      <w:r w:rsidRPr="00BC7982">
        <w:rPr>
          <w:sz w:val="24"/>
          <w:szCs w:val="24"/>
        </w:rPr>
        <w:t xml:space="preserve"> heterogeneous study results (I</w:t>
      </w:r>
      <w:r w:rsidRPr="00BC7982">
        <w:rPr>
          <w:sz w:val="24"/>
          <w:szCs w:val="24"/>
          <w:vertAlign w:val="superscript"/>
        </w:rPr>
        <w:t>2</w:t>
      </w:r>
      <w:r w:rsidRPr="00BC7982">
        <w:rPr>
          <w:sz w:val="24"/>
          <w:szCs w:val="24"/>
        </w:rPr>
        <w:t xml:space="preserve"> = 64% for overweight and I</w:t>
      </w:r>
      <w:r w:rsidRPr="00BC7982">
        <w:rPr>
          <w:sz w:val="24"/>
          <w:szCs w:val="24"/>
          <w:vertAlign w:val="superscript"/>
        </w:rPr>
        <w:t>2</w:t>
      </w:r>
      <w:r w:rsidRPr="00BC7982">
        <w:rPr>
          <w:sz w:val="24"/>
          <w:szCs w:val="24"/>
        </w:rPr>
        <w:t xml:space="preserve"> = 56% for obese participants). This heterogeneity, exacerbated by its lack of explanation in subgroup analysis, reduces the </w:t>
      </w:r>
      <w:r w:rsidRPr="00BC7982">
        <w:rPr>
          <w:noProof/>
          <w:sz w:val="24"/>
          <w:szCs w:val="24"/>
        </w:rPr>
        <w:t>confidence</w:t>
      </w:r>
      <w:r w:rsidRPr="00BC7982">
        <w:rPr>
          <w:sz w:val="24"/>
          <w:szCs w:val="24"/>
        </w:rPr>
        <w:t xml:space="preserve"> of the pooled estimate secondary to inconsistency. </w:t>
      </w:r>
    </w:p>
    <w:p w:rsidR="00A917FF" w:rsidRPr="00BC7982" w:rsidRDefault="00A917FF" w:rsidP="0052196B">
      <w:pPr>
        <w:spacing w:line="480" w:lineRule="auto"/>
        <w:ind w:firstLine="720"/>
        <w:jc w:val="both"/>
        <w:rPr>
          <w:sz w:val="24"/>
          <w:szCs w:val="24"/>
        </w:rPr>
      </w:pPr>
      <w:r w:rsidRPr="00BC7982">
        <w:rPr>
          <w:sz w:val="24"/>
          <w:szCs w:val="24"/>
        </w:rPr>
        <w:t xml:space="preserve">In 1987 </w:t>
      </w:r>
      <w:proofErr w:type="spellStart"/>
      <w:r w:rsidRPr="00BC7982">
        <w:rPr>
          <w:sz w:val="24"/>
          <w:szCs w:val="24"/>
        </w:rPr>
        <w:t>Hoit</w:t>
      </w:r>
      <w:proofErr w:type="spellEnd"/>
      <w:r w:rsidRPr="00BC7982">
        <w:rPr>
          <w:sz w:val="24"/>
          <w:szCs w:val="24"/>
        </w:rPr>
        <w:t xml:space="preserve"> </w:t>
      </w:r>
      <w:proofErr w:type="gramStart"/>
      <w:r w:rsidRPr="00BC7982">
        <w:rPr>
          <w:sz w:val="24"/>
          <w:szCs w:val="24"/>
        </w:rPr>
        <w:t>et</w:t>
      </w:r>
      <w:proofErr w:type="gramEnd"/>
      <w:r w:rsidRPr="00BC7982">
        <w:rPr>
          <w:sz w:val="24"/>
          <w:szCs w:val="24"/>
        </w:rPr>
        <w:t>. al published the first study showing that obese patients had a lower mortality than normal BMI in patients with acute myocardial infarction.</w:t>
      </w:r>
      <w:r w:rsidRPr="00BC7982">
        <w:rPr>
          <w:noProof/>
          <w:sz w:val="24"/>
          <w:szCs w:val="24"/>
          <w:vertAlign w:val="superscript"/>
        </w:rPr>
        <w:t>1</w:t>
      </w:r>
      <w:r w:rsidRPr="00BC7982">
        <w:rPr>
          <w:sz w:val="24"/>
          <w:szCs w:val="24"/>
        </w:rPr>
        <w:t xml:space="preserve"> After that, there was a paucity of publications showing increased mortality risk in patients with a BMI of 25 to 40 kg/m</w:t>
      </w:r>
      <w:r w:rsidRPr="00BC7982">
        <w:rPr>
          <w:sz w:val="24"/>
          <w:szCs w:val="24"/>
          <w:vertAlign w:val="superscript"/>
        </w:rPr>
        <w:t>2</w:t>
      </w:r>
      <w:r w:rsidRPr="00BC7982">
        <w:rPr>
          <w:sz w:val="24"/>
          <w:szCs w:val="24"/>
        </w:rPr>
        <w:t xml:space="preserve">, despite the diversity of populations, follow-up time, study quality and variables for adjustments. In 2002 Kaplan </w:t>
      </w:r>
      <w:proofErr w:type="gramStart"/>
      <w:r w:rsidRPr="00BC7982">
        <w:rPr>
          <w:sz w:val="24"/>
          <w:szCs w:val="24"/>
        </w:rPr>
        <w:t>et</w:t>
      </w:r>
      <w:proofErr w:type="gramEnd"/>
      <w:r w:rsidRPr="00BC7982">
        <w:rPr>
          <w:sz w:val="24"/>
          <w:szCs w:val="24"/>
        </w:rPr>
        <w:t>. al described a U-shaped pattern in the ACS population, in which the lowest mortality risk category was 26.2 to 28.6 kg/m</w:t>
      </w:r>
      <w:r w:rsidRPr="00BC7982">
        <w:rPr>
          <w:sz w:val="24"/>
          <w:szCs w:val="24"/>
          <w:vertAlign w:val="superscript"/>
        </w:rPr>
        <w:t>2</w:t>
      </w:r>
      <w:r w:rsidRPr="00BC7982">
        <w:rPr>
          <w:sz w:val="24"/>
          <w:szCs w:val="24"/>
        </w:rPr>
        <w:t xml:space="preserve"> range.</w:t>
      </w:r>
      <w:r w:rsidRPr="00BC7982">
        <w:rPr>
          <w:noProof/>
          <w:sz w:val="24"/>
          <w:szCs w:val="24"/>
          <w:vertAlign w:val="superscript"/>
        </w:rPr>
        <w:t>2</w:t>
      </w:r>
      <w:r w:rsidRPr="00BC7982">
        <w:rPr>
          <w:sz w:val="24"/>
          <w:szCs w:val="24"/>
        </w:rPr>
        <w:t xml:space="preserve"> Our present analysis strongly suggests a U-shaped pattern, in which the lowest risk BMI value was 31.3 kg/m</w:t>
      </w:r>
      <w:r w:rsidRPr="00BC7982">
        <w:rPr>
          <w:sz w:val="24"/>
          <w:szCs w:val="24"/>
          <w:vertAlign w:val="superscript"/>
        </w:rPr>
        <w:t>2</w:t>
      </w:r>
      <w:r w:rsidRPr="00BC7982">
        <w:rPr>
          <w:sz w:val="24"/>
          <w:szCs w:val="24"/>
        </w:rPr>
        <w:t xml:space="preserve"> in non-Asian and 27.5 kg/m</w:t>
      </w:r>
      <w:r w:rsidRPr="00BC7982">
        <w:rPr>
          <w:sz w:val="24"/>
          <w:szCs w:val="24"/>
          <w:vertAlign w:val="superscript"/>
        </w:rPr>
        <w:t>2</w:t>
      </w:r>
      <w:r w:rsidRPr="00BC7982">
        <w:rPr>
          <w:sz w:val="24"/>
          <w:szCs w:val="24"/>
        </w:rPr>
        <w:t xml:space="preserve"> in Asian countries. Restricted cubic spline analysis showed that under BMI of 26 kg/m</w:t>
      </w:r>
      <w:r w:rsidRPr="00BC7982">
        <w:rPr>
          <w:sz w:val="24"/>
          <w:szCs w:val="24"/>
          <w:vertAlign w:val="superscript"/>
        </w:rPr>
        <w:t>2</w:t>
      </w:r>
      <w:r w:rsidRPr="00BC7982">
        <w:rPr>
          <w:sz w:val="24"/>
          <w:szCs w:val="24"/>
        </w:rPr>
        <w:t>, there was an inverse linear association between BMI and all-cause mortality.</w:t>
      </w:r>
    </w:p>
    <w:p w:rsidR="00A917FF" w:rsidRPr="00BC7982" w:rsidRDefault="00A917FF" w:rsidP="0052196B">
      <w:pPr>
        <w:spacing w:line="480" w:lineRule="auto"/>
        <w:ind w:firstLine="720"/>
        <w:jc w:val="both"/>
        <w:rPr>
          <w:sz w:val="24"/>
          <w:szCs w:val="24"/>
        </w:rPr>
      </w:pPr>
      <w:r w:rsidRPr="00BC7982">
        <w:rPr>
          <w:sz w:val="24"/>
          <w:szCs w:val="24"/>
        </w:rPr>
        <w:t xml:space="preserve">This is the first analysis reporting a gender interaction between the BMI and the all-cause mortality association in the ACS population. A 1.4 million white adults analysis of 19 studies from the National Cancer Institute Cohort </w:t>
      </w:r>
      <w:r w:rsidRPr="00BC7982">
        <w:rPr>
          <w:noProof/>
          <w:sz w:val="24"/>
          <w:szCs w:val="24"/>
        </w:rPr>
        <w:t>Consortium</w:t>
      </w:r>
      <w:r w:rsidRPr="00BC7982">
        <w:rPr>
          <w:sz w:val="24"/>
          <w:szCs w:val="24"/>
        </w:rPr>
        <w:t xml:space="preserve"> described that there were no differences between males and females death estimates, without providing any estimate or </w:t>
      </w:r>
      <w:r w:rsidRPr="00BC7982">
        <w:rPr>
          <w:sz w:val="24"/>
          <w:szCs w:val="24"/>
        </w:rPr>
        <w:lastRenderedPageBreak/>
        <w:t xml:space="preserve">interaction </w:t>
      </w:r>
      <w:r w:rsidRPr="00BC7982">
        <w:rPr>
          <w:noProof/>
          <w:sz w:val="24"/>
          <w:szCs w:val="24"/>
        </w:rPr>
        <w:t>p-value</w:t>
      </w:r>
      <w:r w:rsidRPr="00BC7982">
        <w:rPr>
          <w:sz w:val="24"/>
          <w:szCs w:val="24"/>
        </w:rPr>
        <w:t>.</w:t>
      </w:r>
      <w:r w:rsidRPr="00BC7982">
        <w:rPr>
          <w:noProof/>
          <w:sz w:val="24"/>
          <w:szCs w:val="24"/>
          <w:vertAlign w:val="superscript"/>
        </w:rPr>
        <w:t>3</w:t>
      </w:r>
      <w:r w:rsidRPr="00BC7982">
        <w:rPr>
          <w:sz w:val="24"/>
          <w:szCs w:val="24"/>
        </w:rPr>
        <w:t xml:space="preserve"> However, in the supplementary appendix they report that females had lower overall adjusted estimates than males in the BMI 18.5 - 19.9 kg/m</w:t>
      </w:r>
      <w:r w:rsidRPr="00BC7982">
        <w:rPr>
          <w:sz w:val="24"/>
          <w:szCs w:val="24"/>
          <w:vertAlign w:val="superscript"/>
        </w:rPr>
        <w:t>2</w:t>
      </w:r>
      <w:r w:rsidRPr="00BC7982">
        <w:rPr>
          <w:sz w:val="24"/>
          <w:szCs w:val="24"/>
        </w:rPr>
        <w:t xml:space="preserve"> (HR 1.34 [95% CI 1.30-1.38] and HR 1.60 [95% CI 1.51-1.69], respectively) and 20 - 22.4 kg/m</w:t>
      </w:r>
      <w:r w:rsidRPr="00BC7982">
        <w:rPr>
          <w:sz w:val="24"/>
          <w:szCs w:val="24"/>
          <w:vertAlign w:val="superscript"/>
        </w:rPr>
        <w:t>2</w:t>
      </w:r>
      <w:r w:rsidRPr="00BC7982">
        <w:rPr>
          <w:sz w:val="24"/>
          <w:szCs w:val="24"/>
        </w:rPr>
        <w:t xml:space="preserve"> (HR 1.06 [95% CI 1.04-1.09] and HR 1.18 [95% CI 1.15-1.21], respectively) ranges. A Korean study enrolling 12.8 million adults showed that women had lower all-cause mortality risk estimates in normal weight and underweight individuals.</w:t>
      </w:r>
      <w:r w:rsidRPr="00BC7982">
        <w:rPr>
          <w:noProof/>
          <w:sz w:val="24"/>
          <w:szCs w:val="24"/>
          <w:vertAlign w:val="superscript"/>
        </w:rPr>
        <w:t>4</w:t>
      </w:r>
      <w:r w:rsidRPr="00BC7982">
        <w:rPr>
          <w:sz w:val="24"/>
          <w:szCs w:val="24"/>
        </w:rPr>
        <w:t xml:space="preserve"> Our results are consistent with literature studying healthier cohorts, in which females </w:t>
      </w:r>
      <w:r w:rsidRPr="00BC7982">
        <w:rPr>
          <w:noProof/>
          <w:sz w:val="24"/>
          <w:szCs w:val="24"/>
        </w:rPr>
        <w:t>are associated</w:t>
      </w:r>
      <w:r w:rsidRPr="00BC7982">
        <w:rPr>
          <w:sz w:val="24"/>
          <w:szCs w:val="24"/>
        </w:rPr>
        <w:t xml:space="preserve"> with a lower risk of mortality in BMI categories under 30 kg/m</w:t>
      </w:r>
      <w:r w:rsidRPr="00BC7982">
        <w:rPr>
          <w:sz w:val="24"/>
          <w:szCs w:val="24"/>
          <w:vertAlign w:val="superscript"/>
        </w:rPr>
        <w:t>2</w:t>
      </w:r>
      <w:r w:rsidRPr="00BC7982">
        <w:rPr>
          <w:sz w:val="24"/>
          <w:szCs w:val="24"/>
        </w:rPr>
        <w:t>. A possible explanation for this interaction is that, for the same BMI value, women have more body fat than men.</w:t>
      </w:r>
      <w:r w:rsidRPr="00BC7982">
        <w:rPr>
          <w:noProof/>
          <w:sz w:val="24"/>
          <w:szCs w:val="24"/>
          <w:vertAlign w:val="superscript"/>
        </w:rPr>
        <w:t>5</w:t>
      </w:r>
      <w:r w:rsidRPr="00BC7982">
        <w:rPr>
          <w:sz w:val="24"/>
          <w:szCs w:val="24"/>
        </w:rPr>
        <w:t xml:space="preserve"> Nevertheless, females shared a similar lower BMI risk with males, and they still had a significant reduction in all-cause mortality in the type I obesity category.</w:t>
      </w:r>
    </w:p>
    <w:p w:rsidR="00A917FF" w:rsidRPr="00BC7982" w:rsidRDefault="00A917FF" w:rsidP="0052196B">
      <w:pPr>
        <w:spacing w:line="480" w:lineRule="auto"/>
        <w:ind w:firstLine="720"/>
        <w:jc w:val="both"/>
        <w:rPr>
          <w:sz w:val="24"/>
          <w:szCs w:val="24"/>
        </w:rPr>
      </w:pPr>
      <w:r w:rsidRPr="00BC7982">
        <w:rPr>
          <w:sz w:val="24"/>
          <w:szCs w:val="24"/>
        </w:rPr>
        <w:t xml:space="preserve">This is also the first report of a </w:t>
      </w:r>
      <w:r w:rsidRPr="00BC7982">
        <w:rPr>
          <w:noProof/>
          <w:sz w:val="24"/>
          <w:szCs w:val="24"/>
        </w:rPr>
        <w:t>geographic region</w:t>
      </w:r>
      <w:r w:rsidRPr="00BC7982">
        <w:rPr>
          <w:sz w:val="24"/>
          <w:szCs w:val="24"/>
        </w:rPr>
        <w:t xml:space="preserve"> interaction, between Asian and non-Asian countries. Similar to gender, previous reports described that Asians had lower BMI values for the same body fat amount compared to similar white populations.</w:t>
      </w:r>
      <w:r w:rsidRPr="00BC7982">
        <w:rPr>
          <w:noProof/>
          <w:sz w:val="24"/>
          <w:szCs w:val="24"/>
          <w:vertAlign w:val="superscript"/>
        </w:rPr>
        <w:t>6</w:t>
      </w:r>
      <w:r w:rsidRPr="00BC7982">
        <w:rPr>
          <w:sz w:val="24"/>
          <w:szCs w:val="24"/>
        </w:rPr>
        <w:t xml:space="preserve"> This pushed the World Health Organization to consider lower BMI thresholds for obesity categorization in the Asian population.</w:t>
      </w:r>
      <w:r w:rsidRPr="00BC7982">
        <w:rPr>
          <w:noProof/>
          <w:sz w:val="24"/>
          <w:szCs w:val="24"/>
          <w:vertAlign w:val="superscript"/>
        </w:rPr>
        <w:t>7,8</w:t>
      </w:r>
      <w:r w:rsidRPr="00BC7982">
        <w:rPr>
          <w:sz w:val="24"/>
          <w:szCs w:val="24"/>
        </w:rPr>
        <w:t xml:space="preserve"> BMI is supposed to be a tool for estimating excess body fat, but as previously stated, BMI underestimate total body fat in females and Asians. As a consequence, both sex and </w:t>
      </w:r>
      <w:r w:rsidRPr="00BC7982">
        <w:rPr>
          <w:noProof/>
          <w:sz w:val="24"/>
          <w:szCs w:val="24"/>
        </w:rPr>
        <w:t>geographic region</w:t>
      </w:r>
      <w:r w:rsidRPr="00BC7982">
        <w:rPr>
          <w:sz w:val="24"/>
          <w:szCs w:val="24"/>
        </w:rPr>
        <w:t xml:space="preserve"> effect modifications found in our analysis might be a BMI artifact than a real interaction between body fat and all-cause mortality.</w:t>
      </w:r>
    </w:p>
    <w:p w:rsidR="00A917FF" w:rsidRPr="00BC7982" w:rsidRDefault="00A917FF" w:rsidP="0052196B">
      <w:pPr>
        <w:spacing w:line="480" w:lineRule="auto"/>
        <w:ind w:firstLine="720"/>
        <w:jc w:val="both"/>
        <w:rPr>
          <w:sz w:val="24"/>
          <w:szCs w:val="24"/>
        </w:rPr>
      </w:pPr>
      <w:r w:rsidRPr="00BC7982">
        <w:rPr>
          <w:sz w:val="24"/>
          <w:szCs w:val="24"/>
        </w:rPr>
        <w:t xml:space="preserve">BMI has </w:t>
      </w:r>
      <w:r w:rsidRPr="00BC7982">
        <w:rPr>
          <w:noProof/>
          <w:sz w:val="24"/>
          <w:szCs w:val="24"/>
        </w:rPr>
        <w:t>been questioned</w:t>
      </w:r>
      <w:r w:rsidRPr="00BC7982">
        <w:rPr>
          <w:sz w:val="24"/>
          <w:szCs w:val="24"/>
        </w:rPr>
        <w:t xml:space="preserve"> for its inaccuracy in estimating body fat.</w:t>
      </w:r>
      <w:r w:rsidRPr="00BC7982">
        <w:rPr>
          <w:noProof/>
          <w:sz w:val="24"/>
          <w:szCs w:val="24"/>
          <w:vertAlign w:val="superscript"/>
        </w:rPr>
        <w:t>9</w:t>
      </w:r>
      <w:r w:rsidRPr="00BC7982">
        <w:rPr>
          <w:sz w:val="24"/>
          <w:szCs w:val="24"/>
        </w:rPr>
        <w:t xml:space="preserve"> Other anthropometric measures, such as waist circumference, waist-to-hip ratio (WHR) or bioelectrical impedance </w:t>
      </w:r>
      <w:r w:rsidRPr="00BC7982">
        <w:rPr>
          <w:noProof/>
          <w:sz w:val="24"/>
          <w:szCs w:val="24"/>
        </w:rPr>
        <w:t>were not consistently measured</w:t>
      </w:r>
      <w:r w:rsidRPr="00BC7982">
        <w:rPr>
          <w:sz w:val="24"/>
          <w:szCs w:val="24"/>
        </w:rPr>
        <w:t xml:space="preserve"> across the 8 trials included. Some </w:t>
      </w:r>
      <w:r w:rsidRPr="00BC7982">
        <w:rPr>
          <w:sz w:val="24"/>
          <w:szCs w:val="24"/>
        </w:rPr>
        <w:lastRenderedPageBreak/>
        <w:t xml:space="preserve">articles </w:t>
      </w:r>
      <w:r w:rsidRPr="00BC7982">
        <w:rPr>
          <w:noProof/>
          <w:sz w:val="24"/>
          <w:szCs w:val="24"/>
        </w:rPr>
        <w:t>included</w:t>
      </w:r>
      <w:r w:rsidRPr="00BC7982">
        <w:rPr>
          <w:sz w:val="24"/>
          <w:szCs w:val="24"/>
        </w:rPr>
        <w:t xml:space="preserve"> in the systematic review highlighted in Chapter 2, presented waist and hip circumference results. </w:t>
      </w:r>
      <w:proofErr w:type="spellStart"/>
      <w:r w:rsidRPr="00BC7982">
        <w:rPr>
          <w:sz w:val="24"/>
          <w:szCs w:val="24"/>
        </w:rPr>
        <w:t>Herrman</w:t>
      </w:r>
      <w:proofErr w:type="spellEnd"/>
      <w:r w:rsidRPr="00BC7982">
        <w:rPr>
          <w:sz w:val="24"/>
          <w:szCs w:val="24"/>
        </w:rPr>
        <w:t xml:space="preserve"> </w:t>
      </w:r>
      <w:proofErr w:type="gramStart"/>
      <w:r w:rsidRPr="00BC7982">
        <w:rPr>
          <w:sz w:val="24"/>
          <w:szCs w:val="24"/>
        </w:rPr>
        <w:t>et</w:t>
      </w:r>
      <w:proofErr w:type="gramEnd"/>
      <w:r w:rsidRPr="00BC7982">
        <w:rPr>
          <w:sz w:val="24"/>
          <w:szCs w:val="24"/>
        </w:rPr>
        <w:t xml:space="preserve">. </w:t>
      </w:r>
      <w:proofErr w:type="gramStart"/>
      <w:r w:rsidRPr="00BC7982">
        <w:rPr>
          <w:sz w:val="24"/>
          <w:szCs w:val="24"/>
        </w:rPr>
        <w:t>al</w:t>
      </w:r>
      <w:proofErr w:type="gramEnd"/>
      <w:r w:rsidRPr="00BC7982">
        <w:rPr>
          <w:sz w:val="24"/>
          <w:szCs w:val="24"/>
        </w:rPr>
        <w:t xml:space="preserve"> reported that the BMI-mortality association </w:t>
      </w:r>
      <w:r w:rsidRPr="00BC7982">
        <w:rPr>
          <w:noProof/>
          <w:sz w:val="24"/>
          <w:szCs w:val="24"/>
        </w:rPr>
        <w:t>did not</w:t>
      </w:r>
      <w:r w:rsidRPr="00BC7982">
        <w:rPr>
          <w:sz w:val="24"/>
          <w:szCs w:val="24"/>
        </w:rPr>
        <w:t xml:space="preserve"> change after considering waist circumference in the analysis.</w:t>
      </w:r>
      <w:r w:rsidRPr="00BC7982">
        <w:rPr>
          <w:noProof/>
          <w:sz w:val="24"/>
          <w:szCs w:val="24"/>
          <w:vertAlign w:val="superscript"/>
        </w:rPr>
        <w:t>10</w:t>
      </w:r>
      <w:r w:rsidRPr="00BC7982">
        <w:rPr>
          <w:sz w:val="24"/>
          <w:szCs w:val="24"/>
        </w:rPr>
        <w:t xml:space="preserve"> </w:t>
      </w:r>
      <w:proofErr w:type="spellStart"/>
      <w:r w:rsidRPr="00BC7982">
        <w:rPr>
          <w:sz w:val="24"/>
          <w:szCs w:val="24"/>
        </w:rPr>
        <w:t>Kragelund</w:t>
      </w:r>
      <w:proofErr w:type="spellEnd"/>
      <w:r w:rsidRPr="00BC7982">
        <w:rPr>
          <w:sz w:val="24"/>
          <w:szCs w:val="24"/>
        </w:rPr>
        <w:t xml:space="preserve"> et. </w:t>
      </w:r>
      <w:proofErr w:type="gramStart"/>
      <w:r w:rsidRPr="00BC7982">
        <w:rPr>
          <w:sz w:val="24"/>
          <w:szCs w:val="24"/>
        </w:rPr>
        <w:t>al</w:t>
      </w:r>
      <w:proofErr w:type="gramEnd"/>
      <w:r w:rsidRPr="00BC7982">
        <w:rPr>
          <w:sz w:val="24"/>
          <w:szCs w:val="24"/>
        </w:rPr>
        <w:t xml:space="preserve"> found a flat RR with </w:t>
      </w:r>
      <w:r w:rsidRPr="00BC7982">
        <w:rPr>
          <w:noProof/>
          <w:sz w:val="24"/>
          <w:szCs w:val="24"/>
        </w:rPr>
        <w:t>reasonable</w:t>
      </w:r>
      <w:r w:rsidRPr="00BC7982">
        <w:rPr>
          <w:sz w:val="24"/>
          <w:szCs w:val="24"/>
        </w:rPr>
        <w:t xml:space="preserve"> narrow 95% confidence intervals between the first three WHR </w:t>
      </w:r>
      <w:r w:rsidRPr="00BC7982">
        <w:rPr>
          <w:noProof/>
          <w:sz w:val="24"/>
          <w:szCs w:val="24"/>
        </w:rPr>
        <w:t>quartiles,</w:t>
      </w:r>
      <w:r w:rsidRPr="00BC7982">
        <w:rPr>
          <w:sz w:val="24"/>
          <w:szCs w:val="24"/>
        </w:rPr>
        <w:t xml:space="preserve"> and increased mortality in the highest quartile.</w:t>
      </w:r>
      <w:r w:rsidRPr="00BC7982">
        <w:rPr>
          <w:noProof/>
          <w:sz w:val="24"/>
          <w:szCs w:val="24"/>
          <w:vertAlign w:val="superscript"/>
        </w:rPr>
        <w:t>11</w:t>
      </w:r>
      <w:r w:rsidRPr="00BC7982">
        <w:rPr>
          <w:sz w:val="24"/>
          <w:szCs w:val="24"/>
        </w:rPr>
        <w:t xml:space="preserve"> Lee et. </w:t>
      </w:r>
      <w:r w:rsidRPr="00BC7982">
        <w:rPr>
          <w:noProof/>
          <w:sz w:val="24"/>
          <w:szCs w:val="24"/>
        </w:rPr>
        <w:t>al</w:t>
      </w:r>
      <w:r w:rsidRPr="00BC7982">
        <w:rPr>
          <w:sz w:val="24"/>
          <w:szCs w:val="24"/>
        </w:rPr>
        <w:t xml:space="preserve"> described an increased WHR was associated with an increased risk of </w:t>
      </w:r>
      <w:r w:rsidRPr="00BC7982">
        <w:rPr>
          <w:noProof/>
          <w:sz w:val="24"/>
          <w:szCs w:val="24"/>
        </w:rPr>
        <w:t>death</w:t>
      </w:r>
      <w:r w:rsidRPr="00BC7982">
        <w:rPr>
          <w:sz w:val="24"/>
          <w:szCs w:val="24"/>
        </w:rPr>
        <w:t xml:space="preserve"> among Koreans after STEMI.</w:t>
      </w:r>
      <w:r w:rsidRPr="00BC7982">
        <w:rPr>
          <w:noProof/>
          <w:sz w:val="24"/>
          <w:szCs w:val="24"/>
          <w:vertAlign w:val="superscript"/>
        </w:rPr>
        <w:t>12</w:t>
      </w:r>
      <w:r w:rsidRPr="00BC7982">
        <w:rPr>
          <w:sz w:val="24"/>
          <w:szCs w:val="24"/>
        </w:rPr>
        <w:t xml:space="preserve"> If high WHR values are associated with increased mortality, given that high BMI values are more likely to have higher WHR values, this will behave as a negative confounder: accounting for it may actually increase the risk reduction among high BMI categories. This is supported by our analysis from the OASIS 4 study, in which estimates and confidence interval did not materially change when considering waist-to-hip ratio in the model.</w:t>
      </w:r>
    </w:p>
    <w:p w:rsidR="00A917FF" w:rsidRPr="00BC7982" w:rsidRDefault="00A917FF" w:rsidP="0052196B">
      <w:pPr>
        <w:spacing w:line="480" w:lineRule="auto"/>
        <w:jc w:val="both"/>
        <w:rPr>
          <w:sz w:val="24"/>
          <w:szCs w:val="24"/>
        </w:rPr>
      </w:pPr>
    </w:p>
    <w:p w:rsidR="00A917FF" w:rsidRPr="00BC7982" w:rsidRDefault="00A917FF" w:rsidP="0052196B">
      <w:pPr>
        <w:spacing w:line="480" w:lineRule="auto"/>
        <w:jc w:val="both"/>
        <w:rPr>
          <w:b/>
          <w:sz w:val="24"/>
          <w:szCs w:val="24"/>
        </w:rPr>
      </w:pPr>
      <w:r w:rsidRPr="00BC7982">
        <w:rPr>
          <w:b/>
          <w:sz w:val="24"/>
          <w:szCs w:val="24"/>
        </w:rPr>
        <w:t>Insights on the obesity paradox mechanisms</w:t>
      </w:r>
    </w:p>
    <w:p w:rsidR="00A917FF" w:rsidRPr="00BC7982" w:rsidRDefault="00A917FF" w:rsidP="0052196B">
      <w:pPr>
        <w:spacing w:line="480" w:lineRule="auto"/>
        <w:ind w:firstLine="720"/>
        <w:jc w:val="both"/>
        <w:rPr>
          <w:sz w:val="24"/>
          <w:szCs w:val="24"/>
        </w:rPr>
      </w:pPr>
      <w:r w:rsidRPr="00BC7982">
        <w:rPr>
          <w:sz w:val="24"/>
          <w:szCs w:val="24"/>
        </w:rPr>
        <w:t xml:space="preserve">Our study detected a similar </w:t>
      </w:r>
      <w:r>
        <w:rPr>
          <w:sz w:val="24"/>
          <w:szCs w:val="24"/>
        </w:rPr>
        <w:t xml:space="preserve">degree of lower </w:t>
      </w:r>
      <w:r w:rsidRPr="00BC7982">
        <w:rPr>
          <w:sz w:val="24"/>
          <w:szCs w:val="24"/>
        </w:rPr>
        <w:t>all-cause mortality and cardiovascular m</w:t>
      </w:r>
      <w:r>
        <w:rPr>
          <w:sz w:val="24"/>
          <w:szCs w:val="24"/>
        </w:rPr>
        <w:t>ortality (91.6 % of all deaths)</w:t>
      </w:r>
      <w:r w:rsidRPr="00BC7982">
        <w:rPr>
          <w:sz w:val="24"/>
          <w:szCs w:val="24"/>
        </w:rPr>
        <w:t xml:space="preserve"> in the overweight and </w:t>
      </w:r>
      <w:r w:rsidRPr="00BC7982">
        <w:rPr>
          <w:noProof/>
          <w:sz w:val="24"/>
          <w:szCs w:val="24"/>
        </w:rPr>
        <w:t>type</w:t>
      </w:r>
      <w:r w:rsidRPr="00BC7982">
        <w:rPr>
          <w:sz w:val="24"/>
          <w:szCs w:val="24"/>
        </w:rPr>
        <w:t xml:space="preserve"> I obese individuals, with no association with </w:t>
      </w:r>
      <w:r w:rsidRPr="00BC7982">
        <w:rPr>
          <w:noProof/>
          <w:sz w:val="24"/>
          <w:szCs w:val="24"/>
        </w:rPr>
        <w:t>non</w:t>
      </w:r>
      <w:r w:rsidRPr="00BC7982">
        <w:rPr>
          <w:noProof/>
          <w:sz w:val="24"/>
          <w:szCs w:val="24"/>
          <w:lang w:val="en-CA"/>
        </w:rPr>
        <w:t>-cardiovascular mortality</w:t>
      </w:r>
      <w:r w:rsidRPr="00BC7982">
        <w:rPr>
          <w:sz w:val="24"/>
          <w:szCs w:val="24"/>
        </w:rPr>
        <w:t xml:space="preserve">. This suggests a </w:t>
      </w:r>
      <w:r>
        <w:rPr>
          <w:sz w:val="24"/>
          <w:szCs w:val="24"/>
        </w:rPr>
        <w:t xml:space="preserve">lower risk </w:t>
      </w:r>
      <w:r w:rsidRPr="00BC7982">
        <w:rPr>
          <w:sz w:val="24"/>
          <w:szCs w:val="24"/>
        </w:rPr>
        <w:t xml:space="preserve">in cardiovascular mortality as the </w:t>
      </w:r>
      <w:r w:rsidRPr="00BC7982">
        <w:rPr>
          <w:noProof/>
          <w:sz w:val="24"/>
          <w:szCs w:val="24"/>
        </w:rPr>
        <w:t>main</w:t>
      </w:r>
      <w:r w:rsidRPr="00BC7982">
        <w:rPr>
          <w:sz w:val="24"/>
          <w:szCs w:val="24"/>
        </w:rPr>
        <w:t xml:space="preserve"> mechanism </w:t>
      </w:r>
      <w:r w:rsidRPr="00BC7982">
        <w:rPr>
          <w:noProof/>
          <w:sz w:val="24"/>
          <w:szCs w:val="24"/>
        </w:rPr>
        <w:t>in</w:t>
      </w:r>
      <w:r w:rsidRPr="00BC7982">
        <w:rPr>
          <w:sz w:val="24"/>
          <w:szCs w:val="24"/>
        </w:rPr>
        <w:t xml:space="preserve"> </w:t>
      </w:r>
      <w:r>
        <w:rPr>
          <w:sz w:val="24"/>
          <w:szCs w:val="24"/>
        </w:rPr>
        <w:t>the lower</w:t>
      </w:r>
      <w:r w:rsidRPr="00BC7982">
        <w:rPr>
          <w:sz w:val="24"/>
          <w:szCs w:val="24"/>
        </w:rPr>
        <w:t xml:space="preserve"> </w:t>
      </w:r>
      <w:r>
        <w:rPr>
          <w:sz w:val="24"/>
          <w:szCs w:val="24"/>
        </w:rPr>
        <w:t>all-cause mortality</w:t>
      </w:r>
      <w:r w:rsidRPr="00BC7982">
        <w:rPr>
          <w:sz w:val="24"/>
          <w:szCs w:val="24"/>
        </w:rPr>
        <w:t xml:space="preserve"> in these two high BMI categories. None of the studies included in the systematic review analyzed cardiovascular mortality specifically. </w:t>
      </w:r>
      <w:r w:rsidRPr="00BC7982">
        <w:rPr>
          <w:noProof/>
          <w:sz w:val="24"/>
          <w:szCs w:val="24"/>
        </w:rPr>
        <w:t xml:space="preserve">Results from a systematic review of patients with coronary artery disease, which has shown significant reduction in all-cause mortality in overweight individuals, failed to </w:t>
      </w:r>
      <w:r w:rsidRPr="00BC7982">
        <w:rPr>
          <w:noProof/>
          <w:sz w:val="24"/>
          <w:szCs w:val="24"/>
        </w:rPr>
        <w:lastRenderedPageBreak/>
        <w:t>detect significant reduction in cardiovascular death in the overweight and type I obesity categories.</w:t>
      </w:r>
      <w:r w:rsidRPr="00BC7982">
        <w:rPr>
          <w:noProof/>
          <w:sz w:val="24"/>
          <w:szCs w:val="24"/>
          <w:vertAlign w:val="superscript"/>
        </w:rPr>
        <w:t>13</w:t>
      </w:r>
    </w:p>
    <w:p w:rsidR="00A917FF" w:rsidRPr="00BC7982" w:rsidRDefault="00A917FF" w:rsidP="0052196B">
      <w:pPr>
        <w:spacing w:line="480" w:lineRule="auto"/>
        <w:ind w:firstLine="720"/>
        <w:jc w:val="both"/>
        <w:rPr>
          <w:sz w:val="24"/>
          <w:szCs w:val="24"/>
        </w:rPr>
      </w:pPr>
      <w:r w:rsidRPr="00BC7982">
        <w:rPr>
          <w:sz w:val="24"/>
          <w:szCs w:val="24"/>
        </w:rPr>
        <w:t xml:space="preserve">Only the overweight category </w:t>
      </w:r>
      <w:r w:rsidRPr="00BC7982">
        <w:rPr>
          <w:noProof/>
          <w:sz w:val="24"/>
          <w:szCs w:val="24"/>
        </w:rPr>
        <w:t>was associated</w:t>
      </w:r>
      <w:r w:rsidRPr="00BC7982">
        <w:rPr>
          <w:sz w:val="24"/>
          <w:szCs w:val="24"/>
        </w:rPr>
        <w:t xml:space="preserve"> with lower myocardial infarction risk, with </w:t>
      </w:r>
      <w:r w:rsidRPr="00BC7982">
        <w:rPr>
          <w:noProof/>
          <w:sz w:val="24"/>
          <w:szCs w:val="24"/>
        </w:rPr>
        <w:t>a HR</w:t>
      </w:r>
      <w:r w:rsidRPr="00BC7982">
        <w:rPr>
          <w:sz w:val="24"/>
          <w:szCs w:val="24"/>
        </w:rPr>
        <w:t xml:space="preserve"> of 0.90 (95% CI 0.84 - 0.98). This single estimate is unlikely to be the whole explanation of a 20% reduction in all-cause and cardiovascular mortality in the overweight category. The fact that all high BMI categories </w:t>
      </w:r>
      <w:r w:rsidRPr="00BC7982">
        <w:rPr>
          <w:noProof/>
          <w:sz w:val="24"/>
          <w:szCs w:val="24"/>
        </w:rPr>
        <w:t>were associated</w:t>
      </w:r>
      <w:r w:rsidRPr="00BC7982">
        <w:rPr>
          <w:sz w:val="24"/>
          <w:szCs w:val="24"/>
        </w:rPr>
        <w:t xml:space="preserve"> with reduced risk of refractory angina is also unlikely to explain an overall reduction in mortality, if MI is the mediator between ischemia and death. However, ischemic events may have other pathway</w:t>
      </w:r>
      <w:r>
        <w:rPr>
          <w:sz w:val="24"/>
          <w:szCs w:val="24"/>
        </w:rPr>
        <w:t>s</w:t>
      </w:r>
      <w:r w:rsidRPr="00BC7982">
        <w:rPr>
          <w:sz w:val="24"/>
          <w:szCs w:val="24"/>
        </w:rPr>
        <w:t xml:space="preserve"> to increase mortality, rather than MI. If obese patients experience less ischemic events, they may be less aggressively treated with </w:t>
      </w:r>
      <w:proofErr w:type="spellStart"/>
      <w:r w:rsidRPr="00BC7982">
        <w:rPr>
          <w:sz w:val="24"/>
          <w:szCs w:val="24"/>
        </w:rPr>
        <w:t>antiplatelets</w:t>
      </w:r>
      <w:proofErr w:type="spellEnd"/>
      <w:r w:rsidRPr="00BC7982">
        <w:rPr>
          <w:sz w:val="24"/>
          <w:szCs w:val="24"/>
        </w:rPr>
        <w:t xml:space="preserve"> and anticoagulants, with a concomitant reduced risk of bleeding, and later risk of death. Also, ischemic events may trigger lethal ventricular arrhythmias, without MI. Although these mechanisms may not be critical in the association between refractory ischemia and cardiovascular mortality in high BMI patients, we cannot reject its contribution in this interesting association.</w:t>
      </w:r>
    </w:p>
    <w:p w:rsidR="00A917FF" w:rsidRPr="00BC7982" w:rsidRDefault="00A917FF" w:rsidP="0052196B">
      <w:pPr>
        <w:spacing w:line="480" w:lineRule="auto"/>
        <w:ind w:firstLine="720"/>
        <w:jc w:val="both"/>
        <w:rPr>
          <w:sz w:val="24"/>
          <w:szCs w:val="24"/>
        </w:rPr>
      </w:pPr>
      <w:r w:rsidRPr="00BC7982">
        <w:rPr>
          <w:sz w:val="24"/>
          <w:szCs w:val="24"/>
        </w:rPr>
        <w:t xml:space="preserve">Previous research hypothesized that high BMI individuals had better outcomes after ACS secondary to </w:t>
      </w:r>
      <w:r>
        <w:rPr>
          <w:sz w:val="24"/>
          <w:szCs w:val="24"/>
        </w:rPr>
        <w:t xml:space="preserve">better outcomes after </w:t>
      </w:r>
      <w:r w:rsidRPr="00BC7982">
        <w:rPr>
          <w:sz w:val="24"/>
          <w:szCs w:val="24"/>
        </w:rPr>
        <w:t>PCI. Our r</w:t>
      </w:r>
      <w:r>
        <w:rPr>
          <w:sz w:val="24"/>
          <w:szCs w:val="24"/>
        </w:rPr>
        <w:t>e</w:t>
      </w:r>
      <w:r w:rsidRPr="00BC7982">
        <w:rPr>
          <w:sz w:val="24"/>
          <w:szCs w:val="24"/>
        </w:rPr>
        <w:t xml:space="preserve">sults showed no effect of BMI in target vessel or target lesion revascularization, as well as stent thrombosis. However, the </w:t>
      </w:r>
      <w:r w:rsidRPr="00BC7982">
        <w:rPr>
          <w:noProof/>
          <w:sz w:val="24"/>
          <w:szCs w:val="24"/>
        </w:rPr>
        <w:t>literature</w:t>
      </w:r>
      <w:r w:rsidRPr="00BC7982">
        <w:rPr>
          <w:sz w:val="24"/>
          <w:szCs w:val="24"/>
        </w:rPr>
        <w:t xml:space="preserve"> </w:t>
      </w:r>
      <w:r w:rsidRPr="00BC7982">
        <w:rPr>
          <w:noProof/>
          <w:sz w:val="24"/>
          <w:szCs w:val="24"/>
        </w:rPr>
        <w:t>on</w:t>
      </w:r>
      <w:r w:rsidRPr="00BC7982">
        <w:rPr>
          <w:sz w:val="24"/>
          <w:szCs w:val="24"/>
        </w:rPr>
        <w:t xml:space="preserve"> these outcomes in post-PCI patients is conflicti</w:t>
      </w:r>
      <w:r>
        <w:rPr>
          <w:sz w:val="24"/>
          <w:szCs w:val="24"/>
        </w:rPr>
        <w:t>ng.</w:t>
      </w:r>
      <w:r w:rsidRPr="00BC7982">
        <w:rPr>
          <w:sz w:val="24"/>
          <w:szCs w:val="24"/>
        </w:rPr>
        <w:t xml:space="preserve"> Martin </w:t>
      </w:r>
      <w:proofErr w:type="gramStart"/>
      <w:r w:rsidRPr="00BC7982">
        <w:rPr>
          <w:sz w:val="24"/>
          <w:szCs w:val="24"/>
        </w:rPr>
        <w:t>et</w:t>
      </w:r>
      <w:proofErr w:type="gramEnd"/>
      <w:r w:rsidRPr="00BC7982">
        <w:rPr>
          <w:sz w:val="24"/>
          <w:szCs w:val="24"/>
        </w:rPr>
        <w:t xml:space="preserve">. </w:t>
      </w:r>
      <w:proofErr w:type="gramStart"/>
      <w:r w:rsidRPr="00BC7982">
        <w:rPr>
          <w:sz w:val="24"/>
          <w:szCs w:val="24"/>
        </w:rPr>
        <w:t>al</w:t>
      </w:r>
      <w:proofErr w:type="gramEnd"/>
      <w:r w:rsidRPr="00BC7982">
        <w:rPr>
          <w:sz w:val="24"/>
          <w:szCs w:val="24"/>
        </w:rPr>
        <w:t xml:space="preserve"> described and increased </w:t>
      </w:r>
      <w:r w:rsidRPr="00BC7982">
        <w:rPr>
          <w:noProof/>
          <w:sz w:val="24"/>
          <w:szCs w:val="24"/>
        </w:rPr>
        <w:t>risk</w:t>
      </w:r>
      <w:r w:rsidRPr="00BC7982">
        <w:rPr>
          <w:sz w:val="24"/>
          <w:szCs w:val="24"/>
        </w:rPr>
        <w:t xml:space="preserve"> of TVR in high BMI patients with planned </w:t>
      </w:r>
      <w:r w:rsidRPr="00BC7982">
        <w:rPr>
          <w:noProof/>
          <w:sz w:val="24"/>
          <w:szCs w:val="24"/>
        </w:rPr>
        <w:t>PCI,</w:t>
      </w:r>
      <w:r w:rsidRPr="00BC7982">
        <w:rPr>
          <w:sz w:val="24"/>
          <w:szCs w:val="24"/>
        </w:rPr>
        <w:t xml:space="preserve"> while </w:t>
      </w:r>
      <w:proofErr w:type="spellStart"/>
      <w:r w:rsidRPr="00BC7982">
        <w:rPr>
          <w:sz w:val="24"/>
          <w:szCs w:val="24"/>
        </w:rPr>
        <w:t>Schmiegelow</w:t>
      </w:r>
      <w:proofErr w:type="spellEnd"/>
      <w:r w:rsidRPr="00BC7982">
        <w:rPr>
          <w:sz w:val="24"/>
          <w:szCs w:val="24"/>
        </w:rPr>
        <w:t xml:space="preserve"> et. al </w:t>
      </w:r>
      <w:r w:rsidRPr="00BC7982">
        <w:rPr>
          <w:noProof/>
          <w:sz w:val="24"/>
          <w:szCs w:val="24"/>
        </w:rPr>
        <w:t>concluded that</w:t>
      </w:r>
      <w:r w:rsidRPr="00BC7982">
        <w:rPr>
          <w:sz w:val="24"/>
          <w:szCs w:val="24"/>
        </w:rPr>
        <w:t xml:space="preserve"> BMI was inversely related to TVR and stent thrombosis.</w:t>
      </w:r>
      <w:r w:rsidRPr="00BC7982">
        <w:rPr>
          <w:noProof/>
          <w:sz w:val="24"/>
          <w:szCs w:val="24"/>
          <w:vertAlign w:val="superscript"/>
        </w:rPr>
        <w:t>14,15</w:t>
      </w:r>
      <w:r w:rsidRPr="00BC7982">
        <w:rPr>
          <w:sz w:val="24"/>
          <w:szCs w:val="24"/>
        </w:rPr>
        <w:t xml:space="preserve"> According to our results, the advantage in mortality </w:t>
      </w:r>
      <w:r w:rsidRPr="00BC7982">
        <w:rPr>
          <w:sz w:val="24"/>
          <w:szCs w:val="24"/>
        </w:rPr>
        <w:lastRenderedPageBreak/>
        <w:t>among overweight and type I obese participants is unlikely to be a consequence of better PCI-related outcomes.</w:t>
      </w:r>
      <w:hyperlink w:anchor="_ENREF_11" w:tooltip="Martin, 2006 #1987" w:history="1"/>
    </w:p>
    <w:p w:rsidR="00A917FF" w:rsidRPr="00BC7982" w:rsidRDefault="00A917FF" w:rsidP="0052196B">
      <w:pPr>
        <w:spacing w:line="480" w:lineRule="auto"/>
        <w:ind w:firstLine="720"/>
        <w:jc w:val="both"/>
        <w:rPr>
          <w:sz w:val="24"/>
          <w:szCs w:val="24"/>
        </w:rPr>
      </w:pPr>
      <w:r w:rsidRPr="00BC7982">
        <w:rPr>
          <w:sz w:val="24"/>
          <w:szCs w:val="24"/>
        </w:rPr>
        <w:t xml:space="preserve">The obesity paradox </w:t>
      </w:r>
      <w:r w:rsidRPr="00BC7982">
        <w:rPr>
          <w:noProof/>
          <w:sz w:val="24"/>
          <w:szCs w:val="24"/>
        </w:rPr>
        <w:t>was repeatedly described</w:t>
      </w:r>
      <w:r w:rsidRPr="00BC7982">
        <w:rPr>
          <w:sz w:val="24"/>
          <w:szCs w:val="24"/>
        </w:rPr>
        <w:t xml:space="preserve"> </w:t>
      </w:r>
      <w:r w:rsidRPr="00BC7982">
        <w:rPr>
          <w:noProof/>
          <w:sz w:val="24"/>
          <w:szCs w:val="24"/>
        </w:rPr>
        <w:t>in</w:t>
      </w:r>
      <w:r w:rsidRPr="00BC7982">
        <w:rPr>
          <w:sz w:val="24"/>
          <w:szCs w:val="24"/>
        </w:rPr>
        <w:t xml:space="preserve"> heart failure </w:t>
      </w:r>
      <w:r>
        <w:rPr>
          <w:sz w:val="24"/>
          <w:szCs w:val="24"/>
        </w:rPr>
        <w:t>patients</w:t>
      </w:r>
      <w:r w:rsidRPr="00BC7982">
        <w:rPr>
          <w:sz w:val="24"/>
          <w:szCs w:val="24"/>
        </w:rPr>
        <w:t xml:space="preserve">, even when </w:t>
      </w:r>
      <w:r w:rsidRPr="00BC7982">
        <w:rPr>
          <w:noProof/>
          <w:sz w:val="24"/>
          <w:szCs w:val="24"/>
        </w:rPr>
        <w:t>pre-morbid</w:t>
      </w:r>
      <w:r w:rsidRPr="00BC7982">
        <w:rPr>
          <w:sz w:val="24"/>
          <w:szCs w:val="24"/>
        </w:rPr>
        <w:t xml:space="preserve"> BMI was available for analysis.</w:t>
      </w:r>
      <w:r w:rsidRPr="00BC7982">
        <w:rPr>
          <w:noProof/>
          <w:sz w:val="24"/>
          <w:szCs w:val="24"/>
          <w:vertAlign w:val="superscript"/>
        </w:rPr>
        <w:t>16</w:t>
      </w:r>
      <w:r w:rsidRPr="00BC7982">
        <w:rPr>
          <w:sz w:val="24"/>
          <w:szCs w:val="24"/>
        </w:rPr>
        <w:t xml:space="preserve"> </w:t>
      </w:r>
      <w:proofErr w:type="gramStart"/>
      <w:r w:rsidRPr="00BC7982">
        <w:rPr>
          <w:sz w:val="24"/>
          <w:szCs w:val="24"/>
        </w:rPr>
        <w:t>Our</w:t>
      </w:r>
      <w:proofErr w:type="gramEnd"/>
      <w:r w:rsidRPr="00BC7982">
        <w:rPr>
          <w:sz w:val="24"/>
          <w:szCs w:val="24"/>
        </w:rPr>
        <w:t xml:space="preserve"> results support this hypothesis in overweight </w:t>
      </w:r>
      <w:r w:rsidRPr="00BC7982">
        <w:rPr>
          <w:noProof/>
          <w:sz w:val="24"/>
          <w:szCs w:val="24"/>
        </w:rPr>
        <w:t>participants,</w:t>
      </w:r>
      <w:r w:rsidRPr="00BC7982">
        <w:rPr>
          <w:sz w:val="24"/>
          <w:szCs w:val="24"/>
        </w:rPr>
        <w:t xml:space="preserve"> since they had lower heart failure hospitalizations and heart failure related deaths. However, the estimates </w:t>
      </w:r>
      <w:r>
        <w:rPr>
          <w:sz w:val="24"/>
          <w:szCs w:val="24"/>
        </w:rPr>
        <w:t xml:space="preserve">of lower risk of mortality </w:t>
      </w:r>
      <w:r w:rsidRPr="00BC7982">
        <w:rPr>
          <w:sz w:val="24"/>
          <w:szCs w:val="24"/>
        </w:rPr>
        <w:t xml:space="preserve">are not </w:t>
      </w:r>
      <w:r>
        <w:rPr>
          <w:sz w:val="24"/>
          <w:szCs w:val="24"/>
        </w:rPr>
        <w:t>sufficiently large</w:t>
      </w:r>
      <w:r w:rsidRPr="00BC7982">
        <w:rPr>
          <w:sz w:val="24"/>
          <w:szCs w:val="24"/>
        </w:rPr>
        <w:t xml:space="preserve"> enough to justify a 20% reduction in all-cause mortality in the overweight category.  Similar findings were consistent for myocardial infarction.</w:t>
      </w:r>
    </w:p>
    <w:p w:rsidR="00A917FF" w:rsidRPr="00BC7982" w:rsidRDefault="00A917FF" w:rsidP="0052196B">
      <w:pPr>
        <w:spacing w:line="480" w:lineRule="auto"/>
        <w:ind w:firstLine="720"/>
        <w:jc w:val="both"/>
        <w:rPr>
          <w:sz w:val="24"/>
          <w:szCs w:val="24"/>
        </w:rPr>
      </w:pPr>
      <w:r w:rsidRPr="00BC7982">
        <w:rPr>
          <w:sz w:val="24"/>
          <w:szCs w:val="24"/>
        </w:rPr>
        <w:t xml:space="preserve">All high BMI categories </w:t>
      </w:r>
      <w:r w:rsidRPr="00BC7982">
        <w:rPr>
          <w:noProof/>
          <w:sz w:val="24"/>
          <w:szCs w:val="24"/>
        </w:rPr>
        <w:t>were associated</w:t>
      </w:r>
      <w:r w:rsidRPr="00BC7982">
        <w:rPr>
          <w:sz w:val="24"/>
          <w:szCs w:val="24"/>
        </w:rPr>
        <w:t xml:space="preserve"> with lower risk of bleeding. Despite this strong and consistent association in our results, this was not always the case across the literature. In a report from the SYNERGY study, investigators </w:t>
      </w:r>
      <w:r w:rsidRPr="00BC7982">
        <w:rPr>
          <w:noProof/>
          <w:sz w:val="24"/>
          <w:szCs w:val="24"/>
        </w:rPr>
        <w:t>did not</w:t>
      </w:r>
      <w:r w:rsidRPr="00BC7982">
        <w:rPr>
          <w:sz w:val="24"/>
          <w:szCs w:val="24"/>
        </w:rPr>
        <w:t xml:space="preserve"> detect an association between BMI and bleeding risk in </w:t>
      </w:r>
      <w:r w:rsidRPr="00BC7982">
        <w:rPr>
          <w:noProof/>
          <w:sz w:val="24"/>
          <w:szCs w:val="24"/>
        </w:rPr>
        <w:t>adjusted</w:t>
      </w:r>
      <w:r w:rsidRPr="00BC7982">
        <w:rPr>
          <w:sz w:val="24"/>
          <w:szCs w:val="24"/>
        </w:rPr>
        <w:t xml:space="preserve"> analysis.</w:t>
      </w:r>
      <w:r w:rsidRPr="00BC7982">
        <w:rPr>
          <w:noProof/>
          <w:sz w:val="24"/>
          <w:szCs w:val="24"/>
          <w:vertAlign w:val="superscript"/>
        </w:rPr>
        <w:t>17</w:t>
      </w:r>
      <w:r w:rsidRPr="00BC7982">
        <w:rPr>
          <w:sz w:val="24"/>
          <w:szCs w:val="24"/>
        </w:rPr>
        <w:t xml:space="preserve"> On the other hand, Das </w:t>
      </w:r>
      <w:proofErr w:type="gramStart"/>
      <w:r w:rsidRPr="00BC7982">
        <w:rPr>
          <w:sz w:val="24"/>
          <w:szCs w:val="24"/>
        </w:rPr>
        <w:t>et</w:t>
      </w:r>
      <w:proofErr w:type="gramEnd"/>
      <w:r w:rsidRPr="00BC7982">
        <w:rPr>
          <w:sz w:val="24"/>
          <w:szCs w:val="24"/>
        </w:rPr>
        <w:t>. al reported reduced in-hospital bleeding risk among the BMI 25 to 40 kg</w:t>
      </w:r>
      <w:r w:rsidRPr="00BC7982">
        <w:rPr>
          <w:sz w:val="24"/>
          <w:szCs w:val="24"/>
          <w:lang w:val="en-CA"/>
        </w:rPr>
        <w:t>/m</w:t>
      </w:r>
      <w:r w:rsidRPr="00BC7982">
        <w:rPr>
          <w:sz w:val="24"/>
          <w:szCs w:val="24"/>
          <w:vertAlign w:val="superscript"/>
          <w:lang w:val="en-CA"/>
        </w:rPr>
        <w:t>2</w:t>
      </w:r>
      <w:r w:rsidRPr="00BC7982">
        <w:rPr>
          <w:sz w:val="24"/>
          <w:szCs w:val="24"/>
          <w:lang w:val="en-CA"/>
        </w:rPr>
        <w:t xml:space="preserve"> </w:t>
      </w:r>
      <w:r w:rsidRPr="00BC7982">
        <w:rPr>
          <w:sz w:val="24"/>
          <w:szCs w:val="24"/>
        </w:rPr>
        <w:t>range.</w:t>
      </w:r>
      <w:r w:rsidRPr="00BC7982">
        <w:rPr>
          <w:noProof/>
          <w:sz w:val="24"/>
          <w:szCs w:val="24"/>
          <w:vertAlign w:val="superscript"/>
        </w:rPr>
        <w:t>18</w:t>
      </w:r>
      <w:r w:rsidRPr="00BC7982">
        <w:rPr>
          <w:sz w:val="24"/>
          <w:szCs w:val="24"/>
        </w:rPr>
        <w:t xml:space="preserve"> Bleeding events after an acute coronary syndrome has </w:t>
      </w:r>
      <w:r w:rsidRPr="00BC7982">
        <w:rPr>
          <w:noProof/>
          <w:sz w:val="24"/>
          <w:szCs w:val="24"/>
        </w:rPr>
        <w:t>been independently associated</w:t>
      </w:r>
      <w:r w:rsidRPr="00BC7982">
        <w:rPr>
          <w:sz w:val="24"/>
          <w:szCs w:val="24"/>
        </w:rPr>
        <w:t xml:space="preserve"> with increased mortality risk.</w:t>
      </w:r>
      <w:r w:rsidRPr="00BC7982">
        <w:rPr>
          <w:noProof/>
          <w:sz w:val="24"/>
          <w:szCs w:val="24"/>
          <w:vertAlign w:val="superscript"/>
        </w:rPr>
        <w:t>19</w:t>
      </w:r>
      <w:r w:rsidRPr="00BC7982">
        <w:rPr>
          <w:sz w:val="24"/>
          <w:szCs w:val="24"/>
        </w:rPr>
        <w:t xml:space="preserve"> In the OASIS 5 trial, patients randomized to </w:t>
      </w:r>
      <w:r w:rsidRPr="00BC7982">
        <w:rPr>
          <w:noProof/>
          <w:sz w:val="24"/>
          <w:szCs w:val="24"/>
        </w:rPr>
        <w:t>fondaparinux</w:t>
      </w:r>
      <w:r w:rsidRPr="00BC7982">
        <w:rPr>
          <w:sz w:val="24"/>
          <w:szCs w:val="24"/>
        </w:rPr>
        <w:t xml:space="preserve"> had lower mortality during follow-up, compared </w:t>
      </w:r>
      <w:r w:rsidRPr="00BC7982">
        <w:rPr>
          <w:noProof/>
          <w:sz w:val="24"/>
          <w:szCs w:val="24"/>
        </w:rPr>
        <w:t>with</w:t>
      </w:r>
      <w:r w:rsidRPr="00BC7982">
        <w:rPr>
          <w:sz w:val="24"/>
          <w:szCs w:val="24"/>
        </w:rPr>
        <w:t xml:space="preserve"> enoxaparin.</w:t>
      </w:r>
      <w:r w:rsidRPr="00BC7982">
        <w:rPr>
          <w:noProof/>
          <w:sz w:val="24"/>
          <w:szCs w:val="24"/>
          <w:vertAlign w:val="superscript"/>
        </w:rPr>
        <w:t>20</w:t>
      </w:r>
      <w:r w:rsidRPr="00BC7982">
        <w:rPr>
          <w:sz w:val="24"/>
          <w:szCs w:val="24"/>
        </w:rPr>
        <w:t xml:space="preserve"> Participants receiving </w:t>
      </w:r>
      <w:r w:rsidRPr="00BC7982">
        <w:rPr>
          <w:noProof/>
          <w:sz w:val="24"/>
          <w:szCs w:val="24"/>
        </w:rPr>
        <w:t>fondaparinux</w:t>
      </w:r>
      <w:r w:rsidRPr="00BC7982">
        <w:rPr>
          <w:sz w:val="24"/>
          <w:szCs w:val="24"/>
        </w:rPr>
        <w:t xml:space="preserve"> </w:t>
      </w:r>
      <w:r w:rsidRPr="00BC7982">
        <w:rPr>
          <w:noProof/>
          <w:sz w:val="24"/>
          <w:szCs w:val="24"/>
        </w:rPr>
        <w:t>did not</w:t>
      </w:r>
      <w:r w:rsidRPr="00BC7982">
        <w:rPr>
          <w:sz w:val="24"/>
          <w:szCs w:val="24"/>
        </w:rPr>
        <w:t xml:space="preserve"> </w:t>
      </w:r>
      <w:r w:rsidRPr="00BC7982">
        <w:rPr>
          <w:noProof/>
          <w:sz w:val="24"/>
          <w:szCs w:val="24"/>
        </w:rPr>
        <w:t>experienced</w:t>
      </w:r>
      <w:r w:rsidRPr="00BC7982">
        <w:rPr>
          <w:sz w:val="24"/>
          <w:szCs w:val="24"/>
        </w:rPr>
        <w:t xml:space="preserve"> less ischemic events, but they had fewer bleeding events. As a result, reduced mortality risk associated with </w:t>
      </w:r>
      <w:r w:rsidRPr="00BC7982">
        <w:rPr>
          <w:noProof/>
          <w:sz w:val="24"/>
          <w:szCs w:val="24"/>
        </w:rPr>
        <w:t>fondaparinux</w:t>
      </w:r>
      <w:r w:rsidRPr="00BC7982">
        <w:rPr>
          <w:sz w:val="24"/>
          <w:szCs w:val="24"/>
        </w:rPr>
        <w:t xml:space="preserve"> was hypothesized to be driven by a reduction in bleeding. In our analysis, high BMI categories were associated with reduced risk of bleeding, and this may play a critical factor in determining the mortality </w:t>
      </w:r>
      <w:r w:rsidRPr="00BC7982">
        <w:rPr>
          <w:noProof/>
          <w:sz w:val="24"/>
          <w:szCs w:val="24"/>
        </w:rPr>
        <w:t>reduction</w:t>
      </w:r>
      <w:r w:rsidRPr="00BC7982">
        <w:rPr>
          <w:sz w:val="24"/>
          <w:szCs w:val="24"/>
        </w:rPr>
        <w:t xml:space="preserve"> in the overweight and type I obesity categories. </w:t>
      </w:r>
      <w:r w:rsidRPr="00BC7982">
        <w:rPr>
          <w:noProof/>
          <w:sz w:val="24"/>
          <w:szCs w:val="24"/>
        </w:rPr>
        <w:t xml:space="preserve">Some mechanisms were proposed, including, fat tissue compression of access site in PCI procedures </w:t>
      </w:r>
      <w:r>
        <w:rPr>
          <w:noProof/>
          <w:sz w:val="24"/>
          <w:szCs w:val="24"/>
        </w:rPr>
        <w:lastRenderedPageBreak/>
        <w:t xml:space="preserve">and CABG </w:t>
      </w:r>
      <w:r w:rsidRPr="00BC7982">
        <w:rPr>
          <w:noProof/>
          <w:sz w:val="24"/>
          <w:szCs w:val="24"/>
        </w:rPr>
        <w:t>(which can explain short-term bleeding), as well as a relative underdosing of anticoagulants and antiplatelets (which can explain both short- and long-term bleeding).</w:t>
      </w:r>
      <w:r w:rsidRPr="00BC7982">
        <w:rPr>
          <w:noProof/>
          <w:sz w:val="24"/>
          <w:szCs w:val="24"/>
          <w:vertAlign w:val="superscript"/>
        </w:rPr>
        <w:t>18,21</w:t>
      </w:r>
      <w:r w:rsidRPr="00BC7982">
        <w:rPr>
          <w:sz w:val="24"/>
          <w:szCs w:val="24"/>
        </w:rPr>
        <w:t xml:space="preserve"> </w:t>
      </w:r>
    </w:p>
    <w:p w:rsidR="00A917FF" w:rsidRPr="00BC7982" w:rsidRDefault="00A917FF" w:rsidP="0052196B">
      <w:pPr>
        <w:spacing w:line="480" w:lineRule="auto"/>
        <w:ind w:firstLine="720"/>
        <w:jc w:val="both"/>
        <w:rPr>
          <w:sz w:val="24"/>
          <w:szCs w:val="24"/>
        </w:rPr>
      </w:pPr>
      <w:r w:rsidRPr="00BC7982">
        <w:rPr>
          <w:sz w:val="24"/>
          <w:szCs w:val="24"/>
        </w:rPr>
        <w:t>In summary, our individual patient data meta-analysis supports three</w:t>
      </w:r>
      <w:r>
        <w:rPr>
          <w:sz w:val="24"/>
          <w:szCs w:val="24"/>
        </w:rPr>
        <w:t xml:space="preserve"> potential reasons</w:t>
      </w:r>
      <w:r w:rsidRPr="00BC7982">
        <w:rPr>
          <w:sz w:val="24"/>
          <w:szCs w:val="24"/>
        </w:rPr>
        <w:t xml:space="preserve"> for explaining the obesity paradox in acute coronary syndromes: (1) reduced ischemic events, (2) improved heart failure survival and (3) reduced risk of bleeding. The fact that the overweight and type I obese participants experienced lower mortality rates, may raise the concern of competing risk bias with secondary outcomes, deviating the estimates towards the null. </w:t>
      </w:r>
      <w:r w:rsidRPr="00BC7982">
        <w:rPr>
          <w:noProof/>
          <w:sz w:val="24"/>
          <w:szCs w:val="24"/>
        </w:rPr>
        <w:t>Patients who died before a first occurrence of the secondary outcome of interest were censored for survival analysis, which may violate the independence assumption of survival analysis (e.g.</w:t>
      </w:r>
      <w:r>
        <w:rPr>
          <w:noProof/>
          <w:sz w:val="24"/>
          <w:szCs w:val="24"/>
        </w:rPr>
        <w:t>, in the case that</w:t>
      </w:r>
      <w:r w:rsidRPr="00BC7982">
        <w:rPr>
          <w:noProof/>
          <w:sz w:val="24"/>
          <w:szCs w:val="24"/>
        </w:rPr>
        <w:t xml:space="preserve"> patients who died during follow-up were more likely to have an MI or bleeding event than those censored at the end of the study).</w:t>
      </w:r>
      <w:r w:rsidRPr="00BC7982">
        <w:rPr>
          <w:sz w:val="24"/>
          <w:szCs w:val="24"/>
        </w:rPr>
        <w:t xml:space="preserve"> Moreover, this may be exacerbated if patients experienced </w:t>
      </w:r>
      <w:r>
        <w:rPr>
          <w:sz w:val="24"/>
          <w:szCs w:val="24"/>
        </w:rPr>
        <w:t>a secondary outcome and</w:t>
      </w:r>
      <w:r w:rsidRPr="00BC7982">
        <w:rPr>
          <w:sz w:val="24"/>
          <w:szCs w:val="24"/>
        </w:rPr>
        <w:t xml:space="preserve"> </w:t>
      </w:r>
      <w:r>
        <w:rPr>
          <w:sz w:val="24"/>
          <w:szCs w:val="24"/>
        </w:rPr>
        <w:t>subsequent</w:t>
      </w:r>
      <w:r w:rsidRPr="00BC7982">
        <w:rPr>
          <w:sz w:val="24"/>
          <w:szCs w:val="24"/>
        </w:rPr>
        <w:t xml:space="preserve"> sudden death (e.g. MI or </w:t>
      </w:r>
      <w:proofErr w:type="spellStart"/>
      <w:r w:rsidRPr="00BC7982">
        <w:rPr>
          <w:sz w:val="24"/>
          <w:szCs w:val="24"/>
        </w:rPr>
        <w:t>or</w:t>
      </w:r>
      <w:proofErr w:type="spellEnd"/>
      <w:r w:rsidRPr="00BC7982">
        <w:rPr>
          <w:sz w:val="24"/>
          <w:szCs w:val="24"/>
        </w:rPr>
        <w:t xml:space="preserve"> intracranial bleeding presenting as a sudden death). </w:t>
      </w:r>
      <w:r w:rsidRPr="00BC7982">
        <w:rPr>
          <w:noProof/>
          <w:sz w:val="24"/>
          <w:szCs w:val="24"/>
        </w:rPr>
        <w:t xml:space="preserve">As a result, it is probable that the </w:t>
      </w:r>
      <w:r>
        <w:rPr>
          <w:noProof/>
          <w:sz w:val="24"/>
          <w:szCs w:val="24"/>
        </w:rPr>
        <w:t xml:space="preserve">rates of </w:t>
      </w:r>
      <w:r w:rsidRPr="00BC7982">
        <w:rPr>
          <w:noProof/>
          <w:sz w:val="24"/>
          <w:szCs w:val="24"/>
        </w:rPr>
        <w:t>some secondary outcomes are underestimated.</w:t>
      </w:r>
      <w:r w:rsidRPr="00BC7982">
        <w:rPr>
          <w:sz w:val="24"/>
          <w:szCs w:val="24"/>
        </w:rPr>
        <w:t xml:space="preserve"> </w:t>
      </w:r>
    </w:p>
    <w:p w:rsidR="00A917FF" w:rsidRPr="00BC7982" w:rsidRDefault="00A917FF" w:rsidP="0052196B">
      <w:pPr>
        <w:spacing w:line="480" w:lineRule="auto"/>
        <w:ind w:firstLine="720"/>
        <w:jc w:val="both"/>
        <w:rPr>
          <w:sz w:val="24"/>
          <w:szCs w:val="24"/>
        </w:rPr>
      </w:pPr>
    </w:p>
    <w:p w:rsidR="00A917FF" w:rsidRPr="00BC7982" w:rsidRDefault="00A917FF" w:rsidP="0052196B">
      <w:pPr>
        <w:spacing w:line="480" w:lineRule="auto"/>
        <w:jc w:val="both"/>
        <w:rPr>
          <w:sz w:val="24"/>
          <w:szCs w:val="24"/>
        </w:rPr>
      </w:pPr>
      <w:r w:rsidRPr="00BC7982">
        <w:rPr>
          <w:b/>
          <w:sz w:val="24"/>
          <w:szCs w:val="24"/>
        </w:rPr>
        <w:t>Limitations and threats to validity</w:t>
      </w:r>
    </w:p>
    <w:p w:rsidR="00A917FF" w:rsidRPr="00BC7982" w:rsidRDefault="00A917FF" w:rsidP="0052196B">
      <w:pPr>
        <w:spacing w:line="480" w:lineRule="auto"/>
        <w:ind w:firstLine="720"/>
        <w:jc w:val="both"/>
        <w:rPr>
          <w:sz w:val="24"/>
          <w:szCs w:val="24"/>
        </w:rPr>
      </w:pPr>
      <w:r w:rsidRPr="00BC7982">
        <w:rPr>
          <w:sz w:val="24"/>
          <w:szCs w:val="24"/>
          <w:u w:val="single"/>
        </w:rPr>
        <w:t>BMI measurement:</w:t>
      </w:r>
      <w:r w:rsidRPr="00BC7982">
        <w:rPr>
          <w:sz w:val="24"/>
          <w:szCs w:val="24"/>
        </w:rPr>
        <w:t xml:space="preserve"> Missing BMI data was infrequent (0.9%), but none of the protocols provided guidelines for height and weight measurement. The lack of BMI measurement standardization may lead to random and systematic errors. Although it may sound counterintuitive, </w:t>
      </w:r>
      <w:r>
        <w:rPr>
          <w:sz w:val="24"/>
          <w:szCs w:val="24"/>
        </w:rPr>
        <w:t xml:space="preserve">large degrees of </w:t>
      </w:r>
      <w:r w:rsidRPr="00BC7982">
        <w:rPr>
          <w:sz w:val="24"/>
          <w:szCs w:val="24"/>
        </w:rPr>
        <w:t xml:space="preserve">random error in a continuous independent variable will induce bias rather than imprecision in regression analysis, a phenomenon called regression </w:t>
      </w:r>
      <w:r w:rsidRPr="00BC7982">
        <w:rPr>
          <w:sz w:val="24"/>
          <w:szCs w:val="24"/>
        </w:rPr>
        <w:lastRenderedPageBreak/>
        <w:t>dilution bias.</w:t>
      </w:r>
      <w:r w:rsidRPr="00BC7982">
        <w:rPr>
          <w:noProof/>
          <w:sz w:val="24"/>
          <w:szCs w:val="24"/>
          <w:vertAlign w:val="superscript"/>
        </w:rPr>
        <w:t>22</w:t>
      </w:r>
      <w:r w:rsidRPr="00BC7982">
        <w:rPr>
          <w:sz w:val="24"/>
          <w:szCs w:val="24"/>
        </w:rPr>
        <w:t xml:space="preserve"> Since BMI was measured only once during the admission period, we couldn’t estimate the amount of random error and calibrate BMI measurements in a post-hoc fashion. However, this bias deviates estimates towards the null. </w:t>
      </w:r>
      <w:r w:rsidRPr="00BC7982">
        <w:rPr>
          <w:noProof/>
          <w:sz w:val="24"/>
          <w:szCs w:val="24"/>
        </w:rPr>
        <w:t>As a result, this specific bias doesn’t affect the overall interpretation of the main results of our study, in which the null hypothesis was rejected, but may be a flag for a potential underestimation of the real estimate.</w:t>
      </w:r>
      <w:r w:rsidRPr="00BC7982">
        <w:rPr>
          <w:sz w:val="24"/>
          <w:szCs w:val="24"/>
        </w:rPr>
        <w:t xml:space="preserve"> </w:t>
      </w:r>
    </w:p>
    <w:p w:rsidR="00A917FF" w:rsidRPr="00BC7982" w:rsidRDefault="00A917FF" w:rsidP="0052196B">
      <w:pPr>
        <w:spacing w:line="480" w:lineRule="auto"/>
        <w:ind w:firstLine="720"/>
        <w:jc w:val="both"/>
        <w:rPr>
          <w:sz w:val="24"/>
          <w:szCs w:val="24"/>
        </w:rPr>
      </w:pPr>
      <w:r w:rsidRPr="00BC7982">
        <w:rPr>
          <w:sz w:val="24"/>
          <w:szCs w:val="24"/>
        </w:rPr>
        <w:t xml:space="preserve">On the other hand, systematic errors in height and weight measurement may induce bias in a less predictable way. The most </w:t>
      </w:r>
      <w:r>
        <w:rPr>
          <w:sz w:val="24"/>
          <w:szCs w:val="24"/>
        </w:rPr>
        <w:t>common</w:t>
      </w:r>
      <w:r w:rsidRPr="00BC7982">
        <w:rPr>
          <w:sz w:val="24"/>
          <w:szCs w:val="24"/>
        </w:rPr>
        <w:t xml:space="preserve"> source of bias in BMI assessment is the self-reported weight and height.</w:t>
      </w:r>
      <w:r w:rsidRPr="00BC7982">
        <w:rPr>
          <w:noProof/>
          <w:sz w:val="24"/>
          <w:szCs w:val="24"/>
          <w:vertAlign w:val="superscript"/>
        </w:rPr>
        <w:t>23</w:t>
      </w:r>
      <w:r w:rsidRPr="00BC7982">
        <w:rPr>
          <w:sz w:val="24"/>
          <w:szCs w:val="24"/>
        </w:rPr>
        <w:t xml:space="preserve"> Typically, this bias has a downward direction, from no difference to a mean difference of </w:t>
      </w:r>
      <w:r w:rsidRPr="00BC7982">
        <w:rPr>
          <w:sz w:val="24"/>
          <w:szCs w:val="24"/>
          <w:lang w:val="en-CA"/>
        </w:rPr>
        <w:t>-</w:t>
      </w:r>
      <w:r w:rsidRPr="00BC7982">
        <w:rPr>
          <w:sz w:val="24"/>
          <w:szCs w:val="24"/>
        </w:rPr>
        <w:t>2 kg/m</w:t>
      </w:r>
      <w:r w:rsidRPr="00BC7982">
        <w:rPr>
          <w:sz w:val="24"/>
          <w:szCs w:val="24"/>
          <w:vertAlign w:val="superscript"/>
        </w:rPr>
        <w:t>2</w:t>
      </w:r>
      <w:r w:rsidRPr="00BC7982">
        <w:rPr>
          <w:sz w:val="24"/>
          <w:szCs w:val="24"/>
        </w:rPr>
        <w:t xml:space="preserve"> between self-reported and measured BMI.</w:t>
      </w:r>
      <w:r w:rsidRPr="00BC7982">
        <w:rPr>
          <w:noProof/>
          <w:sz w:val="24"/>
          <w:szCs w:val="24"/>
          <w:vertAlign w:val="superscript"/>
        </w:rPr>
        <w:t>23,24</w:t>
      </w:r>
      <w:r w:rsidRPr="00BC7982">
        <w:rPr>
          <w:sz w:val="24"/>
          <w:szCs w:val="24"/>
        </w:rPr>
        <w:t xml:space="preserve"> This reduction is</w:t>
      </w:r>
      <w:r>
        <w:rPr>
          <w:sz w:val="24"/>
          <w:szCs w:val="24"/>
        </w:rPr>
        <w:t xml:space="preserve"> quite</w:t>
      </w:r>
      <w:r w:rsidRPr="00BC7982">
        <w:rPr>
          <w:sz w:val="24"/>
          <w:szCs w:val="24"/>
        </w:rPr>
        <w:t xml:space="preserve"> consistent </w:t>
      </w:r>
      <w:r w:rsidRPr="00BC7982">
        <w:rPr>
          <w:noProof/>
          <w:sz w:val="24"/>
          <w:szCs w:val="24"/>
        </w:rPr>
        <w:t>among</w:t>
      </w:r>
      <w:r w:rsidRPr="00BC7982">
        <w:rPr>
          <w:sz w:val="24"/>
          <w:szCs w:val="24"/>
        </w:rPr>
        <w:t xml:space="preserve"> different ages, genders, ethnic groups and BMI categories, and it has been stable </w:t>
      </w:r>
      <w:r w:rsidRPr="00BC7982">
        <w:rPr>
          <w:noProof/>
          <w:sz w:val="24"/>
          <w:szCs w:val="24"/>
        </w:rPr>
        <w:t>during</w:t>
      </w:r>
      <w:r w:rsidRPr="00BC7982">
        <w:rPr>
          <w:sz w:val="24"/>
          <w:szCs w:val="24"/>
        </w:rPr>
        <w:t xml:space="preserve"> the last 10 years.</w:t>
      </w:r>
      <w:r w:rsidRPr="00BC7982">
        <w:rPr>
          <w:noProof/>
          <w:sz w:val="24"/>
          <w:szCs w:val="24"/>
          <w:vertAlign w:val="superscript"/>
        </w:rPr>
        <w:t>24</w:t>
      </w:r>
      <w:r w:rsidRPr="00BC7982">
        <w:rPr>
          <w:sz w:val="24"/>
          <w:szCs w:val="24"/>
        </w:rPr>
        <w:t xml:space="preserve"> The presence of this bias </w:t>
      </w:r>
      <w:r w:rsidRPr="00BC7982">
        <w:rPr>
          <w:noProof/>
          <w:sz w:val="24"/>
          <w:szCs w:val="24"/>
        </w:rPr>
        <w:t>would move</w:t>
      </w:r>
      <w:r w:rsidRPr="00BC7982">
        <w:rPr>
          <w:sz w:val="24"/>
          <w:szCs w:val="24"/>
        </w:rPr>
        <w:t xml:space="preserve"> the overall real U-shaped pattern towards lower BMI values, and similarly to regression dilution bias, deviating estimates towards the null in the high BMI categories. An exception would be that a sub-group with increased risk of death had an exaggerated downward BMI reporting compared to lower risk participants, which is unlikely.</w:t>
      </w:r>
    </w:p>
    <w:p w:rsidR="00A917FF" w:rsidRPr="00BC7982" w:rsidRDefault="00A917FF" w:rsidP="0052196B">
      <w:pPr>
        <w:spacing w:line="480" w:lineRule="auto"/>
        <w:ind w:firstLine="720"/>
        <w:jc w:val="both"/>
        <w:rPr>
          <w:sz w:val="24"/>
          <w:szCs w:val="24"/>
        </w:rPr>
      </w:pPr>
      <w:r w:rsidRPr="00BC7982">
        <w:rPr>
          <w:sz w:val="24"/>
          <w:szCs w:val="24"/>
          <w:u w:val="single"/>
        </w:rPr>
        <w:t>Residual confounding:</w:t>
      </w:r>
      <w:r w:rsidRPr="00BC7982">
        <w:rPr>
          <w:sz w:val="24"/>
          <w:szCs w:val="24"/>
        </w:rPr>
        <w:t xml:space="preserve"> The objective of the original randomized trials was not to generate a prospective cohort to evaluate how certain exposures (e.g. BMI) impacts outcomes such as mortality. This raises the concern that important prognostic variables, or potential confounders between the BMI and mortality association, were missed or improperly collected. This was the case for socio-economic status, education, cardiovascular fitness, </w:t>
      </w:r>
      <w:r w:rsidRPr="00BC7982">
        <w:rPr>
          <w:noProof/>
          <w:sz w:val="24"/>
          <w:szCs w:val="24"/>
        </w:rPr>
        <w:t>depression</w:t>
      </w:r>
      <w:r w:rsidRPr="00BC7982">
        <w:rPr>
          <w:sz w:val="24"/>
          <w:szCs w:val="24"/>
        </w:rPr>
        <w:t xml:space="preserve"> and dementia, which </w:t>
      </w:r>
      <w:r w:rsidRPr="00BC7982">
        <w:rPr>
          <w:noProof/>
          <w:sz w:val="24"/>
          <w:szCs w:val="24"/>
        </w:rPr>
        <w:t>were not dedicatedly measured</w:t>
      </w:r>
      <w:r w:rsidRPr="00BC7982">
        <w:rPr>
          <w:sz w:val="24"/>
          <w:szCs w:val="24"/>
        </w:rPr>
        <w:t xml:space="preserve"> across the studies. Important prognostic </w:t>
      </w:r>
      <w:r w:rsidRPr="00BC7982">
        <w:rPr>
          <w:sz w:val="24"/>
          <w:szCs w:val="24"/>
        </w:rPr>
        <w:lastRenderedPageBreak/>
        <w:t>factors, especially previous cancer, were not consistently measured in dedicated fields in all the included trials. These may lead to residual confounding, secondary to unmeasured or improperly measured confounders.</w:t>
      </w:r>
    </w:p>
    <w:p w:rsidR="00A917FF" w:rsidRPr="00BC7982" w:rsidRDefault="00A917FF" w:rsidP="0052196B">
      <w:pPr>
        <w:spacing w:line="480" w:lineRule="auto"/>
        <w:ind w:firstLine="720"/>
        <w:jc w:val="both"/>
        <w:rPr>
          <w:sz w:val="24"/>
          <w:szCs w:val="24"/>
        </w:rPr>
      </w:pPr>
      <w:r w:rsidRPr="00BC7982">
        <w:rPr>
          <w:sz w:val="24"/>
          <w:szCs w:val="24"/>
        </w:rPr>
        <w:t xml:space="preserve">The fact that pooled estimates from the study-level meta-analysis, with very different approaches and populations, coincide with our individual patient data results, reduces the probability that important confounders </w:t>
      </w:r>
      <w:r w:rsidRPr="00BC7982">
        <w:rPr>
          <w:noProof/>
          <w:sz w:val="24"/>
          <w:szCs w:val="24"/>
        </w:rPr>
        <w:t>were missed</w:t>
      </w:r>
      <w:r w:rsidRPr="00BC7982">
        <w:rPr>
          <w:sz w:val="24"/>
          <w:szCs w:val="24"/>
        </w:rPr>
        <w:t xml:space="preserve"> in the analysis. Propensity score matched analysis produced balanced cohorts, reducing the chance of residual confounding in measured confounders. Array and rule-out analysis had shown that </w:t>
      </w:r>
      <w:r w:rsidRPr="00BC7982">
        <w:rPr>
          <w:noProof/>
          <w:sz w:val="24"/>
          <w:szCs w:val="24"/>
        </w:rPr>
        <w:t>strong</w:t>
      </w:r>
      <w:r w:rsidRPr="00BC7982">
        <w:rPr>
          <w:sz w:val="24"/>
          <w:szCs w:val="24"/>
        </w:rPr>
        <w:t xml:space="preserve"> unmeasured confounders, with considerable (and probably clinically evident) misbalance between normal weight with overweight and type I obese participants, are needed to make the association disappear. However, if all studies missed the same confounders, because they are unmeasurable or rarely measured, it is probable that all the evidence to date would be limited by the same biased result. This was the case for hormone replacement therapy in postmenopausal women with e</w:t>
      </w:r>
      <w:r w:rsidRPr="00BC7982">
        <w:rPr>
          <w:noProof/>
          <w:sz w:val="24"/>
          <w:szCs w:val="24"/>
        </w:rPr>
        <w:t>stablished</w:t>
      </w:r>
      <w:r w:rsidRPr="00BC7982">
        <w:rPr>
          <w:sz w:val="24"/>
          <w:szCs w:val="24"/>
        </w:rPr>
        <w:t xml:space="preserve"> coronary artery disease. Several observational trials had shown improved outcomes among those postmenopausal women on hormone replacement therapy, and randomized trials showed no effect or probably harm.</w:t>
      </w:r>
      <w:r w:rsidRPr="00BC7982">
        <w:rPr>
          <w:noProof/>
          <w:sz w:val="24"/>
          <w:szCs w:val="24"/>
          <w:vertAlign w:val="superscript"/>
        </w:rPr>
        <w:t>25-27</w:t>
      </w:r>
      <w:r w:rsidRPr="00BC7982">
        <w:rPr>
          <w:sz w:val="24"/>
          <w:szCs w:val="24"/>
        </w:rPr>
        <w:t xml:space="preserve"> </w:t>
      </w:r>
      <w:proofErr w:type="gramStart"/>
      <w:r w:rsidRPr="00BC7982">
        <w:rPr>
          <w:sz w:val="24"/>
          <w:szCs w:val="24"/>
        </w:rPr>
        <w:t>Later</w:t>
      </w:r>
      <w:proofErr w:type="gramEnd"/>
      <w:r w:rsidRPr="00BC7982">
        <w:rPr>
          <w:sz w:val="24"/>
          <w:szCs w:val="24"/>
        </w:rPr>
        <w:t>, lack of socioeconomic position control in observational studies had been blamed as an explanation of such discrepancy.</w:t>
      </w:r>
      <w:r w:rsidRPr="00BC7982">
        <w:rPr>
          <w:noProof/>
          <w:sz w:val="24"/>
          <w:szCs w:val="24"/>
          <w:vertAlign w:val="superscript"/>
        </w:rPr>
        <w:t>28</w:t>
      </w:r>
    </w:p>
    <w:p w:rsidR="00A917FF" w:rsidRPr="00BC7982" w:rsidRDefault="00A917FF" w:rsidP="0052196B">
      <w:pPr>
        <w:spacing w:line="480" w:lineRule="auto"/>
        <w:ind w:firstLine="720"/>
        <w:jc w:val="both"/>
        <w:rPr>
          <w:sz w:val="24"/>
          <w:szCs w:val="24"/>
        </w:rPr>
      </w:pPr>
      <w:r w:rsidRPr="00BC7982">
        <w:rPr>
          <w:sz w:val="24"/>
          <w:szCs w:val="24"/>
          <w:u w:val="single"/>
        </w:rPr>
        <w:t>Selection bias</w:t>
      </w:r>
      <w:r w:rsidRPr="00BC7982">
        <w:rPr>
          <w:sz w:val="24"/>
          <w:szCs w:val="24"/>
        </w:rPr>
        <w:t xml:space="preserve">: The included multicenter randomized trials followed a convenience sampling approach. This means that participating centers conducted non-systematic screening among eligible participants, and those eligible </w:t>
      </w:r>
      <w:r w:rsidRPr="00BC7982">
        <w:rPr>
          <w:noProof/>
          <w:sz w:val="24"/>
          <w:szCs w:val="24"/>
        </w:rPr>
        <w:t>were approached</w:t>
      </w:r>
      <w:r w:rsidRPr="00BC7982">
        <w:rPr>
          <w:sz w:val="24"/>
          <w:szCs w:val="24"/>
        </w:rPr>
        <w:t xml:space="preserve"> for consent. Then, only those participants who agreed to participate and provided informed consent were included. Selection </w:t>
      </w:r>
      <w:r w:rsidRPr="00BC7982">
        <w:rPr>
          <w:sz w:val="24"/>
          <w:szCs w:val="24"/>
        </w:rPr>
        <w:lastRenderedPageBreak/>
        <w:t xml:space="preserve">bias can occur at several points in this process. First, patients have to meet the inclusion and exclusion criteria. Exclusion criteria varied across studies, </w:t>
      </w:r>
      <w:r>
        <w:rPr>
          <w:sz w:val="24"/>
          <w:szCs w:val="24"/>
        </w:rPr>
        <w:t>excluding</w:t>
      </w:r>
      <w:r w:rsidRPr="00BC7982">
        <w:rPr>
          <w:sz w:val="24"/>
          <w:szCs w:val="24"/>
        </w:rPr>
        <w:t xml:space="preserve"> participants with a </w:t>
      </w:r>
      <w:r w:rsidRPr="00BC7982">
        <w:rPr>
          <w:noProof/>
          <w:sz w:val="24"/>
          <w:szCs w:val="24"/>
        </w:rPr>
        <w:t>high</w:t>
      </w:r>
      <w:r w:rsidRPr="00BC7982">
        <w:rPr>
          <w:sz w:val="24"/>
          <w:szCs w:val="24"/>
        </w:rPr>
        <w:t xml:space="preserve"> risk of bleeding, cardiogenic shock, or previous CABG. Second, the patient has to be able to provide informed consent. Critically ill participants cannot provide informed consent by themselves, and getting consent from the family in critical situations may not be always feasible. Third, participants that refuse to participate in research are associated with higher rates of clinical events as compared to consenting patients. As a result, randomized trial populations may not represent the real “all-comers” ACS population,</w:t>
      </w:r>
      <w:r>
        <w:rPr>
          <w:sz w:val="24"/>
          <w:szCs w:val="24"/>
        </w:rPr>
        <w:t xml:space="preserve"> including a “healthier” subset</w:t>
      </w:r>
      <w:r w:rsidRPr="00BC7982">
        <w:rPr>
          <w:sz w:val="24"/>
          <w:szCs w:val="24"/>
        </w:rPr>
        <w:t>.</w:t>
      </w:r>
    </w:p>
    <w:p w:rsidR="00A917FF" w:rsidRPr="00BC7982" w:rsidRDefault="00A917FF" w:rsidP="0052196B">
      <w:pPr>
        <w:spacing w:line="480" w:lineRule="auto"/>
        <w:ind w:firstLine="720"/>
        <w:jc w:val="both"/>
        <w:rPr>
          <w:sz w:val="24"/>
          <w:szCs w:val="24"/>
        </w:rPr>
      </w:pPr>
      <w:r w:rsidRPr="00BC7982">
        <w:rPr>
          <w:sz w:val="24"/>
          <w:szCs w:val="24"/>
        </w:rPr>
        <w:t xml:space="preserve">However, there are aspects that deserve to </w:t>
      </w:r>
      <w:r w:rsidRPr="00BC7982">
        <w:rPr>
          <w:noProof/>
          <w:sz w:val="24"/>
          <w:szCs w:val="24"/>
        </w:rPr>
        <w:t>be mentioned</w:t>
      </w:r>
      <w:r w:rsidRPr="00BC7982">
        <w:rPr>
          <w:sz w:val="24"/>
          <w:szCs w:val="24"/>
        </w:rPr>
        <w:t>. First, all observational research that requires personal data needs informed consent from participants, which can affect representativeness if refusal rates are high. For instance, the third generation cohort of the Framingham Heart Study had a refusal rate of 10%.</w:t>
      </w:r>
      <w:r w:rsidRPr="00BC7982">
        <w:rPr>
          <w:noProof/>
          <w:sz w:val="24"/>
          <w:szCs w:val="24"/>
          <w:vertAlign w:val="superscript"/>
        </w:rPr>
        <w:t>29</w:t>
      </w:r>
      <w:r w:rsidRPr="00BC7982">
        <w:rPr>
          <w:sz w:val="24"/>
          <w:szCs w:val="24"/>
        </w:rPr>
        <w:t xml:space="preserve"> Generating a 100% representative sample is always impossible when informed consent </w:t>
      </w:r>
      <w:r w:rsidRPr="00BC7982">
        <w:rPr>
          <w:noProof/>
          <w:sz w:val="24"/>
          <w:szCs w:val="24"/>
        </w:rPr>
        <w:t>is required</w:t>
      </w:r>
      <w:r w:rsidRPr="00BC7982">
        <w:rPr>
          <w:sz w:val="24"/>
          <w:szCs w:val="24"/>
        </w:rPr>
        <w:t xml:space="preserve">. Second, </w:t>
      </w:r>
      <w:r w:rsidRPr="00BC7982">
        <w:rPr>
          <w:noProof/>
          <w:sz w:val="24"/>
          <w:szCs w:val="24"/>
        </w:rPr>
        <w:t>regarding</w:t>
      </w:r>
      <w:r w:rsidRPr="00BC7982">
        <w:rPr>
          <w:sz w:val="24"/>
          <w:szCs w:val="24"/>
        </w:rPr>
        <w:t xml:space="preserve"> baseline risk of participants, the included RCTs had a 3.1% NSTEMI and 5.1% STEMI in-hospital mortality, similar to “all-comers” registries. In the GRACE registry, which included participants from 14 countries in 2005, </w:t>
      </w:r>
      <w:r w:rsidRPr="00BC7982">
        <w:rPr>
          <w:noProof/>
          <w:sz w:val="24"/>
          <w:szCs w:val="24"/>
        </w:rPr>
        <w:t>NSTEMI</w:t>
      </w:r>
      <w:r w:rsidRPr="00BC7982">
        <w:rPr>
          <w:sz w:val="24"/>
          <w:szCs w:val="24"/>
        </w:rPr>
        <w:t xml:space="preserve"> and STEMI in-hospital mortality were 2.2% and 4.6%, respectively.</w:t>
      </w:r>
      <w:r w:rsidRPr="00BC7982">
        <w:rPr>
          <w:noProof/>
          <w:sz w:val="24"/>
          <w:szCs w:val="24"/>
          <w:vertAlign w:val="superscript"/>
        </w:rPr>
        <w:t>30</w:t>
      </w:r>
      <w:r w:rsidRPr="00BC7982">
        <w:rPr>
          <w:sz w:val="24"/>
          <w:szCs w:val="24"/>
        </w:rPr>
        <w:t xml:space="preserve"> </w:t>
      </w:r>
      <w:r w:rsidRPr="00BC7982">
        <w:rPr>
          <w:noProof/>
          <w:sz w:val="24"/>
          <w:szCs w:val="24"/>
        </w:rPr>
        <w:t>Moreover, in our subgroup analysis we couldn’t find any interaction between BMI and high risk features, such as age over 60, prior diabetes, chronic kidney disease, previous CVD, heart failure on presentation or STEMI diagnosis.</w:t>
      </w:r>
      <w:r w:rsidRPr="00BC7982">
        <w:rPr>
          <w:sz w:val="24"/>
          <w:szCs w:val="24"/>
        </w:rPr>
        <w:t xml:space="preserve"> The lack of interactions with high-risk features increases the probability that </w:t>
      </w:r>
      <w:r w:rsidRPr="00BC7982">
        <w:rPr>
          <w:noProof/>
          <w:sz w:val="24"/>
          <w:szCs w:val="24"/>
        </w:rPr>
        <w:t>high-risk</w:t>
      </w:r>
      <w:r w:rsidRPr="00BC7982">
        <w:rPr>
          <w:sz w:val="24"/>
          <w:szCs w:val="24"/>
        </w:rPr>
        <w:t xml:space="preserve"> individuals share the same risk estimate with lower risk individuals, which </w:t>
      </w:r>
      <w:r w:rsidRPr="00BC7982">
        <w:rPr>
          <w:noProof/>
          <w:sz w:val="24"/>
          <w:szCs w:val="24"/>
        </w:rPr>
        <w:t>would be translated</w:t>
      </w:r>
      <w:r w:rsidRPr="00BC7982">
        <w:rPr>
          <w:sz w:val="24"/>
          <w:szCs w:val="24"/>
        </w:rPr>
        <w:t xml:space="preserve"> into different absolute risk estimates according to baseline risks. Finally, the study-level meta-analysis included observational cohorts (including </w:t>
      </w:r>
      <w:r w:rsidRPr="00BC7982">
        <w:rPr>
          <w:sz w:val="24"/>
          <w:szCs w:val="24"/>
        </w:rPr>
        <w:lastRenderedPageBreak/>
        <w:t xml:space="preserve">registries) and analysis from RCT data. There was no interaction between observational cohorts and RCTs results. </w:t>
      </w:r>
      <w:r w:rsidRPr="00BC7982">
        <w:rPr>
          <w:noProof/>
          <w:sz w:val="24"/>
          <w:szCs w:val="24"/>
        </w:rPr>
        <w:t>Furthermore, the observational cohorts and registries pooled estimates for overweight (RR 0.80; 95% CI 0.70 – 0.92) and obesity (RR 0.78; 95% CI 0.68 – 0.90) were very similar to our individual patient data meta-analysis from RCT data.</w:t>
      </w:r>
      <w:r w:rsidRPr="00BC7982">
        <w:rPr>
          <w:sz w:val="24"/>
          <w:szCs w:val="24"/>
        </w:rPr>
        <w:t xml:space="preserve"> Selection bias is a reality when analyzing randomized trials that used a convenience sampling strategy, but these previously mentioned arguments </w:t>
      </w:r>
      <w:r w:rsidRPr="00BC7982">
        <w:rPr>
          <w:noProof/>
          <w:sz w:val="24"/>
          <w:szCs w:val="24"/>
        </w:rPr>
        <w:t>go</w:t>
      </w:r>
      <w:r w:rsidRPr="00BC7982">
        <w:rPr>
          <w:sz w:val="24"/>
          <w:szCs w:val="24"/>
        </w:rPr>
        <w:t xml:space="preserve"> in favor of a low impact of this bias.</w:t>
      </w:r>
    </w:p>
    <w:p w:rsidR="00A917FF" w:rsidRDefault="00A917FF" w:rsidP="0052196B">
      <w:pPr>
        <w:spacing w:line="480" w:lineRule="auto"/>
        <w:ind w:firstLine="720"/>
        <w:jc w:val="both"/>
        <w:rPr>
          <w:sz w:val="24"/>
          <w:szCs w:val="24"/>
        </w:rPr>
      </w:pPr>
      <w:r w:rsidRPr="00BC7982">
        <w:rPr>
          <w:noProof/>
          <w:sz w:val="24"/>
          <w:szCs w:val="24"/>
          <w:u w:val="single"/>
        </w:rPr>
        <w:t>Lead-time</w:t>
      </w:r>
      <w:r w:rsidRPr="00BC7982">
        <w:rPr>
          <w:sz w:val="24"/>
          <w:szCs w:val="24"/>
          <w:u w:val="single"/>
        </w:rPr>
        <w:t xml:space="preserve"> bias</w:t>
      </w:r>
      <w:r w:rsidRPr="00BC7982">
        <w:rPr>
          <w:sz w:val="24"/>
          <w:szCs w:val="24"/>
        </w:rPr>
        <w:t xml:space="preserve">: Some authors claimed that one potential explanation </w:t>
      </w:r>
      <w:r w:rsidRPr="00BC7982">
        <w:rPr>
          <w:noProof/>
          <w:sz w:val="24"/>
          <w:szCs w:val="24"/>
        </w:rPr>
        <w:t>of</w:t>
      </w:r>
      <w:r w:rsidRPr="00BC7982">
        <w:rPr>
          <w:sz w:val="24"/>
          <w:szCs w:val="24"/>
        </w:rPr>
        <w:t xml:space="preserve"> the obesity paradox is related to lead time bias.</w:t>
      </w:r>
      <w:r w:rsidRPr="00BC7982">
        <w:rPr>
          <w:noProof/>
          <w:sz w:val="24"/>
          <w:szCs w:val="24"/>
          <w:vertAlign w:val="superscript"/>
        </w:rPr>
        <w:t>31</w:t>
      </w:r>
      <w:r w:rsidRPr="00BC7982">
        <w:rPr>
          <w:sz w:val="24"/>
          <w:szCs w:val="24"/>
        </w:rPr>
        <w:t xml:space="preserve"> This bias is present when the exposure of interest makes the disease </w:t>
      </w:r>
      <w:r w:rsidRPr="00BC7982">
        <w:rPr>
          <w:noProof/>
          <w:sz w:val="24"/>
          <w:szCs w:val="24"/>
        </w:rPr>
        <w:t>to be diagnosed</w:t>
      </w:r>
      <w:r w:rsidRPr="00BC7982">
        <w:rPr>
          <w:sz w:val="24"/>
          <w:szCs w:val="24"/>
        </w:rPr>
        <w:t xml:space="preserve"> </w:t>
      </w:r>
      <w:r w:rsidRPr="00BC7982">
        <w:rPr>
          <w:noProof/>
          <w:sz w:val="24"/>
          <w:szCs w:val="24"/>
        </w:rPr>
        <w:t>in</w:t>
      </w:r>
      <w:r w:rsidRPr="00BC7982">
        <w:rPr>
          <w:sz w:val="24"/>
          <w:szCs w:val="24"/>
        </w:rPr>
        <w:t xml:space="preserve"> an earlier stage, </w:t>
      </w:r>
      <w:r w:rsidRPr="00BC7982">
        <w:rPr>
          <w:noProof/>
          <w:sz w:val="24"/>
          <w:szCs w:val="24"/>
        </w:rPr>
        <w:t>and therefore</w:t>
      </w:r>
      <w:r w:rsidRPr="00BC7982">
        <w:rPr>
          <w:sz w:val="24"/>
          <w:szCs w:val="24"/>
        </w:rPr>
        <w:t xml:space="preserve"> creating </w:t>
      </w:r>
      <w:r>
        <w:rPr>
          <w:sz w:val="24"/>
          <w:szCs w:val="24"/>
        </w:rPr>
        <w:t>a</w:t>
      </w:r>
      <w:r w:rsidRPr="00BC7982">
        <w:rPr>
          <w:sz w:val="24"/>
          <w:szCs w:val="24"/>
        </w:rPr>
        <w:t xml:space="preserve"> misleading improved survival.</w:t>
      </w:r>
      <w:r w:rsidRPr="00BC7982">
        <w:rPr>
          <w:noProof/>
          <w:sz w:val="24"/>
          <w:szCs w:val="24"/>
          <w:vertAlign w:val="superscript"/>
        </w:rPr>
        <w:t>32</w:t>
      </w:r>
      <w:r w:rsidRPr="00BC7982">
        <w:rPr>
          <w:sz w:val="24"/>
          <w:szCs w:val="24"/>
        </w:rPr>
        <w:t xml:space="preserve"> </w:t>
      </w:r>
      <w:r w:rsidRPr="00BC7982">
        <w:rPr>
          <w:noProof/>
          <w:sz w:val="24"/>
          <w:szCs w:val="24"/>
        </w:rPr>
        <w:t>This may be a possible explanation in stable coronary artery disease, in which obese patients have more pre-test probability of coronary artery disease compared to the lean, and therefore more likely to be diagnosed in an earlier stage.</w:t>
      </w:r>
      <w:r w:rsidRPr="00BC7982">
        <w:rPr>
          <w:noProof/>
          <w:sz w:val="24"/>
          <w:szCs w:val="24"/>
          <w:vertAlign w:val="superscript"/>
        </w:rPr>
        <w:t>33</w:t>
      </w:r>
      <w:r w:rsidRPr="00BC7982">
        <w:rPr>
          <w:sz w:val="24"/>
          <w:szCs w:val="24"/>
        </w:rPr>
        <w:t xml:space="preserve"> However, lean STEMI, and perhaps lean NSTEMI patients are probably equally diagnosed as the obese. </w:t>
      </w:r>
    </w:p>
    <w:p w:rsidR="00A917FF" w:rsidRPr="00BC7982" w:rsidRDefault="00A917FF" w:rsidP="0052196B">
      <w:pPr>
        <w:spacing w:line="480" w:lineRule="auto"/>
        <w:ind w:firstLine="720"/>
        <w:jc w:val="both"/>
        <w:rPr>
          <w:sz w:val="24"/>
          <w:szCs w:val="24"/>
        </w:rPr>
      </w:pPr>
      <w:r w:rsidRPr="00BC7982">
        <w:rPr>
          <w:sz w:val="24"/>
          <w:szCs w:val="24"/>
        </w:rPr>
        <w:t xml:space="preserve">In epidemiology, a variable that accelerates the appearance of a </w:t>
      </w:r>
      <w:r w:rsidRPr="00BC7982">
        <w:rPr>
          <w:noProof/>
          <w:sz w:val="24"/>
          <w:szCs w:val="24"/>
        </w:rPr>
        <w:t>disease</w:t>
      </w:r>
      <w:r w:rsidRPr="00BC7982">
        <w:rPr>
          <w:sz w:val="24"/>
          <w:szCs w:val="24"/>
        </w:rPr>
        <w:t xml:space="preserve"> is known as a risk factor.</w:t>
      </w:r>
      <w:r w:rsidRPr="00BC7982">
        <w:rPr>
          <w:noProof/>
          <w:sz w:val="24"/>
          <w:szCs w:val="24"/>
          <w:vertAlign w:val="superscript"/>
        </w:rPr>
        <w:t>34</w:t>
      </w:r>
      <w:r w:rsidRPr="00BC7982">
        <w:rPr>
          <w:sz w:val="24"/>
          <w:szCs w:val="24"/>
        </w:rPr>
        <w:t xml:space="preserve"> In other words, smoking, diabetes, high cholesterol and family history of premature CAD increases the probability of the disease at an earlier age, compared to those without risk factors. </w:t>
      </w:r>
      <w:r w:rsidRPr="00BC7982">
        <w:rPr>
          <w:noProof/>
          <w:sz w:val="24"/>
          <w:szCs w:val="24"/>
        </w:rPr>
        <w:t>Except</w:t>
      </w:r>
      <w:r w:rsidRPr="00BC7982">
        <w:rPr>
          <w:sz w:val="24"/>
          <w:szCs w:val="24"/>
        </w:rPr>
        <w:t xml:space="preserve"> smoking, in which a paradox was described but refuted in several </w:t>
      </w:r>
      <w:r w:rsidRPr="00BC7982">
        <w:rPr>
          <w:noProof/>
          <w:sz w:val="24"/>
          <w:szCs w:val="24"/>
        </w:rPr>
        <w:t>analyses</w:t>
      </w:r>
      <w:r w:rsidRPr="00BC7982">
        <w:rPr>
          <w:sz w:val="24"/>
          <w:szCs w:val="24"/>
        </w:rPr>
        <w:t>, there is no paradox described in other factors that accelerate the occurrence of a condition.</w:t>
      </w:r>
      <w:r w:rsidRPr="00BC7982">
        <w:rPr>
          <w:noProof/>
          <w:sz w:val="24"/>
          <w:szCs w:val="24"/>
          <w:vertAlign w:val="superscript"/>
        </w:rPr>
        <w:t>35</w:t>
      </w:r>
      <w:r w:rsidRPr="00BC7982">
        <w:rPr>
          <w:sz w:val="24"/>
          <w:szCs w:val="24"/>
        </w:rPr>
        <w:t xml:space="preserve"> </w:t>
      </w:r>
      <w:proofErr w:type="gramStart"/>
      <w:r w:rsidRPr="00BC7982">
        <w:rPr>
          <w:sz w:val="24"/>
          <w:szCs w:val="24"/>
        </w:rPr>
        <w:t>The</w:t>
      </w:r>
      <w:proofErr w:type="gramEnd"/>
      <w:r w:rsidRPr="00BC7982">
        <w:rPr>
          <w:sz w:val="24"/>
          <w:szCs w:val="24"/>
        </w:rPr>
        <w:t xml:space="preserve"> exception could be that obese participants trigger ACS in an earlier stage compared to other coronary risk factors, which is unlikely. Raw prevalence of </w:t>
      </w:r>
      <w:r w:rsidRPr="00BC7982">
        <w:rPr>
          <w:noProof/>
          <w:sz w:val="24"/>
          <w:szCs w:val="24"/>
        </w:rPr>
        <w:t>left</w:t>
      </w:r>
      <w:r w:rsidRPr="00BC7982">
        <w:rPr>
          <w:sz w:val="24"/>
          <w:szCs w:val="24"/>
        </w:rPr>
        <w:t xml:space="preserve"> main or </w:t>
      </w:r>
      <w:r w:rsidRPr="00BC7982">
        <w:rPr>
          <w:noProof/>
          <w:sz w:val="24"/>
          <w:szCs w:val="24"/>
        </w:rPr>
        <w:t>three-</w:t>
      </w:r>
      <w:r w:rsidRPr="00BC7982">
        <w:rPr>
          <w:noProof/>
          <w:sz w:val="24"/>
          <w:szCs w:val="24"/>
        </w:rPr>
        <w:lastRenderedPageBreak/>
        <w:t>vessel</w:t>
      </w:r>
      <w:r w:rsidRPr="00BC7982">
        <w:rPr>
          <w:sz w:val="24"/>
          <w:szCs w:val="24"/>
        </w:rPr>
        <w:t xml:space="preserve"> coronary disease was similar between normal </w:t>
      </w:r>
      <w:proofErr w:type="gramStart"/>
      <w:r w:rsidRPr="00BC7982">
        <w:rPr>
          <w:sz w:val="24"/>
          <w:szCs w:val="24"/>
        </w:rPr>
        <w:t>weight</w:t>
      </w:r>
      <w:proofErr w:type="gramEnd"/>
      <w:r w:rsidRPr="00BC7982">
        <w:rPr>
          <w:sz w:val="24"/>
          <w:szCs w:val="24"/>
        </w:rPr>
        <w:t xml:space="preserve">, overweight and type I obesity individuals. This small and not age-adjusted difference is unlikely </w:t>
      </w:r>
      <w:r w:rsidRPr="00BC7982">
        <w:rPr>
          <w:noProof/>
          <w:sz w:val="24"/>
          <w:szCs w:val="24"/>
        </w:rPr>
        <w:t>to explain the paradox solely</w:t>
      </w:r>
      <w:r w:rsidRPr="00BC7982">
        <w:rPr>
          <w:sz w:val="24"/>
          <w:szCs w:val="24"/>
        </w:rPr>
        <w:t xml:space="preserve">. </w:t>
      </w:r>
    </w:p>
    <w:p w:rsidR="00A917FF" w:rsidRPr="00BC7982" w:rsidRDefault="00A917FF" w:rsidP="0052196B">
      <w:pPr>
        <w:spacing w:line="480" w:lineRule="auto"/>
        <w:ind w:firstLine="720"/>
        <w:jc w:val="both"/>
        <w:rPr>
          <w:sz w:val="24"/>
          <w:szCs w:val="24"/>
        </w:rPr>
      </w:pPr>
      <w:r w:rsidRPr="00BC7982">
        <w:rPr>
          <w:sz w:val="24"/>
          <w:szCs w:val="24"/>
          <w:u w:val="single"/>
        </w:rPr>
        <w:t>Reverse causality</w:t>
      </w:r>
      <w:r w:rsidRPr="00BC7982">
        <w:rPr>
          <w:sz w:val="24"/>
          <w:szCs w:val="24"/>
        </w:rPr>
        <w:t xml:space="preserve">: In body-weight studies, the term reverse causation is usually defined as the presence of a condition that makes the patient </w:t>
      </w:r>
      <w:r w:rsidRPr="00BC7982">
        <w:rPr>
          <w:noProof/>
          <w:sz w:val="24"/>
          <w:szCs w:val="24"/>
        </w:rPr>
        <w:t>lose</w:t>
      </w:r>
      <w:r w:rsidRPr="00BC7982">
        <w:rPr>
          <w:sz w:val="24"/>
          <w:szCs w:val="24"/>
        </w:rPr>
        <w:t xml:space="preserve"> </w:t>
      </w:r>
      <w:r w:rsidRPr="00BC7982">
        <w:rPr>
          <w:noProof/>
          <w:sz w:val="24"/>
          <w:szCs w:val="24"/>
        </w:rPr>
        <w:t>weight</w:t>
      </w:r>
      <w:r w:rsidRPr="00BC7982">
        <w:rPr>
          <w:sz w:val="24"/>
          <w:szCs w:val="24"/>
        </w:rPr>
        <w:t xml:space="preserve"> and simultaneously </w:t>
      </w:r>
      <w:r>
        <w:rPr>
          <w:sz w:val="24"/>
          <w:szCs w:val="24"/>
        </w:rPr>
        <w:t>increases</w:t>
      </w:r>
      <w:r w:rsidRPr="00BC7982">
        <w:rPr>
          <w:sz w:val="24"/>
          <w:szCs w:val="24"/>
        </w:rPr>
        <w:t xml:space="preserve"> the risk of mortality. Classic examples are cancer and dementia, which </w:t>
      </w:r>
      <w:r w:rsidRPr="00BC7982">
        <w:rPr>
          <w:noProof/>
          <w:sz w:val="24"/>
          <w:szCs w:val="24"/>
        </w:rPr>
        <w:t>are usually associated</w:t>
      </w:r>
      <w:r w:rsidRPr="00BC7982">
        <w:rPr>
          <w:sz w:val="24"/>
          <w:szCs w:val="24"/>
        </w:rPr>
        <w:t xml:space="preserve"> with weight loss and increased risk of </w:t>
      </w:r>
      <w:r w:rsidRPr="00BC7982">
        <w:rPr>
          <w:noProof/>
          <w:sz w:val="24"/>
          <w:szCs w:val="24"/>
        </w:rPr>
        <w:t>mortality</w:t>
      </w:r>
      <w:r w:rsidRPr="00BC7982">
        <w:rPr>
          <w:sz w:val="24"/>
          <w:szCs w:val="24"/>
        </w:rPr>
        <w:t>. The previous literature is not consistent how they refer to reverse causality in body-weight studies, but the term “illness-related weight loss” (IRWL) may fit the concept better.</w:t>
      </w:r>
      <w:r w:rsidRPr="00BC7982">
        <w:rPr>
          <w:noProof/>
          <w:sz w:val="24"/>
          <w:szCs w:val="24"/>
          <w:vertAlign w:val="superscript"/>
        </w:rPr>
        <w:t>36</w:t>
      </w:r>
      <w:r w:rsidRPr="00BC7982">
        <w:rPr>
          <w:sz w:val="24"/>
          <w:szCs w:val="24"/>
        </w:rPr>
        <w:t xml:space="preserve"> </w:t>
      </w:r>
      <w:r>
        <w:rPr>
          <w:sz w:val="24"/>
          <w:szCs w:val="24"/>
        </w:rPr>
        <w:t xml:space="preserve">Many diseases, such as cancer, dementia, chronic obstructive pulmonary disease, celiac disease, and infective diseases may be considered IRWL conditions. </w:t>
      </w:r>
      <w:r w:rsidRPr="00BC7982">
        <w:rPr>
          <w:sz w:val="24"/>
          <w:szCs w:val="24"/>
        </w:rPr>
        <w:t xml:space="preserve">This bias is theoretically difficult to rule out, with adjustment and restriction (exclusion of patients with IRWL conditions, or </w:t>
      </w:r>
      <w:r>
        <w:rPr>
          <w:sz w:val="24"/>
          <w:szCs w:val="24"/>
        </w:rPr>
        <w:t>early mortality</w:t>
      </w:r>
      <w:r w:rsidRPr="00BC7982">
        <w:rPr>
          <w:sz w:val="24"/>
          <w:szCs w:val="24"/>
        </w:rPr>
        <w:t>) being the most common approaches for analysis.</w:t>
      </w:r>
    </w:p>
    <w:p w:rsidR="00A917FF" w:rsidRPr="00BC7982" w:rsidRDefault="00A917FF" w:rsidP="0052196B">
      <w:pPr>
        <w:spacing w:line="480" w:lineRule="auto"/>
        <w:ind w:firstLine="720"/>
        <w:jc w:val="both"/>
        <w:rPr>
          <w:sz w:val="24"/>
          <w:szCs w:val="24"/>
        </w:rPr>
      </w:pPr>
      <w:r w:rsidRPr="00BC7982">
        <w:rPr>
          <w:sz w:val="24"/>
          <w:szCs w:val="24"/>
        </w:rPr>
        <w:t xml:space="preserve">Although reverse causality </w:t>
      </w:r>
      <w:r w:rsidRPr="00BC7982">
        <w:rPr>
          <w:noProof/>
          <w:sz w:val="24"/>
          <w:szCs w:val="24"/>
        </w:rPr>
        <w:t>is constantly mentioned</w:t>
      </w:r>
      <w:r w:rsidRPr="00BC7982">
        <w:rPr>
          <w:sz w:val="24"/>
          <w:szCs w:val="24"/>
        </w:rPr>
        <w:t xml:space="preserve"> as a potential explanation of the obesity paradox, there are many points to consider. Frist, IRWL is perhaps an infrequent phenomenon. </w:t>
      </w:r>
      <w:r w:rsidRPr="00BC7982">
        <w:rPr>
          <w:noProof/>
          <w:sz w:val="24"/>
          <w:szCs w:val="24"/>
        </w:rPr>
        <w:t>While it is hard to estimate its precise prevalence, patients with markedly IRWL have decreased short-term survival and are usually excluded from RCTs.</w:t>
      </w:r>
      <w:r w:rsidRPr="00BC7982">
        <w:rPr>
          <w:noProof/>
          <w:sz w:val="24"/>
          <w:szCs w:val="24"/>
          <w:vertAlign w:val="superscript"/>
        </w:rPr>
        <w:t>37</w:t>
      </w:r>
      <w:r w:rsidRPr="00BC7982">
        <w:rPr>
          <w:noProof/>
          <w:sz w:val="24"/>
          <w:szCs w:val="24"/>
        </w:rPr>
        <w:t xml:space="preserve"> Previous reports not only showed low prevalence of malignancies among patients with IRWL, but also that benign conditions are more likely to provoke IRWL than malignant ones.</w:t>
      </w:r>
      <w:r w:rsidRPr="00BC7982">
        <w:rPr>
          <w:noProof/>
          <w:sz w:val="24"/>
          <w:szCs w:val="24"/>
          <w:vertAlign w:val="superscript"/>
        </w:rPr>
        <w:t>38</w:t>
      </w:r>
      <w:r w:rsidRPr="00BC7982">
        <w:rPr>
          <w:noProof/>
          <w:sz w:val="24"/>
          <w:szCs w:val="24"/>
        </w:rPr>
        <w:t xml:space="preserve"> Second, weight change in undiagnosed cancer is infrequent, and several reports found no association between weight change and later cancer diagnosis.</w:t>
      </w:r>
      <w:r w:rsidRPr="00BC7982">
        <w:rPr>
          <w:noProof/>
          <w:sz w:val="24"/>
          <w:szCs w:val="24"/>
          <w:vertAlign w:val="superscript"/>
        </w:rPr>
        <w:t>39-42</w:t>
      </w:r>
      <w:r w:rsidRPr="00BC7982">
        <w:rPr>
          <w:sz w:val="24"/>
          <w:szCs w:val="24"/>
        </w:rPr>
        <w:t xml:space="preserve"> For example, Rapp et. </w:t>
      </w:r>
      <w:proofErr w:type="gramStart"/>
      <w:r w:rsidRPr="00BC7982">
        <w:rPr>
          <w:sz w:val="24"/>
          <w:szCs w:val="24"/>
        </w:rPr>
        <w:t>al</w:t>
      </w:r>
      <w:proofErr w:type="gramEnd"/>
      <w:r w:rsidRPr="00BC7982">
        <w:rPr>
          <w:sz w:val="24"/>
          <w:szCs w:val="24"/>
        </w:rPr>
        <w:t xml:space="preserve"> </w:t>
      </w:r>
      <w:r w:rsidRPr="00BC7982">
        <w:rPr>
          <w:noProof/>
          <w:sz w:val="24"/>
          <w:szCs w:val="24"/>
        </w:rPr>
        <w:t>couldn’t</w:t>
      </w:r>
      <w:r w:rsidRPr="00BC7982">
        <w:rPr>
          <w:sz w:val="24"/>
          <w:szCs w:val="24"/>
        </w:rPr>
        <w:t xml:space="preserve"> detect prior weight loss in incident cancer patients among 65,000 adults with yearly weight assessment for 7 years.</w:t>
      </w:r>
      <w:r w:rsidRPr="00BC7982">
        <w:rPr>
          <w:noProof/>
          <w:sz w:val="24"/>
          <w:szCs w:val="24"/>
          <w:vertAlign w:val="superscript"/>
        </w:rPr>
        <w:t>43</w:t>
      </w:r>
      <w:r w:rsidRPr="00BC7982">
        <w:rPr>
          <w:sz w:val="24"/>
          <w:szCs w:val="24"/>
        </w:rPr>
        <w:t xml:space="preserve"> </w:t>
      </w:r>
      <w:r w:rsidRPr="00BC7982">
        <w:rPr>
          <w:sz w:val="24"/>
          <w:szCs w:val="24"/>
        </w:rPr>
        <w:lastRenderedPageBreak/>
        <w:t xml:space="preserve">On the other hand, </w:t>
      </w:r>
      <w:proofErr w:type="spellStart"/>
      <w:r w:rsidRPr="00BC7982">
        <w:rPr>
          <w:sz w:val="24"/>
          <w:szCs w:val="24"/>
        </w:rPr>
        <w:t>Kritchevsky</w:t>
      </w:r>
      <w:proofErr w:type="spellEnd"/>
      <w:r w:rsidRPr="00BC7982">
        <w:rPr>
          <w:sz w:val="24"/>
          <w:szCs w:val="24"/>
        </w:rPr>
        <w:t xml:space="preserve"> et. </w:t>
      </w:r>
      <w:proofErr w:type="gramStart"/>
      <w:r w:rsidRPr="00BC7982">
        <w:rPr>
          <w:sz w:val="24"/>
          <w:szCs w:val="24"/>
        </w:rPr>
        <w:t>al</w:t>
      </w:r>
      <w:proofErr w:type="gramEnd"/>
      <w:r w:rsidRPr="00BC7982">
        <w:rPr>
          <w:sz w:val="24"/>
          <w:szCs w:val="24"/>
        </w:rPr>
        <w:t xml:space="preserve"> described only a 1.2 kg weight loss within 6 months of cancer diagnosis.</w:t>
      </w:r>
      <w:r w:rsidRPr="00BC7982">
        <w:rPr>
          <w:noProof/>
          <w:sz w:val="24"/>
          <w:szCs w:val="24"/>
          <w:vertAlign w:val="superscript"/>
        </w:rPr>
        <w:t>44</w:t>
      </w:r>
      <w:r w:rsidRPr="00BC7982">
        <w:rPr>
          <w:sz w:val="24"/>
          <w:szCs w:val="24"/>
        </w:rPr>
        <w:t xml:space="preserve"> Nevertheless, for a height of 1.70 meters, each 2.89 kilograms reduction </w:t>
      </w:r>
      <w:r w:rsidRPr="00BC7982">
        <w:rPr>
          <w:noProof/>
          <w:sz w:val="24"/>
          <w:szCs w:val="24"/>
        </w:rPr>
        <w:t>would be</w:t>
      </w:r>
      <w:r w:rsidRPr="00BC7982">
        <w:rPr>
          <w:sz w:val="24"/>
          <w:szCs w:val="24"/>
        </w:rPr>
        <w:t xml:space="preserve"> translated </w:t>
      </w:r>
      <w:r w:rsidRPr="00BC7982">
        <w:rPr>
          <w:noProof/>
          <w:sz w:val="24"/>
          <w:szCs w:val="24"/>
        </w:rPr>
        <w:t>into</w:t>
      </w:r>
      <w:r w:rsidRPr="00BC7982">
        <w:rPr>
          <w:sz w:val="24"/>
          <w:szCs w:val="24"/>
        </w:rPr>
        <w:t xml:space="preserve"> a one point change in BMI. Conversely, patients with conditions that </w:t>
      </w:r>
      <w:r w:rsidRPr="00BC7982">
        <w:rPr>
          <w:noProof/>
          <w:sz w:val="24"/>
          <w:szCs w:val="24"/>
        </w:rPr>
        <w:t>are related</w:t>
      </w:r>
      <w:r w:rsidRPr="00BC7982">
        <w:rPr>
          <w:sz w:val="24"/>
          <w:szCs w:val="24"/>
        </w:rPr>
        <w:t xml:space="preserve"> to IRWL may also gain weight after diagnosis. </w:t>
      </w:r>
      <w:r w:rsidRPr="00BC7982">
        <w:rPr>
          <w:noProof/>
          <w:sz w:val="24"/>
          <w:szCs w:val="24"/>
        </w:rPr>
        <w:t xml:space="preserve">In the Atherosclerosis Risk in Communities Study, participants diagnosed with CVD, cancer or self-reported unhealthiness, were equally likely to gain 3 BMI points </w:t>
      </w:r>
      <w:r>
        <w:rPr>
          <w:noProof/>
          <w:sz w:val="24"/>
          <w:szCs w:val="24"/>
        </w:rPr>
        <w:t xml:space="preserve">as they were </w:t>
      </w:r>
      <w:r w:rsidRPr="00BC7982">
        <w:rPr>
          <w:noProof/>
          <w:sz w:val="24"/>
          <w:szCs w:val="24"/>
        </w:rPr>
        <w:t>to lose 3 BMI points within three years prior to enrolment.</w:t>
      </w:r>
      <w:r w:rsidRPr="00BC7982">
        <w:rPr>
          <w:noProof/>
          <w:sz w:val="24"/>
          <w:szCs w:val="24"/>
          <w:vertAlign w:val="superscript"/>
        </w:rPr>
        <w:t>45</w:t>
      </w:r>
      <w:r w:rsidRPr="00BC7982">
        <w:rPr>
          <w:noProof/>
          <w:sz w:val="24"/>
          <w:szCs w:val="24"/>
        </w:rPr>
        <w:t xml:space="preserve"> Aligned with previous literature, in our analysis there was no association between BMI and previous cancer.</w:t>
      </w:r>
      <w:r w:rsidRPr="00BC7982">
        <w:rPr>
          <w:sz w:val="24"/>
          <w:szCs w:val="24"/>
        </w:rPr>
        <w:t xml:space="preserve"> Third, weight loss is not equivalent to low BMI category. For instance, type I obese participants, and probably </w:t>
      </w:r>
      <w:r w:rsidRPr="00BC7982">
        <w:rPr>
          <w:noProof/>
          <w:sz w:val="24"/>
          <w:szCs w:val="24"/>
        </w:rPr>
        <w:t>overweight,</w:t>
      </w:r>
      <w:r w:rsidRPr="00BC7982">
        <w:rPr>
          <w:sz w:val="24"/>
          <w:szCs w:val="24"/>
        </w:rPr>
        <w:t xml:space="preserve"> have to lose several kilograms to belong to the normal weight category. Assuming that type I obese participants may suffer more frequently from IRWL than overweight and normal weight counterparts, this </w:t>
      </w:r>
      <w:r w:rsidRPr="00BC7982">
        <w:rPr>
          <w:noProof/>
          <w:sz w:val="24"/>
          <w:szCs w:val="24"/>
        </w:rPr>
        <w:t>will likely contaminate</w:t>
      </w:r>
      <w:r w:rsidRPr="00BC7982">
        <w:rPr>
          <w:sz w:val="24"/>
          <w:szCs w:val="24"/>
        </w:rPr>
        <w:t xml:space="preserve"> more the overweight than the normal BMI category. </w:t>
      </w:r>
      <w:r w:rsidRPr="00BC7982">
        <w:rPr>
          <w:noProof/>
          <w:sz w:val="24"/>
          <w:szCs w:val="24"/>
        </w:rPr>
        <w:t>Finally, several reports from all over the globe concluded that low BMI values, usually under 22.5 kg/m</w:t>
      </w:r>
      <w:r w:rsidRPr="00BC7982">
        <w:rPr>
          <w:noProof/>
          <w:sz w:val="24"/>
          <w:szCs w:val="24"/>
          <w:vertAlign w:val="superscript"/>
        </w:rPr>
        <w:t>2</w:t>
      </w:r>
      <w:r w:rsidRPr="00BC7982">
        <w:rPr>
          <w:noProof/>
          <w:sz w:val="24"/>
          <w:szCs w:val="24"/>
        </w:rPr>
        <w:t>, were associated with increased mortality risk, even when smokers, participants with comorbidities and deaths during first several years are excluded from analysis.</w:t>
      </w:r>
      <w:r w:rsidRPr="00BC7982">
        <w:rPr>
          <w:noProof/>
          <w:sz w:val="24"/>
          <w:szCs w:val="24"/>
          <w:vertAlign w:val="superscript"/>
        </w:rPr>
        <w:t>3,4,46-49</w:t>
      </w:r>
      <w:r w:rsidRPr="00BC7982">
        <w:rPr>
          <w:sz w:val="24"/>
          <w:szCs w:val="24"/>
        </w:rPr>
        <w:t xml:space="preserve"> Therefore, low BMI seems to have a causal association with mortality that is unlikely</w:t>
      </w:r>
      <w:r>
        <w:rPr>
          <w:sz w:val="24"/>
          <w:szCs w:val="24"/>
        </w:rPr>
        <w:t xml:space="preserve"> to be </w:t>
      </w:r>
      <w:r w:rsidRPr="00BC7982">
        <w:rPr>
          <w:sz w:val="24"/>
          <w:szCs w:val="24"/>
        </w:rPr>
        <w:t>explained by reverse causation or confounding.</w:t>
      </w:r>
    </w:p>
    <w:p w:rsidR="00A917FF" w:rsidRPr="00BC7982" w:rsidRDefault="00A917FF" w:rsidP="0052196B">
      <w:pPr>
        <w:spacing w:line="480" w:lineRule="auto"/>
        <w:ind w:firstLine="720"/>
        <w:jc w:val="both"/>
        <w:rPr>
          <w:sz w:val="24"/>
          <w:szCs w:val="24"/>
        </w:rPr>
      </w:pPr>
      <w:r w:rsidRPr="00BC7982">
        <w:rPr>
          <w:sz w:val="24"/>
          <w:szCs w:val="24"/>
        </w:rPr>
        <w:t xml:space="preserve">Our sensitivity analysis </w:t>
      </w:r>
      <w:r w:rsidRPr="00BC7982">
        <w:rPr>
          <w:noProof/>
          <w:sz w:val="24"/>
          <w:szCs w:val="24"/>
        </w:rPr>
        <w:t>did not</w:t>
      </w:r>
      <w:r w:rsidRPr="00BC7982">
        <w:rPr>
          <w:sz w:val="24"/>
          <w:szCs w:val="24"/>
        </w:rPr>
        <w:t xml:space="preserve"> suggest the presence of reverse causality. Excluding participants with previous cancer, CVD or severe CKD did not change the estimates in the overweight and type I obesity categories. Assigning the upper-normal BMI (22 – 24.9 kg/m</w:t>
      </w:r>
      <w:r w:rsidRPr="00BC7982">
        <w:rPr>
          <w:sz w:val="24"/>
          <w:szCs w:val="24"/>
          <w:vertAlign w:val="superscript"/>
        </w:rPr>
        <w:t>2</w:t>
      </w:r>
      <w:r w:rsidRPr="00BC7982">
        <w:rPr>
          <w:sz w:val="24"/>
          <w:szCs w:val="24"/>
        </w:rPr>
        <w:t xml:space="preserve">) as reference category </w:t>
      </w:r>
      <w:r w:rsidRPr="00BC7982">
        <w:rPr>
          <w:noProof/>
          <w:sz w:val="24"/>
          <w:szCs w:val="24"/>
        </w:rPr>
        <w:t>didn’t</w:t>
      </w:r>
      <w:r w:rsidRPr="00BC7982">
        <w:rPr>
          <w:sz w:val="24"/>
          <w:szCs w:val="24"/>
        </w:rPr>
        <w:t xml:space="preserve"> change the estimates compared to the primary analysis. Also, </w:t>
      </w:r>
      <w:r w:rsidRPr="00BC7982">
        <w:rPr>
          <w:sz w:val="24"/>
          <w:szCs w:val="24"/>
          <w:lang w:val="en-CA"/>
        </w:rPr>
        <w:t xml:space="preserve">similar estimates for short- and </w:t>
      </w:r>
      <w:r w:rsidRPr="00BC7982">
        <w:rPr>
          <w:noProof/>
          <w:sz w:val="24"/>
          <w:szCs w:val="24"/>
          <w:lang w:val="en-CA"/>
        </w:rPr>
        <w:t>long-term</w:t>
      </w:r>
      <w:r w:rsidRPr="00BC7982">
        <w:rPr>
          <w:sz w:val="24"/>
          <w:szCs w:val="24"/>
          <w:lang w:val="en-CA"/>
        </w:rPr>
        <w:t xml:space="preserve"> follow-up were observed,</w:t>
      </w:r>
      <w:r w:rsidRPr="00BC7982">
        <w:rPr>
          <w:sz w:val="24"/>
          <w:szCs w:val="24"/>
        </w:rPr>
        <w:t xml:space="preserve"> both in the follow-up subgroup </w:t>
      </w:r>
      <w:r w:rsidRPr="00BC7982">
        <w:rPr>
          <w:sz w:val="24"/>
          <w:szCs w:val="24"/>
        </w:rPr>
        <w:lastRenderedPageBreak/>
        <w:t>analysis in the study</w:t>
      </w:r>
      <w:r w:rsidRPr="00BC7982">
        <w:rPr>
          <w:sz w:val="24"/>
          <w:szCs w:val="24"/>
          <w:lang w:val="en-CA"/>
        </w:rPr>
        <w:t xml:space="preserve">-level meta-analysis and the 30-day landmark analysis in the individual patient data meta-analysis. </w:t>
      </w:r>
      <w:r w:rsidRPr="00BC7982">
        <w:rPr>
          <w:sz w:val="24"/>
          <w:szCs w:val="24"/>
        </w:rPr>
        <w:t xml:space="preserve">According to the array analysis, the confounder (in this case an IRWL condition) should be frequent, evidently </w:t>
      </w:r>
      <w:r w:rsidRPr="00BC7982">
        <w:rPr>
          <w:noProof/>
          <w:sz w:val="24"/>
          <w:szCs w:val="24"/>
        </w:rPr>
        <w:t>imbalanced</w:t>
      </w:r>
      <w:r w:rsidRPr="00BC7982">
        <w:rPr>
          <w:sz w:val="24"/>
          <w:szCs w:val="24"/>
        </w:rPr>
        <w:t xml:space="preserve"> between normal </w:t>
      </w:r>
      <w:proofErr w:type="gramStart"/>
      <w:r w:rsidRPr="00BC7982">
        <w:rPr>
          <w:sz w:val="24"/>
          <w:szCs w:val="24"/>
        </w:rPr>
        <w:t>weight</w:t>
      </w:r>
      <w:proofErr w:type="gramEnd"/>
      <w:r w:rsidRPr="00BC7982">
        <w:rPr>
          <w:sz w:val="24"/>
          <w:szCs w:val="24"/>
        </w:rPr>
        <w:t>, overweight and type I obesity, and highly associated with mortality. Although reverse causality cannot be ruled out, IRWL conditions do not seem to fill all these three criteria.</w:t>
      </w:r>
    </w:p>
    <w:p w:rsidR="00A917FF" w:rsidRPr="00BC7982" w:rsidRDefault="00A917FF" w:rsidP="0052196B">
      <w:pPr>
        <w:spacing w:line="480" w:lineRule="auto"/>
        <w:ind w:firstLine="720"/>
        <w:jc w:val="both"/>
        <w:rPr>
          <w:sz w:val="24"/>
          <w:szCs w:val="24"/>
        </w:rPr>
      </w:pPr>
    </w:p>
    <w:p w:rsidR="00A917FF" w:rsidRPr="00BC7982" w:rsidRDefault="00A917FF" w:rsidP="0052196B">
      <w:pPr>
        <w:spacing w:line="480" w:lineRule="auto"/>
        <w:jc w:val="both"/>
        <w:rPr>
          <w:b/>
          <w:sz w:val="24"/>
          <w:szCs w:val="24"/>
        </w:rPr>
      </w:pPr>
      <w:r w:rsidRPr="00BC7982">
        <w:rPr>
          <w:b/>
          <w:sz w:val="24"/>
          <w:szCs w:val="24"/>
        </w:rPr>
        <w:t xml:space="preserve">Future </w:t>
      </w:r>
      <w:r w:rsidRPr="00BC7982">
        <w:rPr>
          <w:b/>
          <w:noProof/>
          <w:sz w:val="24"/>
          <w:szCs w:val="24"/>
        </w:rPr>
        <w:t>directions</w:t>
      </w:r>
    </w:p>
    <w:p w:rsidR="00A917FF" w:rsidRPr="00BC7982" w:rsidRDefault="00A917FF" w:rsidP="0052196B">
      <w:pPr>
        <w:spacing w:line="480" w:lineRule="auto"/>
        <w:ind w:firstLine="720"/>
        <w:jc w:val="both"/>
        <w:rPr>
          <w:sz w:val="24"/>
          <w:szCs w:val="24"/>
        </w:rPr>
      </w:pPr>
      <w:r w:rsidRPr="00BC7982">
        <w:rPr>
          <w:sz w:val="24"/>
          <w:szCs w:val="24"/>
        </w:rPr>
        <w:t xml:space="preserve">The main objective and primary outcome of the individual patient data meta-analysis was to study the association between BMI and </w:t>
      </w:r>
      <w:r w:rsidRPr="00BC7982">
        <w:rPr>
          <w:noProof/>
          <w:sz w:val="24"/>
          <w:szCs w:val="24"/>
        </w:rPr>
        <w:t>mortality</w:t>
      </w:r>
      <w:r w:rsidRPr="00BC7982">
        <w:rPr>
          <w:sz w:val="24"/>
          <w:szCs w:val="24"/>
        </w:rPr>
        <w:t xml:space="preserve"> while the secondary outcomes </w:t>
      </w:r>
      <w:r w:rsidRPr="00BC7982">
        <w:rPr>
          <w:noProof/>
          <w:sz w:val="24"/>
          <w:szCs w:val="24"/>
        </w:rPr>
        <w:t>were focused</w:t>
      </w:r>
      <w:r w:rsidRPr="00BC7982">
        <w:rPr>
          <w:sz w:val="24"/>
          <w:szCs w:val="24"/>
        </w:rPr>
        <w:t xml:space="preserve"> </w:t>
      </w:r>
      <w:r w:rsidRPr="00BC7982">
        <w:rPr>
          <w:noProof/>
          <w:sz w:val="24"/>
          <w:szCs w:val="24"/>
        </w:rPr>
        <w:t>in</w:t>
      </w:r>
      <w:r w:rsidRPr="00BC7982">
        <w:rPr>
          <w:sz w:val="24"/>
          <w:szCs w:val="24"/>
        </w:rPr>
        <w:t xml:space="preserve"> </w:t>
      </w:r>
      <w:r>
        <w:rPr>
          <w:sz w:val="24"/>
          <w:szCs w:val="24"/>
        </w:rPr>
        <w:t xml:space="preserve">trying to identify </w:t>
      </w:r>
      <w:r w:rsidRPr="00BC7982">
        <w:rPr>
          <w:sz w:val="24"/>
          <w:szCs w:val="24"/>
        </w:rPr>
        <w:t xml:space="preserve">possible mechanisms. More </w:t>
      </w:r>
      <w:r w:rsidRPr="00BC7982">
        <w:rPr>
          <w:noProof/>
          <w:sz w:val="24"/>
          <w:szCs w:val="24"/>
        </w:rPr>
        <w:t>in-depth</w:t>
      </w:r>
      <w:r w:rsidRPr="00BC7982">
        <w:rPr>
          <w:sz w:val="24"/>
          <w:szCs w:val="24"/>
        </w:rPr>
        <w:t xml:space="preserve"> analysis </w:t>
      </w:r>
      <w:r w:rsidRPr="00BC7982">
        <w:rPr>
          <w:noProof/>
          <w:sz w:val="24"/>
          <w:szCs w:val="24"/>
        </w:rPr>
        <w:t>of</w:t>
      </w:r>
      <w:r w:rsidRPr="00BC7982">
        <w:rPr>
          <w:sz w:val="24"/>
          <w:szCs w:val="24"/>
        </w:rPr>
        <w:t xml:space="preserve"> each secondary outcome can be done, and may help to understand better how BMI impacts mortality. Analysis considering competing risks may change secondary outcomes estimates. Major bleeding </w:t>
      </w:r>
      <w:r w:rsidRPr="00BC7982">
        <w:rPr>
          <w:noProof/>
          <w:sz w:val="24"/>
          <w:szCs w:val="24"/>
        </w:rPr>
        <w:t>was clearly associated</w:t>
      </w:r>
      <w:r w:rsidRPr="00BC7982">
        <w:rPr>
          <w:sz w:val="24"/>
          <w:szCs w:val="24"/>
        </w:rPr>
        <w:t xml:space="preserve"> with BMI, but significant issues are still unresolved. Is major bleeding reduced in all situations, or only during PCI or CABG procedures? Major bleeding risk is sustained after discharge, suggesting relative under-dosing of long-term </w:t>
      </w:r>
      <w:r w:rsidRPr="00BC7982">
        <w:rPr>
          <w:noProof/>
          <w:sz w:val="24"/>
          <w:szCs w:val="24"/>
        </w:rPr>
        <w:t>antiplatelet</w:t>
      </w:r>
      <w:r w:rsidRPr="00BC7982">
        <w:rPr>
          <w:sz w:val="24"/>
          <w:szCs w:val="24"/>
        </w:rPr>
        <w:t xml:space="preserve"> therapy?</w:t>
      </w:r>
    </w:p>
    <w:p w:rsidR="00A917FF" w:rsidRPr="00BC7982" w:rsidRDefault="00A917FF" w:rsidP="0052196B">
      <w:pPr>
        <w:spacing w:line="480" w:lineRule="auto"/>
        <w:ind w:firstLine="720"/>
        <w:jc w:val="both"/>
        <w:rPr>
          <w:sz w:val="24"/>
          <w:szCs w:val="24"/>
        </w:rPr>
      </w:pPr>
      <w:r w:rsidRPr="00BC7982">
        <w:rPr>
          <w:sz w:val="24"/>
          <w:szCs w:val="24"/>
        </w:rPr>
        <w:t xml:space="preserve">The results of the study-level meta-analysis and the individual patient data meta-analysis strongly </w:t>
      </w:r>
      <w:r w:rsidRPr="00BC7982">
        <w:rPr>
          <w:noProof/>
          <w:sz w:val="24"/>
          <w:szCs w:val="24"/>
        </w:rPr>
        <w:t>suggest</w:t>
      </w:r>
      <w:r w:rsidRPr="00BC7982">
        <w:rPr>
          <w:sz w:val="24"/>
          <w:szCs w:val="24"/>
        </w:rPr>
        <w:t xml:space="preserve"> a reduced mortality risk among overweight and type I obesity patients who suffered and ACS. The lack of a single RCT testing weight reduction in post-ACS mortality, or in any other condition in which the paradox </w:t>
      </w:r>
      <w:r w:rsidRPr="00BC7982">
        <w:rPr>
          <w:noProof/>
          <w:sz w:val="24"/>
          <w:szCs w:val="24"/>
        </w:rPr>
        <w:t>was observed</w:t>
      </w:r>
      <w:r w:rsidRPr="00BC7982">
        <w:rPr>
          <w:sz w:val="24"/>
          <w:szCs w:val="24"/>
        </w:rPr>
        <w:t xml:space="preserve">, </w:t>
      </w:r>
      <w:r>
        <w:rPr>
          <w:noProof/>
          <w:sz w:val="24"/>
          <w:szCs w:val="24"/>
        </w:rPr>
        <w:t>limits</w:t>
      </w:r>
      <w:r w:rsidRPr="00BC7982">
        <w:rPr>
          <w:sz w:val="24"/>
          <w:szCs w:val="24"/>
        </w:rPr>
        <w:t xml:space="preserve"> the interpretation of </w:t>
      </w:r>
      <w:r>
        <w:rPr>
          <w:sz w:val="24"/>
          <w:szCs w:val="24"/>
        </w:rPr>
        <w:t>our</w:t>
      </w:r>
      <w:r w:rsidRPr="00BC7982">
        <w:rPr>
          <w:sz w:val="24"/>
          <w:szCs w:val="24"/>
        </w:rPr>
        <w:t xml:space="preserve"> observational data.  </w:t>
      </w:r>
      <w:r>
        <w:rPr>
          <w:sz w:val="24"/>
          <w:szCs w:val="24"/>
        </w:rPr>
        <w:t>A</w:t>
      </w:r>
      <w:r w:rsidRPr="00BC7982">
        <w:rPr>
          <w:sz w:val="24"/>
          <w:szCs w:val="24"/>
        </w:rPr>
        <w:t xml:space="preserve">n RCT showing benefits of weight reduction </w:t>
      </w:r>
      <w:r w:rsidRPr="00BC7982">
        <w:rPr>
          <w:noProof/>
          <w:sz w:val="24"/>
          <w:szCs w:val="24"/>
        </w:rPr>
        <w:t>would probably make</w:t>
      </w:r>
      <w:r w:rsidRPr="00BC7982">
        <w:rPr>
          <w:sz w:val="24"/>
          <w:szCs w:val="24"/>
        </w:rPr>
        <w:t xml:space="preserve"> all the observational data less relevant, similar to the hormone replacement therapy example. Current </w:t>
      </w:r>
      <w:r w:rsidRPr="00BC7982">
        <w:rPr>
          <w:sz w:val="24"/>
          <w:szCs w:val="24"/>
        </w:rPr>
        <w:lastRenderedPageBreak/>
        <w:t xml:space="preserve">major cardiology </w:t>
      </w:r>
      <w:proofErr w:type="gramStart"/>
      <w:r w:rsidRPr="00BC7982">
        <w:rPr>
          <w:sz w:val="24"/>
          <w:szCs w:val="24"/>
        </w:rPr>
        <w:t>societies</w:t>
      </w:r>
      <w:proofErr w:type="gramEnd"/>
      <w:r w:rsidRPr="00BC7982">
        <w:rPr>
          <w:sz w:val="24"/>
          <w:szCs w:val="24"/>
        </w:rPr>
        <w:t xml:space="preserve"> guidelines suggest </w:t>
      </w:r>
      <w:r w:rsidRPr="00BC7982">
        <w:rPr>
          <w:noProof/>
          <w:sz w:val="24"/>
          <w:szCs w:val="24"/>
        </w:rPr>
        <w:t>reducing</w:t>
      </w:r>
      <w:r w:rsidRPr="00BC7982">
        <w:rPr>
          <w:sz w:val="24"/>
          <w:szCs w:val="24"/>
        </w:rPr>
        <w:t xml:space="preserve"> BMI under 25 kg/m</w:t>
      </w:r>
      <w:r w:rsidRPr="00BC7982">
        <w:rPr>
          <w:sz w:val="24"/>
          <w:szCs w:val="24"/>
          <w:vertAlign w:val="superscript"/>
        </w:rPr>
        <w:t>2</w:t>
      </w:r>
      <w:r w:rsidRPr="00BC7982">
        <w:rPr>
          <w:sz w:val="24"/>
          <w:szCs w:val="24"/>
        </w:rPr>
        <w:t xml:space="preserve"> in patients who suffered a recent ACS.</w:t>
      </w:r>
      <w:r w:rsidRPr="00BC7982">
        <w:rPr>
          <w:noProof/>
          <w:sz w:val="24"/>
          <w:szCs w:val="24"/>
          <w:vertAlign w:val="superscript"/>
        </w:rPr>
        <w:t>50</w:t>
      </w:r>
      <w:r w:rsidRPr="00BC7982">
        <w:rPr>
          <w:sz w:val="24"/>
          <w:szCs w:val="24"/>
        </w:rPr>
        <w:t xml:space="preserve"> Are we doing more harm than good with this recommendation? The answer to this research question </w:t>
      </w:r>
      <w:r>
        <w:rPr>
          <w:sz w:val="24"/>
          <w:szCs w:val="24"/>
        </w:rPr>
        <w:t>is</w:t>
      </w:r>
      <w:r w:rsidRPr="00BC7982">
        <w:rPr>
          <w:sz w:val="24"/>
          <w:szCs w:val="24"/>
        </w:rPr>
        <w:t xml:space="preserve"> unanswered, and performing a </w:t>
      </w:r>
      <w:r w:rsidRPr="00BC7982">
        <w:rPr>
          <w:noProof/>
          <w:sz w:val="24"/>
          <w:szCs w:val="24"/>
        </w:rPr>
        <w:t>well-conducted</w:t>
      </w:r>
      <w:r w:rsidRPr="00BC7982">
        <w:rPr>
          <w:sz w:val="24"/>
          <w:szCs w:val="24"/>
        </w:rPr>
        <w:t xml:space="preserve"> RCT </w:t>
      </w:r>
      <w:r w:rsidRPr="00BC7982">
        <w:rPr>
          <w:noProof/>
          <w:sz w:val="24"/>
          <w:szCs w:val="24"/>
        </w:rPr>
        <w:t>would probably have</w:t>
      </w:r>
      <w:r w:rsidRPr="00BC7982">
        <w:rPr>
          <w:sz w:val="24"/>
          <w:szCs w:val="24"/>
        </w:rPr>
        <w:t xml:space="preserve"> a profound impact </w:t>
      </w:r>
      <w:r w:rsidRPr="00BC7982">
        <w:rPr>
          <w:noProof/>
          <w:sz w:val="24"/>
          <w:szCs w:val="24"/>
        </w:rPr>
        <w:t>on</w:t>
      </w:r>
      <w:r w:rsidRPr="00BC7982">
        <w:rPr>
          <w:sz w:val="24"/>
          <w:szCs w:val="24"/>
        </w:rPr>
        <w:t xml:space="preserve"> how </w:t>
      </w:r>
      <w:r>
        <w:rPr>
          <w:sz w:val="24"/>
          <w:szCs w:val="24"/>
        </w:rPr>
        <w:t xml:space="preserve">overweight and </w:t>
      </w:r>
      <w:r w:rsidRPr="00BC7982">
        <w:rPr>
          <w:sz w:val="24"/>
          <w:szCs w:val="24"/>
        </w:rPr>
        <w:t xml:space="preserve">obesity should </w:t>
      </w:r>
      <w:r w:rsidRPr="00BC7982">
        <w:rPr>
          <w:noProof/>
          <w:sz w:val="24"/>
          <w:szCs w:val="24"/>
        </w:rPr>
        <w:t>be managed</w:t>
      </w:r>
      <w:r w:rsidRPr="00BC7982">
        <w:rPr>
          <w:sz w:val="24"/>
          <w:szCs w:val="24"/>
        </w:rPr>
        <w:t xml:space="preserve"> after an ACS. </w:t>
      </w:r>
    </w:p>
    <w:p w:rsidR="00A917FF" w:rsidRPr="00BC7982" w:rsidRDefault="00A917FF" w:rsidP="0052196B">
      <w:pPr>
        <w:spacing w:line="480" w:lineRule="auto"/>
        <w:ind w:firstLine="720"/>
        <w:jc w:val="both"/>
        <w:rPr>
          <w:sz w:val="24"/>
          <w:szCs w:val="24"/>
        </w:rPr>
      </w:pPr>
    </w:p>
    <w:p w:rsidR="00A917FF" w:rsidRPr="00BC7982" w:rsidRDefault="00A917FF" w:rsidP="0052196B">
      <w:pPr>
        <w:spacing w:line="480" w:lineRule="auto"/>
        <w:jc w:val="both"/>
        <w:rPr>
          <w:b/>
          <w:sz w:val="24"/>
          <w:szCs w:val="24"/>
        </w:rPr>
      </w:pPr>
      <w:r w:rsidRPr="00BC7982">
        <w:rPr>
          <w:b/>
          <w:sz w:val="24"/>
          <w:szCs w:val="24"/>
        </w:rPr>
        <w:t>Conclusion</w:t>
      </w:r>
    </w:p>
    <w:p w:rsidR="00A917FF" w:rsidRPr="00BC7982" w:rsidRDefault="00A917FF" w:rsidP="0052196B">
      <w:pPr>
        <w:spacing w:line="480" w:lineRule="auto"/>
        <w:ind w:firstLine="720"/>
        <w:jc w:val="both"/>
        <w:rPr>
          <w:sz w:val="24"/>
          <w:szCs w:val="24"/>
        </w:rPr>
      </w:pPr>
      <w:r w:rsidRPr="00BC7982">
        <w:rPr>
          <w:sz w:val="24"/>
          <w:szCs w:val="24"/>
        </w:rPr>
        <w:t xml:space="preserve">Among patients with acute coronary syndromes, BMI was non-linearly associated with all-cause mortality, with </w:t>
      </w:r>
      <w:r>
        <w:rPr>
          <w:sz w:val="24"/>
          <w:szCs w:val="24"/>
        </w:rPr>
        <w:t xml:space="preserve">those with </w:t>
      </w:r>
      <w:r w:rsidRPr="00BC7982">
        <w:rPr>
          <w:sz w:val="24"/>
          <w:szCs w:val="24"/>
        </w:rPr>
        <w:t xml:space="preserve">overweight and type I obesity </w:t>
      </w:r>
      <w:r>
        <w:rPr>
          <w:sz w:val="24"/>
          <w:szCs w:val="24"/>
        </w:rPr>
        <w:t xml:space="preserve">having </w:t>
      </w:r>
      <w:r w:rsidRPr="00BC7982">
        <w:rPr>
          <w:sz w:val="24"/>
          <w:szCs w:val="24"/>
        </w:rPr>
        <w:t xml:space="preserve">the lowest risk categories. A reduced risk of bleeding, and probably a reduced ischemic risk and heart failure related death, may be the responsible mechanisms. </w:t>
      </w:r>
    </w:p>
    <w:p w:rsidR="00A917FF" w:rsidRPr="00BC7982" w:rsidRDefault="00A917FF" w:rsidP="0052196B">
      <w:pPr>
        <w:spacing w:line="480" w:lineRule="auto"/>
        <w:ind w:firstLine="720"/>
        <w:jc w:val="both"/>
        <w:rPr>
          <w:sz w:val="24"/>
          <w:szCs w:val="24"/>
        </w:rPr>
      </w:pPr>
      <w:r w:rsidRPr="00BC7982">
        <w:rPr>
          <w:sz w:val="24"/>
          <w:szCs w:val="24"/>
        </w:rPr>
        <w:t xml:space="preserve">This is the largest analysis of the obesity paradox in ACS. Our analysis provides new insights </w:t>
      </w:r>
      <w:r w:rsidRPr="00BC7982">
        <w:rPr>
          <w:noProof/>
          <w:sz w:val="24"/>
          <w:szCs w:val="24"/>
        </w:rPr>
        <w:t>into</w:t>
      </w:r>
      <w:r w:rsidRPr="00BC7982">
        <w:rPr>
          <w:sz w:val="24"/>
          <w:szCs w:val="24"/>
        </w:rPr>
        <w:t xml:space="preserve"> the understanding of the obesity paradox, including effect modification and potential mechanisms. </w:t>
      </w:r>
      <w:r w:rsidRPr="00BC7982">
        <w:rPr>
          <w:noProof/>
          <w:sz w:val="24"/>
          <w:szCs w:val="24"/>
        </w:rPr>
        <w:t xml:space="preserve">Given the previous observational literature, the present individual patient data meta-analysis results, </w:t>
      </w:r>
      <w:r>
        <w:rPr>
          <w:noProof/>
          <w:sz w:val="24"/>
          <w:szCs w:val="24"/>
        </w:rPr>
        <w:t xml:space="preserve">there is a need for large RCTs to confirm or refute these unexpected observations and to guide clinical decisions regarding weight loss after ACS. </w:t>
      </w:r>
    </w:p>
    <w:p w:rsidR="00A917FF" w:rsidRPr="00FE71A4" w:rsidRDefault="00A917FF" w:rsidP="0052196B">
      <w:pPr>
        <w:spacing w:line="480" w:lineRule="auto"/>
        <w:ind w:firstLine="720"/>
        <w:jc w:val="both"/>
      </w:pPr>
    </w:p>
    <w:p w:rsidR="00A917FF" w:rsidRPr="00651923" w:rsidRDefault="00A917FF" w:rsidP="0052196B">
      <w:pPr>
        <w:spacing w:line="480" w:lineRule="auto"/>
        <w:ind w:firstLine="720"/>
        <w:jc w:val="both"/>
      </w:pPr>
    </w:p>
    <w:p w:rsidR="00A917FF" w:rsidRDefault="00A917FF" w:rsidP="0052196B">
      <w:pPr>
        <w:jc w:val="both"/>
        <w:rPr>
          <w:b/>
        </w:rPr>
      </w:pPr>
      <w:r>
        <w:rPr>
          <w:b/>
        </w:rPr>
        <w:br w:type="page"/>
      </w:r>
    </w:p>
    <w:p w:rsidR="00A917FF" w:rsidRPr="00E36AAC" w:rsidRDefault="00A917FF" w:rsidP="0052196B">
      <w:pPr>
        <w:spacing w:line="480" w:lineRule="auto"/>
        <w:jc w:val="both"/>
        <w:rPr>
          <w:b/>
          <w:sz w:val="24"/>
          <w:szCs w:val="24"/>
        </w:rPr>
      </w:pPr>
      <w:r w:rsidRPr="00E36AAC">
        <w:rPr>
          <w:b/>
          <w:sz w:val="24"/>
          <w:szCs w:val="24"/>
        </w:rPr>
        <w:lastRenderedPageBreak/>
        <w:t>References:</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w:t>
      </w:r>
      <w:r w:rsidRPr="00E36AAC">
        <w:rPr>
          <w:rFonts w:ascii="Calibri" w:hAnsi="Calibri"/>
          <w:noProof/>
          <w:sz w:val="24"/>
          <w:szCs w:val="24"/>
        </w:rPr>
        <w:tab/>
        <w:t>Hoit BD, Gilpin EA, Maisel AA, Henning H, Carlisle J, Ross J, Jr. Influence of obesity on morbidity and mortality after acute myocardial infarction. American heart journal 1987;114:1334-41.</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w:t>
      </w:r>
      <w:r w:rsidRPr="00E36AAC">
        <w:rPr>
          <w:rFonts w:ascii="Calibri" w:hAnsi="Calibri"/>
          <w:noProof/>
          <w:sz w:val="24"/>
          <w:szCs w:val="24"/>
        </w:rPr>
        <w:tab/>
        <w:t>Kaplan RC, Heckbert SR, Furberg CD, Psaty BM. Predictors of subsequent coronary events, stroke, and death among survivors of first hospitalized myocardial infarction. Journal of clinical epidemiology 2002;55:654-64.</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w:t>
      </w:r>
      <w:r w:rsidRPr="00E36AAC">
        <w:rPr>
          <w:rFonts w:ascii="Calibri" w:hAnsi="Calibri"/>
          <w:noProof/>
          <w:sz w:val="24"/>
          <w:szCs w:val="24"/>
        </w:rPr>
        <w:tab/>
        <w:t>Berrington de Gonzalez A, Hartge P, Cerhan JR, et al. B</w:t>
      </w:r>
      <w:r w:rsidR="0052196B">
        <w:rPr>
          <w:rFonts w:ascii="Calibri" w:hAnsi="Calibri"/>
          <w:noProof/>
          <w:sz w:val="24"/>
          <w:szCs w:val="24"/>
        </w:rPr>
        <w:t>ody mass</w:t>
      </w:r>
      <w:r w:rsidRPr="00E36AAC">
        <w:rPr>
          <w:rFonts w:ascii="Calibri" w:hAnsi="Calibri"/>
          <w:noProof/>
          <w:sz w:val="24"/>
          <w:szCs w:val="24"/>
        </w:rPr>
        <w:t xml:space="preserve"> index and mortality among 1.46 million white adults. The New England journal of medicine 2010;363:2211-9.</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w:t>
      </w:r>
      <w:r w:rsidRPr="00E36AAC">
        <w:rPr>
          <w:rFonts w:ascii="Calibri" w:hAnsi="Calibri"/>
          <w:noProof/>
          <w:sz w:val="24"/>
          <w:szCs w:val="24"/>
        </w:rPr>
        <w:tab/>
        <w:t>Yi SW, Ohrr H, Shin SA, Yi JJ. Sex-age-specific association of body mass index with all-cause mortality among 12.8 million Korean adults: a prospective cohort study. International journal of epidemiology 2015.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5.</w:t>
      </w:r>
      <w:r w:rsidRPr="00E36AAC">
        <w:rPr>
          <w:rFonts w:ascii="Calibri" w:hAnsi="Calibri"/>
          <w:noProof/>
          <w:sz w:val="24"/>
          <w:szCs w:val="24"/>
        </w:rPr>
        <w:tab/>
        <w:t>Gallagher D, Visser M, Sepulveda D, Pierson RN, Harris T, Heymsfield SB. How useful is body mass index for comparison of body fatness across age, sex, and ethnic groups? American journal of epidemiology 1996;143:228-39.</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6.</w:t>
      </w:r>
      <w:r w:rsidRPr="00E36AAC">
        <w:rPr>
          <w:rFonts w:ascii="Calibri" w:hAnsi="Calibri"/>
          <w:noProof/>
          <w:sz w:val="24"/>
          <w:szCs w:val="24"/>
        </w:rPr>
        <w:tab/>
        <w:t>Wang J, Thornton JC, Russell M, Burastero S, Heymsfield S, Pierson RN, Jr. Asians have lower body mass index (BMI) but higher percent body fat than do whites: comparisons of anthropometric measurements. The American journal of clinical nutrition 1994;60:23-8.</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7.</w:t>
      </w:r>
      <w:r w:rsidRPr="00E36AAC">
        <w:rPr>
          <w:rFonts w:ascii="Calibri" w:hAnsi="Calibri"/>
          <w:noProof/>
          <w:sz w:val="24"/>
          <w:szCs w:val="24"/>
        </w:rPr>
        <w:tab/>
        <w:t xml:space="preserve">World Health Organization and International Obesity Task Force. The Asian-Pacific Perspective: Redefining Obesity and Its Treatment. Melbourne, Australia: Health Communications Australia. </w:t>
      </w:r>
      <w:r w:rsidRPr="00953E1B">
        <w:rPr>
          <w:rFonts w:ascii="Calibri" w:hAnsi="Calibri"/>
          <w:noProof/>
          <w:sz w:val="24"/>
          <w:szCs w:val="24"/>
        </w:rPr>
        <w:lastRenderedPageBreak/>
        <w:t>http://www.wpro.who.int/nutrition/documents/docs/Redefiningobesity.pdf?ua=1</w:t>
      </w:r>
      <w:r w:rsidRPr="00E36AAC">
        <w:rPr>
          <w:rFonts w:ascii="Calibri" w:hAnsi="Calibri"/>
          <w:noProof/>
          <w:sz w:val="24"/>
          <w:szCs w:val="24"/>
        </w:rPr>
        <w:t xml:space="preserve"> Last access Aug 2015. 2000.</w:t>
      </w:r>
    </w:p>
    <w:p w:rsidR="00A917FF" w:rsidRPr="00E36AAC" w:rsidRDefault="00A917FF" w:rsidP="0052196B">
      <w:pPr>
        <w:spacing w:after="0" w:line="480" w:lineRule="auto"/>
        <w:jc w:val="both"/>
        <w:rPr>
          <w:rFonts w:ascii="Calibri" w:hAnsi="Calibri"/>
          <w:noProof/>
          <w:sz w:val="24"/>
          <w:szCs w:val="24"/>
          <w:lang w:val="es-ES"/>
        </w:rPr>
      </w:pPr>
      <w:r w:rsidRPr="00E36AAC">
        <w:rPr>
          <w:rFonts w:ascii="Calibri" w:hAnsi="Calibri"/>
          <w:noProof/>
          <w:sz w:val="24"/>
          <w:szCs w:val="24"/>
        </w:rPr>
        <w:t>8.</w:t>
      </w:r>
      <w:r w:rsidRPr="00E36AAC">
        <w:rPr>
          <w:rFonts w:ascii="Calibri" w:hAnsi="Calibri"/>
          <w:noProof/>
          <w:sz w:val="24"/>
          <w:szCs w:val="24"/>
        </w:rPr>
        <w:tab/>
        <w:t>Appropriate b</w:t>
      </w:r>
      <w:r w:rsidR="0052196B">
        <w:rPr>
          <w:rFonts w:ascii="Calibri" w:hAnsi="Calibri"/>
          <w:noProof/>
          <w:sz w:val="24"/>
          <w:szCs w:val="24"/>
        </w:rPr>
        <w:t>ody mass</w:t>
      </w:r>
      <w:r w:rsidRPr="00E36AAC">
        <w:rPr>
          <w:rFonts w:ascii="Calibri" w:hAnsi="Calibri"/>
          <w:noProof/>
          <w:sz w:val="24"/>
          <w:szCs w:val="24"/>
        </w:rPr>
        <w:t xml:space="preserve"> index for Asian populations and its implications for policy and intervention strategies. </w:t>
      </w:r>
      <w:r w:rsidRPr="00E36AAC">
        <w:rPr>
          <w:rFonts w:ascii="Calibri" w:hAnsi="Calibri"/>
          <w:noProof/>
          <w:sz w:val="24"/>
          <w:szCs w:val="24"/>
          <w:lang w:val="es-ES"/>
        </w:rPr>
        <w:t>Lancet 2004;363:157-63.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lang w:val="es-ES"/>
        </w:rPr>
        <w:t>9.</w:t>
      </w:r>
      <w:r w:rsidRPr="00E36AAC">
        <w:rPr>
          <w:rFonts w:ascii="Calibri" w:hAnsi="Calibri"/>
          <w:noProof/>
          <w:sz w:val="24"/>
          <w:szCs w:val="24"/>
          <w:lang w:val="es-ES"/>
        </w:rPr>
        <w:tab/>
        <w:t xml:space="preserve">Romero-Corral A, Somers VK, Sierra-Johnson J, et al. </w:t>
      </w:r>
      <w:r w:rsidRPr="00E36AAC">
        <w:rPr>
          <w:rFonts w:ascii="Calibri" w:hAnsi="Calibri"/>
          <w:noProof/>
          <w:sz w:val="24"/>
          <w:szCs w:val="24"/>
        </w:rPr>
        <w:t>Accuracy of Body Mass Index to Diagnose Obesity In the US Adult Population. International journal of obesity (2005) 2008;32:959-66.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10.</w:t>
      </w:r>
      <w:r w:rsidRPr="00E36AAC">
        <w:rPr>
          <w:rFonts w:ascii="Calibri" w:hAnsi="Calibri"/>
          <w:noProof/>
          <w:sz w:val="24"/>
          <w:szCs w:val="24"/>
        </w:rPr>
        <w:tab/>
        <w:t>Herrmann J, Gersh BJ, Goldfinger JZ, et al. Body mass index and acute and long-term outcomes after acute myocardial infarction (from the Harmonizing Outcomes With Revascularization and Stents in Acute Myocardial Infarction Trial). The American journal of cardiology 2014;114:9-16.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11.</w:t>
      </w:r>
      <w:r w:rsidRPr="00E36AAC">
        <w:rPr>
          <w:rFonts w:ascii="Calibri" w:hAnsi="Calibri"/>
          <w:noProof/>
          <w:sz w:val="24"/>
          <w:szCs w:val="24"/>
        </w:rPr>
        <w:tab/>
        <w:t>Kragelund C, Hassager C, Hildebrandt P, Torp-Pedersen C, Kober L. Impact of obesity on long-term prognosis following acute myocardial infarction. International journal of cardiology 2005;98:123-31.</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12.</w:t>
      </w:r>
      <w:r w:rsidRPr="00E36AAC">
        <w:rPr>
          <w:rFonts w:ascii="Calibri" w:hAnsi="Calibri"/>
          <w:noProof/>
          <w:sz w:val="24"/>
          <w:szCs w:val="24"/>
        </w:rPr>
        <w:tab/>
        <w:t>Lee SH, Park JS, Kim W, et al. Impact of body mass index and waist-to-hip ratio on clinical outcomes in patients with ST-segment elevation acute myocardial infarction (from the Korean Acute Myocardial Infarction Registry). The American journal of cardiology 2008;102:957-65.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13.</w:t>
      </w:r>
      <w:r w:rsidRPr="00E36AAC">
        <w:rPr>
          <w:rFonts w:ascii="Calibri" w:hAnsi="Calibri"/>
          <w:noProof/>
          <w:sz w:val="24"/>
          <w:szCs w:val="24"/>
        </w:rPr>
        <w:tab/>
        <w:t>Romero-Corral A, Montori VM, Somers VK, et al. Association of bodyweight with total mortality and with cardiovascular events in coronary artery disease: a systematic review of cohort studies. Lancet 2006;368:666-78.</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lastRenderedPageBreak/>
        <w:t>14.</w:t>
      </w:r>
      <w:r w:rsidRPr="00E36AAC">
        <w:rPr>
          <w:rFonts w:ascii="Calibri" w:hAnsi="Calibri"/>
          <w:noProof/>
          <w:sz w:val="24"/>
          <w:szCs w:val="24"/>
        </w:rPr>
        <w:tab/>
        <w:t>Schmiegelow M, Torp-Pedersen C, Gislason GH, et al. Relation of body mass index to risk of stent thrombosis after percutaneous coronary intervention. The American journal of cardiology 2012;110:1592-7.</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15.</w:t>
      </w:r>
      <w:r w:rsidRPr="00E36AAC">
        <w:rPr>
          <w:rFonts w:ascii="Calibri" w:hAnsi="Calibri"/>
          <w:noProof/>
          <w:sz w:val="24"/>
          <w:szCs w:val="24"/>
        </w:rPr>
        <w:tab/>
        <w:t>Martin JL, Jia G, Martin SS, et al. The relationship of obesity to ischemic outcomes following coronary stent placement in contemporary practice. Catheterization and cardiovascular interventions : official journal of the Society for Cardiac Angiography &amp; Interventions 2006;67:563-70.</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16.</w:t>
      </w:r>
      <w:r w:rsidRPr="00E36AAC">
        <w:rPr>
          <w:rFonts w:ascii="Calibri" w:hAnsi="Calibri"/>
          <w:noProof/>
          <w:sz w:val="24"/>
          <w:szCs w:val="24"/>
        </w:rPr>
        <w:tab/>
        <w:t>Khalid U, Ather S, Bavishi C, et al. Pre-morbid body mass index and mortality after incident heart failure: the ARIC Study. Journal of the American College of Cardiology 2014;64:2743-9.</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17.</w:t>
      </w:r>
      <w:r w:rsidRPr="00E36AAC">
        <w:rPr>
          <w:rFonts w:ascii="Calibri" w:hAnsi="Calibri"/>
          <w:noProof/>
          <w:sz w:val="24"/>
          <w:szCs w:val="24"/>
        </w:rPr>
        <w:tab/>
        <w:t>Mahaffey KW, Tonev ST, Spinler SA, et al. Obesity in patients with non-ST-segment elevation acute coronary syndromes: results from the SYNERGY trial. International journal of cardiology 2010;139:123-33.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18.</w:t>
      </w:r>
      <w:r w:rsidRPr="00E36AAC">
        <w:rPr>
          <w:rFonts w:ascii="Calibri" w:hAnsi="Calibri"/>
          <w:noProof/>
          <w:sz w:val="24"/>
          <w:szCs w:val="24"/>
        </w:rPr>
        <w:tab/>
        <w:t>Das SR, Alexander KP, Chen AY, et al. Impact of body weight and extreme obesity on the presentation, treatment, and in-hospital outcomes of 50,149 patients with ST-Segment elevation myocardial infarction results from the NCDR (National Cardiovascular Data Registry). Journal of the American College of Cardiology 2011;58:2642-50.</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19.</w:t>
      </w:r>
      <w:r w:rsidRPr="00E36AAC">
        <w:rPr>
          <w:rFonts w:ascii="Calibri" w:hAnsi="Calibri"/>
          <w:noProof/>
          <w:sz w:val="24"/>
          <w:szCs w:val="24"/>
        </w:rPr>
        <w:tab/>
        <w:t>Eikelboom JW, Mehta SR, Anand SS, Xie C, Fox KA, Yusuf S. Adverse impact of bleeding on prognosis in patients with acute coronary syndromes. Circulation 2006;114:774-82.</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20.</w:t>
      </w:r>
      <w:r w:rsidRPr="00E36AAC">
        <w:rPr>
          <w:rFonts w:ascii="Calibri" w:hAnsi="Calibri"/>
          <w:noProof/>
          <w:sz w:val="24"/>
          <w:szCs w:val="24"/>
        </w:rPr>
        <w:tab/>
        <w:t>Yusuf S, Mehta SR, Chrolavicius S, et al. Comparison of fondaparinux and enoxaparin in acute coronary syndromes. The New England journal of medicine 2006;354:1464-76.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lastRenderedPageBreak/>
        <w:t>21.</w:t>
      </w:r>
      <w:r w:rsidRPr="00E36AAC">
        <w:rPr>
          <w:rFonts w:ascii="Calibri" w:hAnsi="Calibri"/>
          <w:noProof/>
          <w:sz w:val="24"/>
          <w:szCs w:val="24"/>
        </w:rPr>
        <w:tab/>
        <w:t>Niedziela J, Hudzik B, Niedziela N, et al. The obesity paradox in acute coronary syndrome: a meta-analysis. European journal of epidemiology 2014;29:801-12.</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22.</w:t>
      </w:r>
      <w:r w:rsidRPr="00E36AAC">
        <w:rPr>
          <w:rFonts w:ascii="Calibri" w:hAnsi="Calibri"/>
          <w:noProof/>
          <w:sz w:val="24"/>
          <w:szCs w:val="24"/>
        </w:rPr>
        <w:tab/>
        <w:t>Hutcheon JA, Chiolero A, Hanley JA. Random measurement error and regression dilution bias. BMJ 2010;340:c2289.</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23.</w:t>
      </w:r>
      <w:r w:rsidRPr="00E36AAC">
        <w:rPr>
          <w:rFonts w:ascii="Calibri" w:hAnsi="Calibri"/>
          <w:noProof/>
          <w:sz w:val="24"/>
          <w:szCs w:val="24"/>
        </w:rPr>
        <w:tab/>
        <w:t>Connor Gorber S, Tremblay M, Moher D, Gorber B. A comparison of direct vs. self-report measures for assessing height, weight and body mass index: a systematic review. Obesity reviews : an official journal of the International Association for the Study of Obesity 2007;8:307-26.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24.</w:t>
      </w:r>
      <w:r w:rsidRPr="00E36AAC">
        <w:rPr>
          <w:rFonts w:ascii="Calibri" w:hAnsi="Calibri"/>
          <w:noProof/>
          <w:sz w:val="24"/>
          <w:szCs w:val="24"/>
        </w:rPr>
        <w:tab/>
        <w:t>Hattori A, Sturm R. The obesity epidemic and changes in self-report biases in BMI. Obesity (Silver Spring) 2013;21:856-60.</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25.</w:t>
      </w:r>
      <w:r w:rsidRPr="00E36AAC">
        <w:rPr>
          <w:rFonts w:ascii="Calibri" w:hAnsi="Calibri"/>
          <w:noProof/>
          <w:sz w:val="24"/>
          <w:szCs w:val="24"/>
        </w:rPr>
        <w:tab/>
        <w:t>O'Keefe JH, Jr., Kim SC, Hall RR, Cochran VC, Lawhorn SL, McCallister BD. Estrogen replacement therapy after coronary angioplasty in women. Journal of the American College of Cardiology 1997;29:1-5.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26.</w:t>
      </w:r>
      <w:r w:rsidRPr="00E36AAC">
        <w:rPr>
          <w:rFonts w:ascii="Calibri" w:hAnsi="Calibri"/>
          <w:noProof/>
          <w:sz w:val="24"/>
          <w:szCs w:val="24"/>
        </w:rPr>
        <w:tab/>
        <w:t>Henderson BE, Paganini-Hill A, Ross RK. Decreased mortality in users of estrogen replacement therapy. Archives of internal medicine 1991;151:75-8.</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27.</w:t>
      </w:r>
      <w:r w:rsidRPr="00E36AAC">
        <w:rPr>
          <w:rFonts w:ascii="Calibri" w:hAnsi="Calibri"/>
          <w:noProof/>
          <w:sz w:val="24"/>
          <w:szCs w:val="24"/>
        </w:rPr>
        <w:tab/>
        <w:t>Hulley S, Grady D, Bush T, et al. Randomized trial of estrogen plus progestin for secondary prevention of coronary heart disease in postmenopausal women. Heart and Estrogen/progestin Replacement Study (HERS) Research Group. Jama 1998;280:605-13.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28.</w:t>
      </w:r>
      <w:r w:rsidRPr="00E36AAC">
        <w:rPr>
          <w:rFonts w:ascii="Calibri" w:hAnsi="Calibri"/>
          <w:noProof/>
          <w:sz w:val="24"/>
          <w:szCs w:val="24"/>
        </w:rPr>
        <w:tab/>
        <w:t>Lawlor DA, Smith GD, Ebrahim S. Socioeconomic position and hormone replacement therapy use: explaining the discrepancy in evidence from observational and randomized controlled trials. American journal of public health 2004;94:2149-54.</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lastRenderedPageBreak/>
        <w:t>29.</w:t>
      </w:r>
      <w:r w:rsidRPr="00E36AAC">
        <w:rPr>
          <w:rFonts w:ascii="Calibri" w:hAnsi="Calibri"/>
          <w:noProof/>
          <w:sz w:val="24"/>
          <w:szCs w:val="24"/>
        </w:rPr>
        <w:tab/>
        <w:t>Splansky GL, Corey D, Yang Q, et al. The Third Generation Cohort of the National Heart, Lung, and Blood Institute's Framingham Heart Study: design, recruitment, and initial examination. American journal of epidemiology 2007;165:1328-35.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30.</w:t>
      </w:r>
      <w:r w:rsidRPr="00E36AAC">
        <w:rPr>
          <w:rFonts w:ascii="Calibri" w:hAnsi="Calibri"/>
          <w:noProof/>
          <w:sz w:val="24"/>
          <w:szCs w:val="24"/>
        </w:rPr>
        <w:tab/>
        <w:t>Fox KA, Steg PG, Eagle KA, et al. Decline in rates of death and heart failure in acute coronary syndromes, 1999-2006. Jama 2007;297:1892-900.</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31.</w:t>
      </w:r>
      <w:r w:rsidRPr="00E36AAC">
        <w:rPr>
          <w:rFonts w:ascii="Calibri" w:hAnsi="Calibri"/>
          <w:noProof/>
          <w:sz w:val="24"/>
          <w:szCs w:val="24"/>
        </w:rPr>
        <w:tab/>
        <w:t>De Schutter A, Lavie CJ, Milani RV. The impact of obesity on risk factors and prevalence and prognosis of coronary heart disease-the obesity paradox. Progress in cardiovascular diseases 2014;56:401-8.</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32.</w:t>
      </w:r>
      <w:r w:rsidRPr="00E36AAC">
        <w:rPr>
          <w:rFonts w:ascii="Calibri" w:hAnsi="Calibri"/>
          <w:noProof/>
          <w:sz w:val="24"/>
          <w:szCs w:val="24"/>
        </w:rPr>
        <w:tab/>
        <w:t>Hutchison GB, Shapiro S. Lead time gained by diagnostic screening for breast cancer. Journal of the National Cancer Institute 1968;41:665-81.</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33.</w:t>
      </w:r>
      <w:r w:rsidRPr="00E36AAC">
        <w:rPr>
          <w:rFonts w:ascii="Calibri" w:hAnsi="Calibri"/>
          <w:noProof/>
          <w:sz w:val="24"/>
          <w:szCs w:val="24"/>
        </w:rPr>
        <w:tab/>
        <w:t>D'Agostino RB, Sr., Vasan RS, Pencina MJ, et al. General cardiovascular risk profile for use in primary care: the Framingham Heart Study. Circulation 2008;117:743-53.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34.</w:t>
      </w:r>
      <w:r w:rsidRPr="00E36AAC">
        <w:rPr>
          <w:rFonts w:ascii="Calibri" w:hAnsi="Calibri"/>
          <w:noProof/>
          <w:sz w:val="24"/>
          <w:szCs w:val="24"/>
        </w:rPr>
        <w:tab/>
        <w:t>Ahrens W, Pigeot I. Handbook of Epidemiology; 2007.</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35.</w:t>
      </w:r>
      <w:r w:rsidRPr="00E36AAC">
        <w:rPr>
          <w:rFonts w:ascii="Calibri" w:hAnsi="Calibri"/>
          <w:noProof/>
          <w:sz w:val="24"/>
          <w:szCs w:val="24"/>
        </w:rPr>
        <w:tab/>
        <w:t>Zhang YJ, Iqbal J, van Klaveren D, et al. Smoking is associated with adverse clinical outcomes in patients undergoing revascularization with PCI or CABG: the SYNTAX trial at 5-year follow-up. Journal of the American College of Cardiology 2015;65:1107-15.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36.</w:t>
      </w:r>
      <w:r w:rsidRPr="00E36AAC">
        <w:rPr>
          <w:rFonts w:ascii="Calibri" w:hAnsi="Calibri"/>
          <w:noProof/>
          <w:sz w:val="24"/>
          <w:szCs w:val="24"/>
        </w:rPr>
        <w:tab/>
        <w:t>Flegal KM, Graubard BI, Williamson DF, Cooper RS. Reverse causation and illness-related weight loss in observational studies of body weight and mortality. American journal of epidemiology 2011;173:1-9.</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37.</w:t>
      </w:r>
      <w:r w:rsidRPr="00E36AAC">
        <w:rPr>
          <w:rFonts w:ascii="Calibri" w:hAnsi="Calibri"/>
          <w:noProof/>
          <w:sz w:val="24"/>
          <w:szCs w:val="24"/>
        </w:rPr>
        <w:tab/>
        <w:t>Lainscak M, Podbregar M, Anker SD. How does cachexia influence survival in cancer, heart failure and other chronic diseases? Current opinion in supportive and palliative care 2007;1:299-305.</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lastRenderedPageBreak/>
        <w:t>38.</w:t>
      </w:r>
      <w:r w:rsidRPr="00E36AAC">
        <w:rPr>
          <w:rFonts w:ascii="Calibri" w:hAnsi="Calibri"/>
          <w:noProof/>
          <w:sz w:val="24"/>
          <w:szCs w:val="24"/>
        </w:rPr>
        <w:tab/>
        <w:t>Lankisch P, Gerzmann M, Gerzmann JF, Lehnick D. Unintentional weight loss: diagnosis and prognosis. The first prospective follow-up study from a secondary referral centre. Journal of internal medicine 2001;249:41-6.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39.</w:t>
      </w:r>
      <w:r w:rsidRPr="00E36AAC">
        <w:rPr>
          <w:rFonts w:ascii="Calibri" w:hAnsi="Calibri"/>
          <w:noProof/>
          <w:sz w:val="24"/>
          <w:szCs w:val="24"/>
        </w:rPr>
        <w:tab/>
        <w:t>Wilcosky T, Hyde J, Anderson JJ, Bangdiwala S, Duncan B. Obesity and mortality in the Lipid Research Clinics Program Follow-up Study. Journal of clinical epidemiology 1990;43:743-52.</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40.</w:t>
      </w:r>
      <w:r w:rsidRPr="00E36AAC">
        <w:rPr>
          <w:rFonts w:ascii="Calibri" w:hAnsi="Calibri"/>
          <w:noProof/>
          <w:sz w:val="24"/>
          <w:szCs w:val="24"/>
        </w:rPr>
        <w:tab/>
        <w:t>Peterson B, Trell E. Premature mortality in middle-aged men: serum cholesterol as risk factor. Klinische Wochenschrift 1983;61:795-801.</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41.</w:t>
      </w:r>
      <w:r w:rsidRPr="00E36AAC">
        <w:rPr>
          <w:rFonts w:ascii="Calibri" w:hAnsi="Calibri"/>
          <w:noProof/>
          <w:sz w:val="24"/>
          <w:szCs w:val="24"/>
        </w:rPr>
        <w:tab/>
        <w:t>Rose G, Shipley MJ. Plasma lipids and mortality: a source of error. Lancet 1980;1:523-6.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42.</w:t>
      </w:r>
      <w:r w:rsidRPr="00E36AAC">
        <w:rPr>
          <w:rFonts w:ascii="Calibri" w:hAnsi="Calibri"/>
          <w:noProof/>
          <w:sz w:val="24"/>
          <w:szCs w:val="24"/>
        </w:rPr>
        <w:tab/>
        <w:t>Ma J, Li H, Giovannucci E, et al. Prediagnostic b</w:t>
      </w:r>
      <w:r w:rsidR="0052196B">
        <w:rPr>
          <w:rFonts w:ascii="Calibri" w:hAnsi="Calibri"/>
          <w:noProof/>
          <w:sz w:val="24"/>
          <w:szCs w:val="24"/>
        </w:rPr>
        <w:t>ody mass</w:t>
      </w:r>
      <w:r w:rsidRPr="00E36AAC">
        <w:rPr>
          <w:rFonts w:ascii="Calibri" w:hAnsi="Calibri"/>
          <w:noProof/>
          <w:sz w:val="24"/>
          <w:szCs w:val="24"/>
        </w:rPr>
        <w:t xml:space="preserve"> index, plasma C-peptide concentration, and prostate cancer-specific mortality in men with prostate cancer: a long-term survival analysis. The Lancet Oncology 2008;9:1039-47.</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43.</w:t>
      </w:r>
      <w:r w:rsidRPr="00E36AAC">
        <w:rPr>
          <w:rFonts w:ascii="Calibri" w:hAnsi="Calibri"/>
          <w:noProof/>
          <w:sz w:val="24"/>
          <w:szCs w:val="24"/>
        </w:rPr>
        <w:tab/>
        <w:t>Rapp K, Klenk J, Ulmer H, et al. Weight change and cancer risk in a cohort of more than 65,000 adults in Austria. Annals of oncology : official journal of the European Society for Medical Oncology / ESMO 2008;19:641-8.</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44.</w:t>
      </w:r>
      <w:r w:rsidRPr="00E36AAC">
        <w:rPr>
          <w:rFonts w:ascii="Calibri" w:hAnsi="Calibri"/>
          <w:noProof/>
          <w:sz w:val="24"/>
          <w:szCs w:val="24"/>
        </w:rPr>
        <w:tab/>
        <w:t>Kritchevsky SB, Wilcosky TC, Morris DL, Truong KN, Tyroler HA. Changes in plasma lipid and lipoprotein cholesterol and weight prior to the diagnosis of cancer. Cancer research 1991;51:3198-203.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45.</w:t>
      </w:r>
      <w:r w:rsidRPr="00E36AAC">
        <w:rPr>
          <w:rFonts w:ascii="Calibri" w:hAnsi="Calibri"/>
          <w:noProof/>
          <w:sz w:val="24"/>
          <w:szCs w:val="24"/>
        </w:rPr>
        <w:tab/>
        <w:t>Stevens J, Juhaeri, Cai J. Changes in body mass index prior to baseline among participants who are ill or who die during the early years of follow-up. American journal of epidemiology 2001;153:946-53.</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lastRenderedPageBreak/>
        <w:t>46.</w:t>
      </w:r>
      <w:r w:rsidRPr="00E36AAC">
        <w:rPr>
          <w:rFonts w:ascii="Calibri" w:hAnsi="Calibri"/>
          <w:noProof/>
          <w:sz w:val="24"/>
          <w:szCs w:val="24"/>
        </w:rPr>
        <w:tab/>
        <w:t>Greenberg JA. The obesity paradox in the US population. The American journal of clinical nutrition 2013;97:1195-200.</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47.</w:t>
      </w:r>
      <w:r w:rsidRPr="00E36AAC">
        <w:rPr>
          <w:rFonts w:ascii="Calibri" w:hAnsi="Calibri"/>
          <w:noProof/>
          <w:sz w:val="24"/>
          <w:szCs w:val="24"/>
        </w:rPr>
        <w:tab/>
        <w:t>Whitlock G, Lewington S, Sherliker P, et al. B</w:t>
      </w:r>
      <w:r w:rsidR="0052196B">
        <w:rPr>
          <w:rFonts w:ascii="Calibri" w:hAnsi="Calibri"/>
          <w:noProof/>
          <w:sz w:val="24"/>
          <w:szCs w:val="24"/>
        </w:rPr>
        <w:t>ody mass</w:t>
      </w:r>
      <w:r w:rsidRPr="00E36AAC">
        <w:rPr>
          <w:rFonts w:ascii="Calibri" w:hAnsi="Calibri"/>
          <w:noProof/>
          <w:sz w:val="24"/>
          <w:szCs w:val="24"/>
        </w:rPr>
        <w:t xml:space="preserve"> index and cause-specific mortality in 900 000 adults: collaborative analyses of 57 prospective studies. Lancet 2009;373:1083-96.</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48.</w:t>
      </w:r>
      <w:r w:rsidRPr="00E36AAC">
        <w:rPr>
          <w:rFonts w:ascii="Calibri" w:hAnsi="Calibri"/>
          <w:noProof/>
          <w:sz w:val="24"/>
          <w:szCs w:val="24"/>
        </w:rPr>
        <w:tab/>
        <w:t>Hozawa A, Okamura T, Oki I, et al. Relationship between BMI and all-cause mortality in Japan: NIPPON DATA80. Obesity (Silver Spring) 2008;16:1714-7.</w:t>
      </w:r>
    </w:p>
    <w:p w:rsidR="00A917FF" w:rsidRPr="00E36AAC" w:rsidRDefault="00A917FF" w:rsidP="0052196B">
      <w:pPr>
        <w:spacing w:after="0" w:line="480" w:lineRule="auto"/>
        <w:jc w:val="both"/>
        <w:rPr>
          <w:rFonts w:ascii="Calibri" w:hAnsi="Calibri"/>
          <w:noProof/>
          <w:sz w:val="24"/>
          <w:szCs w:val="24"/>
        </w:rPr>
      </w:pPr>
      <w:r w:rsidRPr="00E36AAC">
        <w:rPr>
          <w:rFonts w:ascii="Calibri" w:hAnsi="Calibri"/>
          <w:noProof/>
          <w:sz w:val="24"/>
          <w:szCs w:val="24"/>
        </w:rPr>
        <w:t>49.</w:t>
      </w:r>
      <w:r w:rsidRPr="00E36AAC">
        <w:rPr>
          <w:rFonts w:ascii="Calibri" w:hAnsi="Calibri"/>
          <w:noProof/>
          <w:sz w:val="24"/>
          <w:szCs w:val="24"/>
        </w:rPr>
        <w:tab/>
        <w:t>Pednekar MS, Hakama M, Hebert JR, Gupta PC. Association of body mass index with all-cause and cause-specific mortality: findings from a prospective cohort study in Mumbai (Bombay), India. International journal of epidemiology 2008;37:524-35.</w:t>
      </w:r>
    </w:p>
    <w:p w:rsidR="00A917FF" w:rsidRPr="00E36AAC" w:rsidRDefault="00A917FF" w:rsidP="0052196B">
      <w:pPr>
        <w:spacing w:line="480" w:lineRule="auto"/>
        <w:jc w:val="both"/>
        <w:rPr>
          <w:rFonts w:ascii="Calibri" w:hAnsi="Calibri"/>
          <w:noProof/>
          <w:sz w:val="24"/>
          <w:szCs w:val="24"/>
        </w:rPr>
      </w:pPr>
      <w:r w:rsidRPr="00E36AAC">
        <w:rPr>
          <w:rFonts w:ascii="Calibri" w:hAnsi="Calibri"/>
          <w:noProof/>
          <w:sz w:val="24"/>
          <w:szCs w:val="24"/>
        </w:rPr>
        <w:t>50.</w:t>
      </w:r>
      <w:r w:rsidRPr="00E36AAC">
        <w:rPr>
          <w:rFonts w:ascii="Calibri" w:hAnsi="Calibri"/>
          <w:noProof/>
          <w:sz w:val="24"/>
          <w:szCs w:val="24"/>
        </w:rPr>
        <w:tab/>
        <w:t>Steg PG, James SK, Atar D, et al. ESC Guidelines for the management of acute myocardial infarction in patients presenting with ST-segment elevation. European heart journal 2012;33:2569-619.</w:t>
      </w:r>
    </w:p>
    <w:p w:rsidR="001360A5" w:rsidRDefault="001360A5" w:rsidP="0052196B">
      <w:pPr>
        <w:jc w:val="both"/>
      </w:pPr>
    </w:p>
    <w:sectPr w:rsidR="001360A5" w:rsidSect="00081DC9">
      <w:pgSz w:w="12240" w:h="15840"/>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12C" w:rsidRDefault="0052012C">
      <w:pPr>
        <w:spacing w:after="0" w:line="240" w:lineRule="auto"/>
      </w:pPr>
      <w:r>
        <w:separator/>
      </w:r>
    </w:p>
  </w:endnote>
  <w:endnote w:type="continuationSeparator" w:id="0">
    <w:p w:rsidR="0052012C" w:rsidRDefault="00520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187216"/>
      <w:docPartObj>
        <w:docPartGallery w:val="Page Numbers (Bottom of Page)"/>
        <w:docPartUnique/>
      </w:docPartObj>
    </w:sdtPr>
    <w:sdtEndPr>
      <w:rPr>
        <w:noProof/>
      </w:rPr>
    </w:sdtEndPr>
    <w:sdtContent>
      <w:p w:rsidR="00DC7437" w:rsidRDefault="00DC7437">
        <w:pPr>
          <w:pStyle w:val="Piedepgina"/>
          <w:jc w:val="center"/>
        </w:pPr>
        <w:r>
          <w:fldChar w:fldCharType="begin"/>
        </w:r>
        <w:r>
          <w:instrText xml:space="preserve"> PAGE   \* MERGEFORMAT </w:instrText>
        </w:r>
        <w:r>
          <w:fldChar w:fldCharType="separate"/>
        </w:r>
        <w:r w:rsidR="00D32FCB">
          <w:rPr>
            <w:noProof/>
          </w:rPr>
          <w:t>II</w:t>
        </w:r>
        <w:r>
          <w:rPr>
            <w:noProof/>
          </w:rPr>
          <w:fldChar w:fldCharType="end"/>
        </w:r>
      </w:p>
    </w:sdtContent>
  </w:sdt>
  <w:p w:rsidR="00DC7437" w:rsidRDefault="00DC74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015252"/>
      <w:docPartObj>
        <w:docPartGallery w:val="Page Numbers (Bottom of Page)"/>
        <w:docPartUnique/>
      </w:docPartObj>
    </w:sdtPr>
    <w:sdtEndPr>
      <w:rPr>
        <w:noProof/>
      </w:rPr>
    </w:sdtEndPr>
    <w:sdtContent>
      <w:p w:rsidR="00DC7437" w:rsidRDefault="00DC7437">
        <w:pPr>
          <w:pStyle w:val="Piedepgina"/>
          <w:jc w:val="center"/>
        </w:pPr>
        <w:r>
          <w:fldChar w:fldCharType="begin"/>
        </w:r>
        <w:r>
          <w:instrText xml:space="preserve"> PAGE   \* MERGEFORMAT </w:instrText>
        </w:r>
        <w:r>
          <w:fldChar w:fldCharType="separate"/>
        </w:r>
        <w:r w:rsidR="00D32FCB">
          <w:rPr>
            <w:noProof/>
          </w:rPr>
          <w:t>5</w:t>
        </w:r>
        <w:r>
          <w:rPr>
            <w:noProof/>
          </w:rPr>
          <w:fldChar w:fldCharType="end"/>
        </w:r>
      </w:p>
    </w:sdtContent>
  </w:sdt>
  <w:p w:rsidR="00DC7437" w:rsidRDefault="00DC743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594844"/>
      <w:docPartObj>
        <w:docPartGallery w:val="Page Numbers (Bottom of Page)"/>
        <w:docPartUnique/>
      </w:docPartObj>
    </w:sdtPr>
    <w:sdtEndPr>
      <w:rPr>
        <w:noProof/>
      </w:rPr>
    </w:sdtEndPr>
    <w:sdtContent>
      <w:p w:rsidR="00DC7437" w:rsidRDefault="00DC7437">
        <w:pPr>
          <w:pStyle w:val="Piedepgina"/>
          <w:jc w:val="center"/>
        </w:pPr>
        <w:r>
          <w:fldChar w:fldCharType="begin"/>
        </w:r>
        <w:r>
          <w:instrText xml:space="preserve"> PAGE   \* MERGEFORMAT </w:instrText>
        </w:r>
        <w:r>
          <w:fldChar w:fldCharType="separate"/>
        </w:r>
        <w:r w:rsidR="00D32FCB">
          <w:rPr>
            <w:noProof/>
          </w:rPr>
          <w:t>87</w:t>
        </w:r>
        <w:r>
          <w:rPr>
            <w:noProof/>
          </w:rPr>
          <w:fldChar w:fldCharType="end"/>
        </w:r>
      </w:p>
    </w:sdtContent>
  </w:sdt>
  <w:p w:rsidR="00DC7437" w:rsidRDefault="00DC74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12C" w:rsidRDefault="0052012C">
      <w:pPr>
        <w:spacing w:after="0" w:line="240" w:lineRule="auto"/>
      </w:pPr>
      <w:r>
        <w:separator/>
      </w:r>
    </w:p>
  </w:footnote>
  <w:footnote w:type="continuationSeparator" w:id="0">
    <w:p w:rsidR="0052012C" w:rsidRDefault="00520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37" w:rsidRPr="00585903" w:rsidRDefault="00DC7437" w:rsidP="00081DC9">
    <w:pPr>
      <w:pStyle w:val="Sinespaciado"/>
      <w:spacing w:line="480" w:lineRule="auto"/>
    </w:pPr>
    <w:r w:rsidRPr="00DE795B">
      <w:rPr>
        <w:b/>
      </w:rPr>
      <w:t>MSc Thesis</w:t>
    </w:r>
    <w:r>
      <w:rPr>
        <w:b/>
      </w:rPr>
      <w:t xml:space="preserve"> - Health Research Methodology </w:t>
    </w:r>
    <w:r>
      <w:rPr>
        <w:b/>
      </w:rPr>
      <w:tab/>
    </w:r>
    <w:r>
      <w:rPr>
        <w:b/>
      </w:rPr>
      <w:tab/>
    </w:r>
    <w:r>
      <w:rPr>
        <w:b/>
      </w:rPr>
      <w:tab/>
    </w:r>
    <w:r>
      <w:rPr>
        <w:b/>
      </w:rPr>
      <w:tab/>
      <w:t xml:space="preserve">                          </w:t>
    </w:r>
    <w:r>
      <w:t>Pablo M Lamelas</w:t>
    </w:r>
  </w:p>
  <w:p w:rsidR="00DC7437" w:rsidRDefault="00DC74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37" w:rsidRPr="00585903" w:rsidRDefault="00DC7437" w:rsidP="00081DC9">
    <w:pPr>
      <w:pStyle w:val="Sinespaciado"/>
      <w:spacing w:line="480" w:lineRule="auto"/>
    </w:pPr>
    <w:r w:rsidRPr="00DE795B">
      <w:rPr>
        <w:b/>
      </w:rPr>
      <w:t>MSc Thesis</w:t>
    </w:r>
    <w:r>
      <w:rPr>
        <w:b/>
      </w:rPr>
      <w:t xml:space="preserve"> - Health Research Methodology </w:t>
    </w:r>
    <w:r>
      <w:rPr>
        <w:b/>
      </w:rPr>
      <w:tab/>
    </w:r>
    <w:r>
      <w:rPr>
        <w:b/>
      </w:rPr>
      <w:tab/>
    </w:r>
    <w:r>
      <w:rPr>
        <w:b/>
      </w:rPr>
      <w:tab/>
    </w:r>
    <w:r>
      <w:rPr>
        <w:b/>
      </w:rPr>
      <w:tab/>
      <w:t xml:space="preserve">                          </w:t>
    </w:r>
    <w:r>
      <w:t>Pablo M Lamelas</w:t>
    </w:r>
  </w:p>
  <w:p w:rsidR="00DC7437" w:rsidRDefault="00DC743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437" w:rsidRPr="00585903" w:rsidRDefault="00DC7437" w:rsidP="00081DC9">
    <w:pPr>
      <w:pStyle w:val="Sinespaciado"/>
      <w:spacing w:line="480" w:lineRule="auto"/>
    </w:pPr>
    <w:r w:rsidRPr="00DE795B">
      <w:rPr>
        <w:b/>
      </w:rPr>
      <w:t>MSc Thesis</w:t>
    </w:r>
    <w:r>
      <w:rPr>
        <w:b/>
      </w:rPr>
      <w:t xml:space="preserve"> - Health Research Methodology </w:t>
    </w:r>
    <w:r>
      <w:rPr>
        <w:b/>
      </w:rPr>
      <w:tab/>
    </w:r>
    <w:r>
      <w:rPr>
        <w:b/>
      </w:rPr>
      <w:tab/>
    </w:r>
    <w:r>
      <w:rPr>
        <w:b/>
      </w:rPr>
      <w:tab/>
    </w:r>
    <w:r>
      <w:rPr>
        <w:b/>
      </w:rPr>
      <w:tab/>
      <w:t xml:space="preserve">                          </w:t>
    </w:r>
    <w:r>
      <w:t>Pablo M Lamelas</w:t>
    </w:r>
  </w:p>
  <w:p w:rsidR="00DC7437" w:rsidRDefault="00DC74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33A2B"/>
    <w:multiLevelType w:val="hybridMultilevel"/>
    <w:tmpl w:val="8B8848A2"/>
    <w:lvl w:ilvl="0" w:tplc="EAAA3C9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BA6183"/>
    <w:multiLevelType w:val="hybridMultilevel"/>
    <w:tmpl w:val="61520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283239"/>
    <w:multiLevelType w:val="hybridMultilevel"/>
    <w:tmpl w:val="6994D9F4"/>
    <w:lvl w:ilvl="0" w:tplc="D4F2C56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D7137E"/>
    <w:multiLevelType w:val="hybridMultilevel"/>
    <w:tmpl w:val="AD5638A8"/>
    <w:lvl w:ilvl="0" w:tplc="0409000B">
      <w:start w:val="8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F06482"/>
    <w:multiLevelType w:val="hybridMultilevel"/>
    <w:tmpl w:val="60925148"/>
    <w:lvl w:ilvl="0" w:tplc="763EC9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0B79DF"/>
    <w:multiLevelType w:val="hybridMultilevel"/>
    <w:tmpl w:val="86F86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170333"/>
    <w:multiLevelType w:val="hybridMultilevel"/>
    <w:tmpl w:val="E8D4D15A"/>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610CA7"/>
    <w:multiLevelType w:val="hybridMultilevel"/>
    <w:tmpl w:val="65E47578"/>
    <w:lvl w:ilvl="0" w:tplc="42BC8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65001C3"/>
    <w:multiLevelType w:val="hybridMultilevel"/>
    <w:tmpl w:val="EC42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1447D1"/>
    <w:multiLevelType w:val="hybridMultilevel"/>
    <w:tmpl w:val="F3FA8186"/>
    <w:lvl w:ilvl="0" w:tplc="9C26E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B37710"/>
    <w:multiLevelType w:val="hybridMultilevel"/>
    <w:tmpl w:val="00749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D256F5"/>
    <w:multiLevelType w:val="hybridMultilevel"/>
    <w:tmpl w:val="7004ED28"/>
    <w:lvl w:ilvl="0" w:tplc="DB8E924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4"/>
  </w:num>
  <w:num w:numId="5">
    <w:abstractNumId w:val="11"/>
  </w:num>
  <w:num w:numId="6">
    <w:abstractNumId w:val="9"/>
  </w:num>
  <w:num w:numId="7">
    <w:abstractNumId w:val="7"/>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2"/>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MDc2M7QwNjUysLC0NDRT0lEKTi0uzszPAykwqwUAt/j4niwAAAA="/>
    <w:docVar w:name="EN.InstantFormat" w:val="&lt;ENInstantFormat&gt;&lt;Enabled&gt;1&lt;/Enabled&gt;&lt;ScanUnformatted&gt;1&lt;/ScanUnformatted&gt;&lt;ScanChanges&gt;1&lt;/ScanChanges&gt;&lt;Suspended&gt;1&lt;/Suspended&gt;&lt;/ENInstantFormat&gt;"/>
  </w:docVars>
  <w:rsids>
    <w:rsidRoot w:val="006F2EE6"/>
    <w:rsid w:val="00081DC9"/>
    <w:rsid w:val="000C2A35"/>
    <w:rsid w:val="000F1FBC"/>
    <w:rsid w:val="001360A5"/>
    <w:rsid w:val="001B2AA5"/>
    <w:rsid w:val="001C477F"/>
    <w:rsid w:val="002A54AB"/>
    <w:rsid w:val="004F0BB5"/>
    <w:rsid w:val="00500FCC"/>
    <w:rsid w:val="0052012C"/>
    <w:rsid w:val="0052196B"/>
    <w:rsid w:val="00560563"/>
    <w:rsid w:val="005B5061"/>
    <w:rsid w:val="00616BD0"/>
    <w:rsid w:val="006610F4"/>
    <w:rsid w:val="006F2EE6"/>
    <w:rsid w:val="00730727"/>
    <w:rsid w:val="007B3E57"/>
    <w:rsid w:val="00831001"/>
    <w:rsid w:val="00842FA7"/>
    <w:rsid w:val="00897C94"/>
    <w:rsid w:val="008C446C"/>
    <w:rsid w:val="00A21845"/>
    <w:rsid w:val="00A80CE4"/>
    <w:rsid w:val="00A917FF"/>
    <w:rsid w:val="00AC5A07"/>
    <w:rsid w:val="00B118BB"/>
    <w:rsid w:val="00B33718"/>
    <w:rsid w:val="00B51CFB"/>
    <w:rsid w:val="00B53E17"/>
    <w:rsid w:val="00CB12B7"/>
    <w:rsid w:val="00CE6054"/>
    <w:rsid w:val="00D32FCB"/>
    <w:rsid w:val="00DC7437"/>
    <w:rsid w:val="00E47006"/>
    <w:rsid w:val="00E6112B"/>
    <w:rsid w:val="00E7155C"/>
    <w:rsid w:val="00F04EB4"/>
    <w:rsid w:val="00F43CBB"/>
    <w:rsid w:val="00FA1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E6"/>
  </w:style>
  <w:style w:type="paragraph" w:styleId="Ttulo1">
    <w:name w:val="heading 1"/>
    <w:basedOn w:val="Normal"/>
    <w:next w:val="Normal"/>
    <w:link w:val="Ttulo1Car"/>
    <w:uiPriority w:val="9"/>
    <w:qFormat/>
    <w:rsid w:val="006F2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2E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6F2E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2EE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F2EE6"/>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F2EE6"/>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6F2EE6"/>
    <w:rPr>
      <w:color w:val="0000FF" w:themeColor="hyperlink"/>
      <w:u w:val="single"/>
    </w:rPr>
  </w:style>
  <w:style w:type="paragraph" w:styleId="Sinespaciado">
    <w:name w:val="No Spacing"/>
    <w:uiPriority w:val="1"/>
    <w:qFormat/>
    <w:rsid w:val="006F2EE6"/>
    <w:pPr>
      <w:spacing w:after="0" w:line="240" w:lineRule="auto"/>
    </w:pPr>
  </w:style>
  <w:style w:type="paragraph" w:styleId="Encabezado">
    <w:name w:val="header"/>
    <w:basedOn w:val="Normal"/>
    <w:link w:val="EncabezadoCar"/>
    <w:uiPriority w:val="99"/>
    <w:unhideWhenUsed/>
    <w:rsid w:val="006F2EE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F2EE6"/>
  </w:style>
  <w:style w:type="paragraph" w:styleId="Piedepgina">
    <w:name w:val="footer"/>
    <w:basedOn w:val="Normal"/>
    <w:link w:val="PiedepginaCar"/>
    <w:uiPriority w:val="99"/>
    <w:unhideWhenUsed/>
    <w:rsid w:val="006F2EE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F2EE6"/>
  </w:style>
  <w:style w:type="character" w:styleId="Refdecomentario">
    <w:name w:val="annotation reference"/>
    <w:basedOn w:val="Fuentedeprrafopredeter"/>
    <w:uiPriority w:val="99"/>
    <w:semiHidden/>
    <w:unhideWhenUsed/>
    <w:rsid w:val="006F2EE6"/>
    <w:rPr>
      <w:sz w:val="16"/>
      <w:szCs w:val="16"/>
    </w:rPr>
  </w:style>
  <w:style w:type="paragraph" w:styleId="Textocomentario">
    <w:name w:val="annotation text"/>
    <w:basedOn w:val="Normal"/>
    <w:link w:val="TextocomentarioCar"/>
    <w:uiPriority w:val="99"/>
    <w:semiHidden/>
    <w:unhideWhenUsed/>
    <w:rsid w:val="006F2E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2EE6"/>
    <w:rPr>
      <w:sz w:val="20"/>
      <w:szCs w:val="20"/>
    </w:rPr>
  </w:style>
  <w:style w:type="paragraph" w:styleId="Asuntodelcomentario">
    <w:name w:val="annotation subject"/>
    <w:basedOn w:val="Textocomentario"/>
    <w:next w:val="Textocomentario"/>
    <w:link w:val="AsuntodelcomentarioCar"/>
    <w:uiPriority w:val="99"/>
    <w:semiHidden/>
    <w:unhideWhenUsed/>
    <w:rsid w:val="006F2EE6"/>
    <w:rPr>
      <w:b/>
      <w:bCs/>
    </w:rPr>
  </w:style>
  <w:style w:type="character" w:customStyle="1" w:styleId="AsuntodelcomentarioCar">
    <w:name w:val="Asunto del comentario Car"/>
    <w:basedOn w:val="TextocomentarioCar"/>
    <w:link w:val="Asuntodelcomentario"/>
    <w:uiPriority w:val="99"/>
    <w:semiHidden/>
    <w:rsid w:val="006F2EE6"/>
    <w:rPr>
      <w:b/>
      <w:bCs/>
      <w:sz w:val="20"/>
      <w:szCs w:val="20"/>
    </w:rPr>
  </w:style>
  <w:style w:type="paragraph" w:styleId="Textodeglobo">
    <w:name w:val="Balloon Text"/>
    <w:basedOn w:val="Normal"/>
    <w:link w:val="TextodegloboCar"/>
    <w:uiPriority w:val="99"/>
    <w:semiHidden/>
    <w:unhideWhenUsed/>
    <w:rsid w:val="006F2E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EE6"/>
    <w:rPr>
      <w:rFonts w:ascii="Tahoma" w:hAnsi="Tahoma" w:cs="Tahoma"/>
      <w:sz w:val="16"/>
      <w:szCs w:val="16"/>
    </w:rPr>
  </w:style>
  <w:style w:type="paragraph" w:styleId="Prrafodelista">
    <w:name w:val="List Paragraph"/>
    <w:basedOn w:val="Normal"/>
    <w:uiPriority w:val="34"/>
    <w:qFormat/>
    <w:rsid w:val="006F2EE6"/>
    <w:pPr>
      <w:ind w:left="720"/>
      <w:contextualSpacing/>
    </w:pPr>
  </w:style>
  <w:style w:type="table" w:styleId="Sombreadovistoso-nfasis2">
    <w:name w:val="Colorful Shading Accent 2"/>
    <w:basedOn w:val="Tablanormal"/>
    <w:uiPriority w:val="71"/>
    <w:rsid w:val="006F2EE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59"/>
    <w:rsid w:val="006F2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2EE6"/>
    <w:rPr>
      <w:color w:val="808080"/>
    </w:rPr>
  </w:style>
  <w:style w:type="table" w:styleId="Sombreadoclaro">
    <w:name w:val="Light Shading"/>
    <w:basedOn w:val="Tablanormal"/>
    <w:uiPriority w:val="60"/>
    <w:rsid w:val="006F2E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hapterstitles">
    <w:name w:val="chapters titles"/>
    <w:basedOn w:val="Normal"/>
    <w:link w:val="chapterstitlesCar"/>
    <w:qFormat/>
    <w:rsid w:val="006F2EE6"/>
    <w:pPr>
      <w:spacing w:line="480" w:lineRule="auto"/>
    </w:pPr>
    <w:rPr>
      <w:sz w:val="24"/>
      <w:szCs w:val="24"/>
    </w:rPr>
  </w:style>
  <w:style w:type="paragraph" w:styleId="TtulodeTDC">
    <w:name w:val="TOC Heading"/>
    <w:basedOn w:val="Ttulo1"/>
    <w:next w:val="Normal"/>
    <w:uiPriority w:val="39"/>
    <w:semiHidden/>
    <w:unhideWhenUsed/>
    <w:qFormat/>
    <w:rsid w:val="006F2EE6"/>
    <w:pPr>
      <w:outlineLvl w:val="9"/>
    </w:pPr>
  </w:style>
  <w:style w:type="character" w:customStyle="1" w:styleId="chapterstitlesCar">
    <w:name w:val="chapters titles Car"/>
    <w:basedOn w:val="Fuentedeprrafopredeter"/>
    <w:link w:val="chapterstitles"/>
    <w:rsid w:val="006F2EE6"/>
    <w:rPr>
      <w:sz w:val="24"/>
      <w:szCs w:val="24"/>
    </w:rPr>
  </w:style>
  <w:style w:type="paragraph" w:styleId="TDC3">
    <w:name w:val="toc 3"/>
    <w:basedOn w:val="Normal"/>
    <w:next w:val="Normal"/>
    <w:autoRedefine/>
    <w:uiPriority w:val="39"/>
    <w:unhideWhenUsed/>
    <w:rsid w:val="006F2EE6"/>
    <w:pPr>
      <w:spacing w:after="100"/>
      <w:ind w:left="440"/>
    </w:pPr>
  </w:style>
  <w:style w:type="paragraph" w:styleId="Revisin">
    <w:name w:val="Revision"/>
    <w:hidden/>
    <w:uiPriority w:val="99"/>
    <w:semiHidden/>
    <w:rsid w:val="006F2E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E6"/>
  </w:style>
  <w:style w:type="paragraph" w:styleId="Ttulo1">
    <w:name w:val="heading 1"/>
    <w:basedOn w:val="Normal"/>
    <w:next w:val="Normal"/>
    <w:link w:val="Ttulo1Car"/>
    <w:uiPriority w:val="9"/>
    <w:qFormat/>
    <w:rsid w:val="006F2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F2E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6F2E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2EE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F2EE6"/>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F2EE6"/>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6F2EE6"/>
    <w:rPr>
      <w:color w:val="0000FF" w:themeColor="hyperlink"/>
      <w:u w:val="single"/>
    </w:rPr>
  </w:style>
  <w:style w:type="paragraph" w:styleId="Sinespaciado">
    <w:name w:val="No Spacing"/>
    <w:uiPriority w:val="1"/>
    <w:qFormat/>
    <w:rsid w:val="006F2EE6"/>
    <w:pPr>
      <w:spacing w:after="0" w:line="240" w:lineRule="auto"/>
    </w:pPr>
  </w:style>
  <w:style w:type="paragraph" w:styleId="Encabezado">
    <w:name w:val="header"/>
    <w:basedOn w:val="Normal"/>
    <w:link w:val="EncabezadoCar"/>
    <w:uiPriority w:val="99"/>
    <w:unhideWhenUsed/>
    <w:rsid w:val="006F2EE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F2EE6"/>
  </w:style>
  <w:style w:type="paragraph" w:styleId="Piedepgina">
    <w:name w:val="footer"/>
    <w:basedOn w:val="Normal"/>
    <w:link w:val="PiedepginaCar"/>
    <w:uiPriority w:val="99"/>
    <w:unhideWhenUsed/>
    <w:rsid w:val="006F2EE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F2EE6"/>
  </w:style>
  <w:style w:type="character" w:styleId="Refdecomentario">
    <w:name w:val="annotation reference"/>
    <w:basedOn w:val="Fuentedeprrafopredeter"/>
    <w:uiPriority w:val="99"/>
    <w:semiHidden/>
    <w:unhideWhenUsed/>
    <w:rsid w:val="006F2EE6"/>
    <w:rPr>
      <w:sz w:val="16"/>
      <w:szCs w:val="16"/>
    </w:rPr>
  </w:style>
  <w:style w:type="paragraph" w:styleId="Textocomentario">
    <w:name w:val="annotation text"/>
    <w:basedOn w:val="Normal"/>
    <w:link w:val="TextocomentarioCar"/>
    <w:uiPriority w:val="99"/>
    <w:semiHidden/>
    <w:unhideWhenUsed/>
    <w:rsid w:val="006F2E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2EE6"/>
    <w:rPr>
      <w:sz w:val="20"/>
      <w:szCs w:val="20"/>
    </w:rPr>
  </w:style>
  <w:style w:type="paragraph" w:styleId="Asuntodelcomentario">
    <w:name w:val="annotation subject"/>
    <w:basedOn w:val="Textocomentario"/>
    <w:next w:val="Textocomentario"/>
    <w:link w:val="AsuntodelcomentarioCar"/>
    <w:uiPriority w:val="99"/>
    <w:semiHidden/>
    <w:unhideWhenUsed/>
    <w:rsid w:val="006F2EE6"/>
    <w:rPr>
      <w:b/>
      <w:bCs/>
    </w:rPr>
  </w:style>
  <w:style w:type="character" w:customStyle="1" w:styleId="AsuntodelcomentarioCar">
    <w:name w:val="Asunto del comentario Car"/>
    <w:basedOn w:val="TextocomentarioCar"/>
    <w:link w:val="Asuntodelcomentario"/>
    <w:uiPriority w:val="99"/>
    <w:semiHidden/>
    <w:rsid w:val="006F2EE6"/>
    <w:rPr>
      <w:b/>
      <w:bCs/>
      <w:sz w:val="20"/>
      <w:szCs w:val="20"/>
    </w:rPr>
  </w:style>
  <w:style w:type="paragraph" w:styleId="Textodeglobo">
    <w:name w:val="Balloon Text"/>
    <w:basedOn w:val="Normal"/>
    <w:link w:val="TextodegloboCar"/>
    <w:uiPriority w:val="99"/>
    <w:semiHidden/>
    <w:unhideWhenUsed/>
    <w:rsid w:val="006F2E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EE6"/>
    <w:rPr>
      <w:rFonts w:ascii="Tahoma" w:hAnsi="Tahoma" w:cs="Tahoma"/>
      <w:sz w:val="16"/>
      <w:szCs w:val="16"/>
    </w:rPr>
  </w:style>
  <w:style w:type="paragraph" w:styleId="Prrafodelista">
    <w:name w:val="List Paragraph"/>
    <w:basedOn w:val="Normal"/>
    <w:uiPriority w:val="34"/>
    <w:qFormat/>
    <w:rsid w:val="006F2EE6"/>
    <w:pPr>
      <w:ind w:left="720"/>
      <w:contextualSpacing/>
    </w:pPr>
  </w:style>
  <w:style w:type="table" w:styleId="Sombreadovistoso-nfasis2">
    <w:name w:val="Colorful Shading Accent 2"/>
    <w:basedOn w:val="Tablanormal"/>
    <w:uiPriority w:val="71"/>
    <w:rsid w:val="006F2EE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59"/>
    <w:rsid w:val="006F2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F2EE6"/>
    <w:rPr>
      <w:color w:val="808080"/>
    </w:rPr>
  </w:style>
  <w:style w:type="table" w:styleId="Sombreadoclaro">
    <w:name w:val="Light Shading"/>
    <w:basedOn w:val="Tablanormal"/>
    <w:uiPriority w:val="60"/>
    <w:rsid w:val="006F2E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hapterstitles">
    <w:name w:val="chapters titles"/>
    <w:basedOn w:val="Normal"/>
    <w:link w:val="chapterstitlesCar"/>
    <w:qFormat/>
    <w:rsid w:val="006F2EE6"/>
    <w:pPr>
      <w:spacing w:line="480" w:lineRule="auto"/>
    </w:pPr>
    <w:rPr>
      <w:sz w:val="24"/>
      <w:szCs w:val="24"/>
    </w:rPr>
  </w:style>
  <w:style w:type="paragraph" w:styleId="TtulodeTDC">
    <w:name w:val="TOC Heading"/>
    <w:basedOn w:val="Ttulo1"/>
    <w:next w:val="Normal"/>
    <w:uiPriority w:val="39"/>
    <w:semiHidden/>
    <w:unhideWhenUsed/>
    <w:qFormat/>
    <w:rsid w:val="006F2EE6"/>
    <w:pPr>
      <w:outlineLvl w:val="9"/>
    </w:pPr>
  </w:style>
  <w:style w:type="character" w:customStyle="1" w:styleId="chapterstitlesCar">
    <w:name w:val="chapters titles Car"/>
    <w:basedOn w:val="Fuentedeprrafopredeter"/>
    <w:link w:val="chapterstitles"/>
    <w:rsid w:val="006F2EE6"/>
    <w:rPr>
      <w:sz w:val="24"/>
      <w:szCs w:val="24"/>
    </w:rPr>
  </w:style>
  <w:style w:type="paragraph" w:styleId="TDC3">
    <w:name w:val="toc 3"/>
    <w:basedOn w:val="Normal"/>
    <w:next w:val="Normal"/>
    <w:autoRedefine/>
    <w:uiPriority w:val="39"/>
    <w:unhideWhenUsed/>
    <w:rsid w:val="006F2EE6"/>
    <w:pPr>
      <w:spacing w:after="100"/>
      <w:ind w:left="440"/>
    </w:pPr>
  </w:style>
  <w:style w:type="paragraph" w:styleId="Revisin">
    <w:name w:val="Revision"/>
    <w:hidden/>
    <w:uiPriority w:val="99"/>
    <w:semiHidden/>
    <w:rsid w:val="006F2E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6FEE5-0EED-4B8A-AB97-C96C84D63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152</Pages>
  <Words>27729</Words>
  <Characters>158060</Characters>
  <Application>Microsoft Office Word</Application>
  <DocSecurity>0</DocSecurity>
  <Lines>1317</Lines>
  <Paragraphs>370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POL</cp:lastModifiedBy>
  <cp:revision>24</cp:revision>
  <dcterms:created xsi:type="dcterms:W3CDTF">2015-09-22T02:17:00Z</dcterms:created>
  <dcterms:modified xsi:type="dcterms:W3CDTF">2015-09-23T00:57:00Z</dcterms:modified>
</cp:coreProperties>
</file>