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DCF53" w14:textId="77777777" w:rsidR="000B0BDE" w:rsidRDefault="000B0BDE" w:rsidP="000B0BDE">
      <w:pPr>
        <w:widowControl w:val="0"/>
        <w:autoSpaceDE w:val="0"/>
        <w:autoSpaceDN w:val="0"/>
        <w:adjustRightInd w:val="0"/>
        <w:jc w:val="center"/>
        <w:rPr>
          <w:rFonts w:cs="Times New Roman"/>
          <w:lang w:val="en-US"/>
        </w:rPr>
      </w:pPr>
    </w:p>
    <w:p w14:paraId="2CC767F0" w14:textId="77777777" w:rsidR="000B0BDE" w:rsidRDefault="000B0BDE" w:rsidP="000B0BDE">
      <w:pPr>
        <w:widowControl w:val="0"/>
        <w:autoSpaceDE w:val="0"/>
        <w:autoSpaceDN w:val="0"/>
        <w:adjustRightInd w:val="0"/>
        <w:jc w:val="center"/>
        <w:rPr>
          <w:rFonts w:cs="Times New Roman"/>
          <w:lang w:val="en-US"/>
        </w:rPr>
      </w:pPr>
    </w:p>
    <w:p w14:paraId="78EB3248" w14:textId="77777777" w:rsidR="000B0BDE" w:rsidRDefault="000B0BDE" w:rsidP="000B0BDE">
      <w:pPr>
        <w:widowControl w:val="0"/>
        <w:autoSpaceDE w:val="0"/>
        <w:autoSpaceDN w:val="0"/>
        <w:adjustRightInd w:val="0"/>
        <w:jc w:val="center"/>
        <w:rPr>
          <w:rFonts w:cs="Times New Roman"/>
          <w:lang w:val="en-US"/>
        </w:rPr>
      </w:pPr>
    </w:p>
    <w:p w14:paraId="71F4FB06" w14:textId="77777777" w:rsidR="000B0BDE" w:rsidRDefault="000B0BDE" w:rsidP="000B0BDE">
      <w:pPr>
        <w:widowControl w:val="0"/>
        <w:autoSpaceDE w:val="0"/>
        <w:autoSpaceDN w:val="0"/>
        <w:adjustRightInd w:val="0"/>
        <w:jc w:val="center"/>
        <w:rPr>
          <w:rFonts w:cs="Times New Roman"/>
          <w:lang w:val="en-US"/>
        </w:rPr>
      </w:pPr>
    </w:p>
    <w:p w14:paraId="5E4F1395" w14:textId="77777777" w:rsidR="000B0BDE" w:rsidRDefault="000B0BDE" w:rsidP="000B0BDE">
      <w:pPr>
        <w:widowControl w:val="0"/>
        <w:autoSpaceDE w:val="0"/>
        <w:autoSpaceDN w:val="0"/>
        <w:adjustRightInd w:val="0"/>
        <w:jc w:val="center"/>
        <w:rPr>
          <w:rFonts w:cs="Times New Roman"/>
          <w:lang w:val="en-US"/>
        </w:rPr>
      </w:pPr>
    </w:p>
    <w:p w14:paraId="1AAF2574" w14:textId="77777777" w:rsidR="000B0BDE" w:rsidRDefault="000B0BDE" w:rsidP="000B0BDE">
      <w:pPr>
        <w:widowControl w:val="0"/>
        <w:autoSpaceDE w:val="0"/>
        <w:autoSpaceDN w:val="0"/>
        <w:adjustRightInd w:val="0"/>
        <w:jc w:val="center"/>
        <w:rPr>
          <w:rFonts w:cs="Times New Roman"/>
          <w:lang w:val="en-US"/>
        </w:rPr>
      </w:pPr>
    </w:p>
    <w:p w14:paraId="4C3CA350" w14:textId="77777777" w:rsidR="000B0BDE" w:rsidRDefault="000B0BDE" w:rsidP="000B0BDE">
      <w:pPr>
        <w:widowControl w:val="0"/>
        <w:autoSpaceDE w:val="0"/>
        <w:autoSpaceDN w:val="0"/>
        <w:adjustRightInd w:val="0"/>
        <w:jc w:val="center"/>
        <w:rPr>
          <w:rFonts w:cs="Times New Roman"/>
          <w:lang w:val="en-US"/>
        </w:rPr>
      </w:pPr>
    </w:p>
    <w:p w14:paraId="4D521B8A" w14:textId="77777777" w:rsidR="000B0BDE" w:rsidRDefault="000B0BDE" w:rsidP="000B0BDE">
      <w:pPr>
        <w:widowControl w:val="0"/>
        <w:autoSpaceDE w:val="0"/>
        <w:autoSpaceDN w:val="0"/>
        <w:adjustRightInd w:val="0"/>
        <w:jc w:val="center"/>
        <w:rPr>
          <w:rFonts w:cs="Times New Roman"/>
          <w:lang w:val="en-US"/>
        </w:rPr>
      </w:pPr>
    </w:p>
    <w:p w14:paraId="61F7510D" w14:textId="77777777" w:rsidR="000B0BDE" w:rsidRDefault="000B0BDE" w:rsidP="000B0BDE">
      <w:pPr>
        <w:widowControl w:val="0"/>
        <w:autoSpaceDE w:val="0"/>
        <w:autoSpaceDN w:val="0"/>
        <w:adjustRightInd w:val="0"/>
        <w:jc w:val="center"/>
        <w:rPr>
          <w:rFonts w:cs="Times New Roman"/>
          <w:lang w:val="en-US"/>
        </w:rPr>
      </w:pPr>
    </w:p>
    <w:p w14:paraId="67ED4A58" w14:textId="77777777" w:rsidR="000B0BDE" w:rsidRDefault="000B0BDE" w:rsidP="000B0BDE">
      <w:pPr>
        <w:widowControl w:val="0"/>
        <w:autoSpaceDE w:val="0"/>
        <w:autoSpaceDN w:val="0"/>
        <w:adjustRightInd w:val="0"/>
        <w:jc w:val="center"/>
        <w:rPr>
          <w:rFonts w:cs="Times New Roman"/>
          <w:lang w:val="en-US"/>
        </w:rPr>
      </w:pPr>
    </w:p>
    <w:p w14:paraId="1549FE05" w14:textId="069D41DC" w:rsidR="001C66DE" w:rsidRDefault="000B0BDE" w:rsidP="000B0BDE">
      <w:pPr>
        <w:widowControl w:val="0"/>
        <w:autoSpaceDE w:val="0"/>
        <w:autoSpaceDN w:val="0"/>
        <w:adjustRightInd w:val="0"/>
        <w:jc w:val="center"/>
        <w:rPr>
          <w:rFonts w:cs="Times New Roman"/>
          <w:lang w:val="en-US"/>
        </w:rPr>
      </w:pPr>
      <w:r>
        <w:rPr>
          <w:rFonts w:cs="Times New Roman"/>
          <w:lang w:val="en-US"/>
        </w:rPr>
        <w:t xml:space="preserve">PHYSICAL INACTIVITY </w:t>
      </w:r>
      <w:r w:rsidR="00DC2A01">
        <w:rPr>
          <w:rFonts w:cs="Times New Roman"/>
          <w:lang w:val="en-US"/>
        </w:rPr>
        <w:t xml:space="preserve">AND GLYCEMIC CONTROL </w:t>
      </w:r>
      <w:r>
        <w:rPr>
          <w:rFonts w:cs="Times New Roman"/>
          <w:lang w:val="en-US"/>
        </w:rPr>
        <w:t xml:space="preserve">IN </w:t>
      </w:r>
      <w:r w:rsidR="00DC2A01">
        <w:rPr>
          <w:rFonts w:cs="Times New Roman"/>
          <w:lang w:val="en-US"/>
        </w:rPr>
        <w:t>THE ELDERLY</w:t>
      </w:r>
    </w:p>
    <w:p w14:paraId="020EC776" w14:textId="0C069884" w:rsidR="006E1CFA" w:rsidRDefault="006E1CFA" w:rsidP="000B0BDE">
      <w:pPr>
        <w:jc w:val="center"/>
        <w:rPr>
          <w:rFonts w:cs="Times New Roman"/>
          <w:lang w:val="en-US"/>
        </w:rPr>
      </w:pPr>
    </w:p>
    <w:p w14:paraId="1CF4028C" w14:textId="58128050" w:rsidR="00FA550E" w:rsidRDefault="00FA550E" w:rsidP="000B0BDE">
      <w:pPr>
        <w:jc w:val="center"/>
        <w:rPr>
          <w:rFonts w:cs="Times New Roman"/>
          <w:lang w:val="en-US"/>
        </w:rPr>
        <w:sectPr w:rsidR="00FA550E" w:rsidSect="00FA550E">
          <w:headerReference w:type="even" r:id="rId9"/>
          <w:headerReference w:type="default" r:id="rId10"/>
          <w:footerReference w:type="even" r:id="rId11"/>
          <w:footerReference w:type="default" r:id="rId12"/>
          <w:headerReference w:type="first" r:id="rId13"/>
          <w:pgSz w:w="12240" w:h="15840"/>
          <w:pgMar w:top="1440" w:right="1440" w:bottom="1440" w:left="1440" w:header="708" w:footer="708" w:gutter="0"/>
          <w:cols w:space="708"/>
          <w:titlePg/>
        </w:sectPr>
      </w:pPr>
    </w:p>
    <w:p w14:paraId="52A2B672" w14:textId="50C1B998" w:rsidR="000B0BDE" w:rsidRDefault="000B0BDE" w:rsidP="000B0BDE">
      <w:pPr>
        <w:jc w:val="center"/>
        <w:rPr>
          <w:rFonts w:cs="Times New Roman"/>
        </w:rPr>
      </w:pPr>
      <w:r w:rsidRPr="000B0BDE">
        <w:rPr>
          <w:rFonts w:cs="Times New Roman"/>
        </w:rPr>
        <w:lastRenderedPageBreak/>
        <w:t xml:space="preserve">THE INFLUENCE OF REDUCED DAILY AMBULATION ON GLYCEMIC CONTROL, </w:t>
      </w:r>
      <w:r w:rsidR="00DC2A01">
        <w:rPr>
          <w:rFonts w:cs="Times New Roman"/>
        </w:rPr>
        <w:t>BODY COMPOSITION</w:t>
      </w:r>
      <w:r w:rsidRPr="000B0BDE">
        <w:rPr>
          <w:rFonts w:cs="Times New Roman"/>
        </w:rPr>
        <w:t xml:space="preserve"> AND PHYSICAL FUNCTION </w:t>
      </w:r>
    </w:p>
    <w:p w14:paraId="473E08D5" w14:textId="77777777" w:rsidR="000B0BDE" w:rsidRPr="000B0BDE" w:rsidRDefault="000B0BDE" w:rsidP="000B0BDE">
      <w:pPr>
        <w:jc w:val="center"/>
        <w:rPr>
          <w:rFonts w:cs="Times New Roman"/>
        </w:rPr>
      </w:pPr>
      <w:r>
        <w:rPr>
          <w:rFonts w:cs="Times New Roman"/>
        </w:rPr>
        <w:t xml:space="preserve">IN </w:t>
      </w:r>
      <w:r w:rsidRPr="000B0BDE">
        <w:rPr>
          <w:rFonts w:cs="Times New Roman"/>
        </w:rPr>
        <w:t>OLDER ADULTS</w:t>
      </w:r>
      <w:r>
        <w:rPr>
          <w:rFonts w:cs="Times New Roman"/>
        </w:rPr>
        <w:br/>
      </w:r>
      <w:r>
        <w:rPr>
          <w:rFonts w:cs="Times New Roman"/>
        </w:rPr>
        <w:br/>
      </w:r>
      <w:r>
        <w:rPr>
          <w:rFonts w:cs="Times New Roman"/>
        </w:rPr>
        <w:br/>
      </w:r>
      <w:r>
        <w:rPr>
          <w:rFonts w:cs="Times New Roman"/>
        </w:rPr>
        <w:br/>
      </w:r>
      <w:r>
        <w:rPr>
          <w:rFonts w:cs="Times New Roman"/>
        </w:rPr>
        <w:br/>
      </w:r>
    </w:p>
    <w:p w14:paraId="31E5AFEB" w14:textId="77777777" w:rsidR="001C66DE" w:rsidRPr="000B0BDE" w:rsidRDefault="001C66DE" w:rsidP="000B0BDE">
      <w:pPr>
        <w:widowControl w:val="0"/>
        <w:autoSpaceDE w:val="0"/>
        <w:autoSpaceDN w:val="0"/>
        <w:adjustRightInd w:val="0"/>
        <w:jc w:val="center"/>
        <w:rPr>
          <w:rFonts w:cs="Times New Roman"/>
          <w:lang w:val="en-US"/>
        </w:rPr>
      </w:pPr>
      <w:r w:rsidRPr="000B0BDE">
        <w:rPr>
          <w:rFonts w:cs="Times New Roman"/>
          <w:lang w:val="en-US"/>
        </w:rPr>
        <w:t>By</w:t>
      </w:r>
    </w:p>
    <w:p w14:paraId="539A8A5C" w14:textId="77777777" w:rsidR="001C66DE" w:rsidRPr="000B0BDE" w:rsidRDefault="000B0BDE" w:rsidP="000B0BDE">
      <w:pPr>
        <w:widowControl w:val="0"/>
        <w:autoSpaceDE w:val="0"/>
        <w:autoSpaceDN w:val="0"/>
        <w:adjustRightInd w:val="0"/>
        <w:jc w:val="center"/>
        <w:rPr>
          <w:rFonts w:cs="Times New Roman"/>
          <w:lang w:val="en-US"/>
        </w:rPr>
      </w:pPr>
      <w:r w:rsidRPr="000B0BDE">
        <w:rPr>
          <w:rFonts w:cs="Times New Roman"/>
          <w:lang w:val="en-US"/>
        </w:rPr>
        <w:t>MARK VON ALLMEN, B.Sc.</w:t>
      </w:r>
    </w:p>
    <w:p w14:paraId="6ABAC9E7" w14:textId="77777777" w:rsidR="000B0BDE" w:rsidRPr="000B0BDE" w:rsidRDefault="000B0BDE" w:rsidP="000B0BDE">
      <w:pPr>
        <w:widowControl w:val="0"/>
        <w:autoSpaceDE w:val="0"/>
        <w:autoSpaceDN w:val="0"/>
        <w:adjustRightInd w:val="0"/>
        <w:jc w:val="center"/>
        <w:rPr>
          <w:rFonts w:cs="Times New Roman"/>
          <w:lang w:val="en-US"/>
        </w:rPr>
      </w:pPr>
    </w:p>
    <w:p w14:paraId="37268AB4" w14:textId="080FA008" w:rsidR="000B0BDE" w:rsidRDefault="000B0BDE" w:rsidP="00B16891">
      <w:pPr>
        <w:widowControl w:val="0"/>
        <w:autoSpaceDE w:val="0"/>
        <w:autoSpaceDN w:val="0"/>
        <w:adjustRightInd w:val="0"/>
        <w:rPr>
          <w:rFonts w:cs="Times New Roman"/>
          <w:lang w:val="en-US"/>
        </w:rPr>
      </w:pPr>
    </w:p>
    <w:p w14:paraId="5CA3DA7B" w14:textId="77777777" w:rsidR="000B0BDE" w:rsidRDefault="000B0BDE" w:rsidP="000B0BDE">
      <w:pPr>
        <w:widowControl w:val="0"/>
        <w:autoSpaceDE w:val="0"/>
        <w:autoSpaceDN w:val="0"/>
        <w:adjustRightInd w:val="0"/>
        <w:jc w:val="center"/>
        <w:rPr>
          <w:rFonts w:cs="Times New Roman"/>
          <w:lang w:val="en-US"/>
        </w:rPr>
      </w:pPr>
    </w:p>
    <w:p w14:paraId="15017847" w14:textId="77777777" w:rsidR="000B0BDE" w:rsidRDefault="000B0BDE" w:rsidP="000B0BDE">
      <w:pPr>
        <w:widowControl w:val="0"/>
        <w:autoSpaceDE w:val="0"/>
        <w:autoSpaceDN w:val="0"/>
        <w:adjustRightInd w:val="0"/>
        <w:jc w:val="center"/>
        <w:rPr>
          <w:rFonts w:cs="Times New Roman"/>
          <w:lang w:val="en-US"/>
        </w:rPr>
      </w:pPr>
    </w:p>
    <w:p w14:paraId="746FFC3A" w14:textId="77777777" w:rsidR="000B0BDE" w:rsidRDefault="000B0BDE" w:rsidP="000B0BDE">
      <w:pPr>
        <w:widowControl w:val="0"/>
        <w:autoSpaceDE w:val="0"/>
        <w:autoSpaceDN w:val="0"/>
        <w:adjustRightInd w:val="0"/>
        <w:jc w:val="center"/>
        <w:rPr>
          <w:rFonts w:cs="Times New Roman"/>
          <w:lang w:val="en-US"/>
        </w:rPr>
      </w:pPr>
    </w:p>
    <w:p w14:paraId="072C455E" w14:textId="77777777" w:rsidR="001C66DE" w:rsidRPr="000B0BDE" w:rsidRDefault="001C66DE" w:rsidP="000B0BDE">
      <w:pPr>
        <w:widowControl w:val="0"/>
        <w:autoSpaceDE w:val="0"/>
        <w:autoSpaceDN w:val="0"/>
        <w:adjustRightInd w:val="0"/>
        <w:jc w:val="center"/>
        <w:rPr>
          <w:rFonts w:cs="Times New Roman"/>
          <w:lang w:val="en-US"/>
        </w:rPr>
      </w:pPr>
      <w:r w:rsidRPr="000B0BDE">
        <w:rPr>
          <w:rFonts w:cs="Times New Roman"/>
          <w:lang w:val="en-US"/>
        </w:rPr>
        <w:t>A Thesis Submitted to the School of Graduate Studies in Partial Fulfillment of the</w:t>
      </w:r>
    </w:p>
    <w:p w14:paraId="3BBEE2E6" w14:textId="71D1DAA6" w:rsidR="001C66DE" w:rsidRPr="000B0BDE" w:rsidRDefault="001C66DE" w:rsidP="00B16891">
      <w:pPr>
        <w:widowControl w:val="0"/>
        <w:autoSpaceDE w:val="0"/>
        <w:autoSpaceDN w:val="0"/>
        <w:adjustRightInd w:val="0"/>
        <w:jc w:val="center"/>
        <w:rPr>
          <w:rFonts w:cs="Times New Roman"/>
          <w:lang w:val="en-US"/>
        </w:rPr>
      </w:pPr>
      <w:r w:rsidRPr="000B0BDE">
        <w:rPr>
          <w:rFonts w:cs="Times New Roman"/>
          <w:lang w:val="en-US"/>
        </w:rPr>
        <w:t xml:space="preserve">Requirements </w:t>
      </w:r>
      <w:r w:rsidR="00B16891">
        <w:rPr>
          <w:rFonts w:cs="Times New Roman"/>
          <w:lang w:val="en-US"/>
        </w:rPr>
        <w:t>for the Degree Master of Science</w:t>
      </w:r>
      <w:r w:rsidR="000B0BDE">
        <w:rPr>
          <w:rFonts w:cs="Times New Roman"/>
          <w:lang w:val="en-US"/>
        </w:rPr>
        <w:br/>
      </w:r>
      <w:r w:rsidR="000B0BDE">
        <w:rPr>
          <w:rFonts w:cs="Times New Roman"/>
          <w:lang w:val="en-US"/>
        </w:rPr>
        <w:br/>
      </w:r>
      <w:r w:rsidR="000B0BDE">
        <w:rPr>
          <w:rFonts w:cs="Times New Roman"/>
          <w:lang w:val="en-US"/>
        </w:rPr>
        <w:br/>
      </w:r>
      <w:r w:rsidR="000B0BDE">
        <w:rPr>
          <w:rFonts w:cs="Times New Roman"/>
          <w:lang w:val="en-US"/>
        </w:rPr>
        <w:br/>
      </w:r>
      <w:r w:rsidR="000B0BDE">
        <w:rPr>
          <w:rFonts w:cs="Times New Roman"/>
          <w:lang w:val="en-US"/>
        </w:rPr>
        <w:br/>
      </w:r>
      <w:r w:rsidR="000B0BDE">
        <w:rPr>
          <w:rFonts w:cs="Times New Roman"/>
          <w:lang w:val="en-US"/>
        </w:rPr>
        <w:br/>
      </w:r>
      <w:r w:rsidR="000B0BDE">
        <w:rPr>
          <w:rFonts w:cs="Times New Roman"/>
          <w:lang w:val="en-US"/>
        </w:rPr>
        <w:br/>
      </w:r>
      <w:r w:rsidR="000B0BDE">
        <w:rPr>
          <w:rFonts w:cs="Times New Roman"/>
          <w:lang w:val="en-US"/>
        </w:rPr>
        <w:br/>
      </w:r>
      <w:r w:rsidR="000B0BDE">
        <w:rPr>
          <w:rFonts w:cs="Times New Roman"/>
          <w:lang w:val="en-US"/>
        </w:rPr>
        <w:br/>
      </w:r>
      <w:r w:rsidR="000B0BDE">
        <w:rPr>
          <w:rFonts w:cs="Times New Roman"/>
          <w:lang w:val="en-US"/>
        </w:rPr>
        <w:br/>
      </w:r>
      <w:r w:rsidRPr="000B0BDE">
        <w:rPr>
          <w:rFonts w:cs="Times New Roman"/>
          <w:lang w:val="en-US"/>
        </w:rPr>
        <w:t>McMaster University</w:t>
      </w:r>
    </w:p>
    <w:p w14:paraId="25135DC2" w14:textId="77777777" w:rsidR="001C66DE" w:rsidRPr="000B0BDE" w:rsidRDefault="001C66DE" w:rsidP="000B0BDE">
      <w:pPr>
        <w:widowControl w:val="0"/>
        <w:autoSpaceDE w:val="0"/>
        <w:autoSpaceDN w:val="0"/>
        <w:adjustRightInd w:val="0"/>
        <w:jc w:val="center"/>
        <w:rPr>
          <w:rFonts w:cs="Times New Roman"/>
          <w:lang w:val="en-US"/>
        </w:rPr>
      </w:pPr>
      <w:r w:rsidRPr="000B0BDE">
        <w:rPr>
          <w:rFonts w:cs="Times New Roman"/>
          <w:lang w:val="en-US"/>
        </w:rPr>
        <w:t xml:space="preserve">© Copyright by </w:t>
      </w:r>
      <w:r w:rsidR="000B0BDE" w:rsidRPr="000B0BDE">
        <w:rPr>
          <w:rFonts w:cs="Times New Roman"/>
          <w:lang w:val="en-US"/>
        </w:rPr>
        <w:t>Mark von Allmen, June 2015</w:t>
      </w:r>
    </w:p>
    <w:p w14:paraId="7300AAE6" w14:textId="77777777" w:rsidR="001C66DE" w:rsidRPr="000B0BDE" w:rsidRDefault="000B0BDE" w:rsidP="001C66DE">
      <w:pPr>
        <w:widowControl w:val="0"/>
        <w:autoSpaceDE w:val="0"/>
        <w:autoSpaceDN w:val="0"/>
        <w:adjustRightInd w:val="0"/>
        <w:rPr>
          <w:rFonts w:cs="Times New Roman"/>
          <w:lang w:val="en-US"/>
        </w:rPr>
      </w:pPr>
      <w:r>
        <w:rPr>
          <w:rFonts w:cs="Times New Roman"/>
          <w:lang w:val="en-US"/>
        </w:rPr>
        <w:br w:type="column"/>
      </w:r>
      <w:r w:rsidR="001C66DE" w:rsidRPr="000B0BDE">
        <w:rPr>
          <w:rFonts w:cs="Times New Roman"/>
          <w:lang w:val="en-US"/>
        </w:rPr>
        <w:lastRenderedPageBreak/>
        <w:t>McMaster Un</w:t>
      </w:r>
      <w:r>
        <w:rPr>
          <w:rFonts w:cs="Times New Roman"/>
          <w:lang w:val="en-US"/>
        </w:rPr>
        <w:t>iversity MASTER OF SCIENCE (2015</w:t>
      </w:r>
      <w:r w:rsidR="001C66DE" w:rsidRPr="000B0BDE">
        <w:rPr>
          <w:rFonts w:cs="Times New Roman"/>
          <w:lang w:val="en-US"/>
        </w:rPr>
        <w:t>) Hamilton, Ontario (Kinesiology)</w:t>
      </w:r>
    </w:p>
    <w:p w14:paraId="7BA92812" w14:textId="77777777" w:rsidR="000B0BDE" w:rsidRDefault="000B0BDE" w:rsidP="001C66DE">
      <w:pPr>
        <w:widowControl w:val="0"/>
        <w:autoSpaceDE w:val="0"/>
        <w:autoSpaceDN w:val="0"/>
        <w:adjustRightInd w:val="0"/>
        <w:rPr>
          <w:rFonts w:cs="Times New Roman"/>
          <w:lang w:val="en-US"/>
        </w:rPr>
      </w:pPr>
    </w:p>
    <w:p w14:paraId="237337BF" w14:textId="77777777" w:rsidR="000B0BDE" w:rsidRDefault="000B0BDE" w:rsidP="001C66DE">
      <w:pPr>
        <w:widowControl w:val="0"/>
        <w:autoSpaceDE w:val="0"/>
        <w:autoSpaceDN w:val="0"/>
        <w:adjustRightInd w:val="0"/>
        <w:rPr>
          <w:rFonts w:cs="Times New Roman"/>
          <w:lang w:val="en-US"/>
        </w:rPr>
      </w:pPr>
    </w:p>
    <w:p w14:paraId="162E61F2" w14:textId="3AE7A3D6" w:rsidR="000B0BDE" w:rsidRDefault="001C66DE" w:rsidP="001C66DE">
      <w:pPr>
        <w:widowControl w:val="0"/>
        <w:autoSpaceDE w:val="0"/>
        <w:autoSpaceDN w:val="0"/>
        <w:adjustRightInd w:val="0"/>
        <w:rPr>
          <w:rFonts w:cs="Times New Roman"/>
          <w:lang w:val="en-US"/>
        </w:rPr>
      </w:pPr>
      <w:r>
        <w:rPr>
          <w:rFonts w:cs="Times New Roman"/>
          <w:lang w:val="en-US"/>
        </w:rPr>
        <w:t xml:space="preserve">TITLE: </w:t>
      </w:r>
      <w:r w:rsidR="00B16891">
        <w:rPr>
          <w:rFonts w:cs="Times New Roman"/>
        </w:rPr>
        <w:t>t</w:t>
      </w:r>
      <w:r w:rsidR="000B0BDE" w:rsidRPr="000B0BDE">
        <w:rPr>
          <w:rFonts w:cs="Times New Roman"/>
        </w:rPr>
        <w:t>he influence of reduced daily ambulation on glycemic control, skeletal muscle and physical function in older adults</w:t>
      </w:r>
      <w:r w:rsidR="000B0BDE">
        <w:rPr>
          <w:rFonts w:cs="Times New Roman"/>
        </w:rPr>
        <w:br/>
      </w:r>
    </w:p>
    <w:p w14:paraId="0C70464D" w14:textId="77777777" w:rsidR="000B0BDE" w:rsidRDefault="001C66DE" w:rsidP="001C66DE">
      <w:pPr>
        <w:widowControl w:val="0"/>
        <w:autoSpaceDE w:val="0"/>
        <w:autoSpaceDN w:val="0"/>
        <w:adjustRightInd w:val="0"/>
        <w:rPr>
          <w:rFonts w:cs="Times New Roman"/>
          <w:lang w:val="en-US"/>
        </w:rPr>
      </w:pPr>
      <w:r>
        <w:rPr>
          <w:rFonts w:cs="Times New Roman"/>
          <w:lang w:val="en-US"/>
        </w:rPr>
        <w:t xml:space="preserve">AUTHOR: </w:t>
      </w:r>
      <w:r w:rsidR="000B0BDE">
        <w:rPr>
          <w:rFonts w:cs="Times New Roman"/>
          <w:lang w:val="en-US"/>
        </w:rPr>
        <w:t>Mark von Allmen, B.Sc. (</w:t>
      </w:r>
      <w:r w:rsidR="000B0BDE" w:rsidRPr="000B0BDE">
        <w:rPr>
          <w:rFonts w:cs="Times New Roman"/>
          <w:lang w:val="en-US"/>
        </w:rPr>
        <w:t>McMaster University</w:t>
      </w:r>
      <w:r w:rsidR="000B0BDE">
        <w:rPr>
          <w:rFonts w:cs="Times New Roman"/>
          <w:lang w:val="en-US"/>
        </w:rPr>
        <w:t>)</w:t>
      </w:r>
    </w:p>
    <w:p w14:paraId="4A45B317" w14:textId="77777777" w:rsidR="000B0BDE" w:rsidRDefault="000B0BDE" w:rsidP="001C66DE">
      <w:pPr>
        <w:widowControl w:val="0"/>
        <w:autoSpaceDE w:val="0"/>
        <w:autoSpaceDN w:val="0"/>
        <w:adjustRightInd w:val="0"/>
        <w:rPr>
          <w:rFonts w:cs="Times New Roman"/>
          <w:lang w:val="en-US"/>
        </w:rPr>
      </w:pPr>
    </w:p>
    <w:p w14:paraId="6EF45F41" w14:textId="77777777" w:rsidR="000B0BDE" w:rsidRDefault="001C66DE" w:rsidP="000B0BDE">
      <w:pPr>
        <w:widowControl w:val="0"/>
        <w:autoSpaceDE w:val="0"/>
        <w:autoSpaceDN w:val="0"/>
        <w:adjustRightInd w:val="0"/>
        <w:rPr>
          <w:rFonts w:cs="Times New Roman"/>
          <w:lang w:val="en-US"/>
        </w:rPr>
      </w:pPr>
      <w:r>
        <w:rPr>
          <w:rFonts w:cs="Times New Roman"/>
          <w:lang w:val="en-US"/>
        </w:rPr>
        <w:t>SUPERVISOR: Dr. Stuart M. Phillips, Ph.D.</w:t>
      </w:r>
    </w:p>
    <w:p w14:paraId="2FF74204" w14:textId="77777777" w:rsidR="000B0BDE" w:rsidRDefault="000B0BDE" w:rsidP="001C66DE">
      <w:pPr>
        <w:rPr>
          <w:rFonts w:cs="Times New Roman"/>
          <w:lang w:val="en-US"/>
        </w:rPr>
      </w:pPr>
    </w:p>
    <w:p w14:paraId="3BAC619B" w14:textId="57CBE9D4" w:rsidR="00F15FB6" w:rsidRDefault="001C66DE" w:rsidP="001C66DE">
      <w:pPr>
        <w:rPr>
          <w:rFonts w:cs="Times New Roman"/>
          <w:lang w:val="en-US"/>
        </w:rPr>
      </w:pPr>
      <w:r>
        <w:rPr>
          <w:rFonts w:cs="Times New Roman"/>
          <w:lang w:val="en-US"/>
        </w:rPr>
        <w:t xml:space="preserve">NUMBER OF PAGES: </w:t>
      </w:r>
      <w:r w:rsidR="00A241EF">
        <w:rPr>
          <w:rFonts w:cs="Times New Roman"/>
          <w:lang w:val="en-US"/>
        </w:rPr>
        <w:t>ix, 71</w:t>
      </w:r>
    </w:p>
    <w:p w14:paraId="0DB02F0A" w14:textId="5CFF2B05" w:rsidR="00B16891" w:rsidRDefault="00F15FB6" w:rsidP="00E6221E">
      <w:pPr>
        <w:spacing w:line="480" w:lineRule="auto"/>
        <w:rPr>
          <w:rFonts w:cs="Times New Roman"/>
          <w:b/>
          <w:lang w:val="en-US"/>
        </w:rPr>
      </w:pPr>
      <w:r>
        <w:rPr>
          <w:rFonts w:cs="Times New Roman"/>
          <w:lang w:val="en-US"/>
        </w:rPr>
        <w:br w:type="column"/>
      </w:r>
      <w:r w:rsidR="00B16891" w:rsidRPr="00785141">
        <w:rPr>
          <w:rFonts w:cs="Times New Roman"/>
          <w:b/>
          <w:lang w:val="en-US"/>
        </w:rPr>
        <w:lastRenderedPageBreak/>
        <w:t>LAY ABSTRACT</w:t>
      </w:r>
      <w:r w:rsidR="000C0143">
        <w:rPr>
          <w:rFonts w:cs="Times New Roman"/>
          <w:b/>
          <w:lang w:val="en-US"/>
        </w:rPr>
        <w:t xml:space="preserve"> </w:t>
      </w:r>
    </w:p>
    <w:p w14:paraId="3FAE0F28" w14:textId="64315B77" w:rsidR="00DC2A01" w:rsidRDefault="00DC2A01" w:rsidP="00E6221E">
      <w:pPr>
        <w:spacing w:line="480" w:lineRule="auto"/>
        <w:rPr>
          <w:rFonts w:cs="Times New Roman"/>
          <w:b/>
          <w:lang w:val="en-US"/>
        </w:rPr>
      </w:pPr>
      <w:r>
        <w:rPr>
          <w:rFonts w:cs="Times New Roman"/>
          <w:lang w:val="en-US"/>
        </w:rPr>
        <w:t>P</w:t>
      </w:r>
      <w:r w:rsidR="00637412">
        <w:rPr>
          <w:rFonts w:cs="Times New Roman"/>
          <w:lang w:val="en-US"/>
        </w:rPr>
        <w:t>eriods of physical inactivity</w:t>
      </w:r>
      <w:r>
        <w:rPr>
          <w:rFonts w:cs="Times New Roman"/>
          <w:lang w:val="en-US"/>
        </w:rPr>
        <w:t xml:space="preserve"> </w:t>
      </w:r>
      <w:r w:rsidR="005A53B8">
        <w:rPr>
          <w:rFonts w:cs="Times New Roman"/>
          <w:lang w:val="en-US"/>
        </w:rPr>
        <w:t>such as h</w:t>
      </w:r>
      <w:r w:rsidR="00637412">
        <w:rPr>
          <w:rFonts w:cs="Times New Roman"/>
          <w:lang w:val="en-US"/>
        </w:rPr>
        <w:t>ospitalizations</w:t>
      </w:r>
      <w:r>
        <w:rPr>
          <w:rFonts w:cs="Times New Roman"/>
          <w:lang w:val="en-US"/>
        </w:rPr>
        <w:t xml:space="preserve"> </w:t>
      </w:r>
      <w:r w:rsidR="00637412">
        <w:rPr>
          <w:rFonts w:cs="Times New Roman"/>
          <w:lang w:val="en-US"/>
        </w:rPr>
        <w:t>decrease</w:t>
      </w:r>
      <w:r w:rsidR="004B69F3">
        <w:rPr>
          <w:rFonts w:cs="Times New Roman"/>
          <w:lang w:val="en-US"/>
        </w:rPr>
        <w:t xml:space="preserve"> daily steps</w:t>
      </w:r>
      <w:r w:rsidR="005A53B8">
        <w:rPr>
          <w:rFonts w:cs="Times New Roman"/>
          <w:lang w:val="en-US"/>
        </w:rPr>
        <w:t xml:space="preserve"> for older adults and this</w:t>
      </w:r>
      <w:r>
        <w:rPr>
          <w:rFonts w:cs="Times New Roman"/>
          <w:lang w:val="en-US"/>
        </w:rPr>
        <w:t xml:space="preserve"> inactivity</w:t>
      </w:r>
      <w:r w:rsidR="005A53B8">
        <w:rPr>
          <w:rFonts w:cs="Times New Roman"/>
          <w:lang w:val="en-US"/>
        </w:rPr>
        <w:t xml:space="preserve"> can </w:t>
      </w:r>
      <w:r w:rsidR="003274B7">
        <w:rPr>
          <w:rFonts w:cs="Times New Roman"/>
          <w:lang w:val="en-US"/>
        </w:rPr>
        <w:t>cause</w:t>
      </w:r>
      <w:r>
        <w:rPr>
          <w:rFonts w:cs="Times New Roman"/>
          <w:lang w:val="en-US"/>
        </w:rPr>
        <w:t xml:space="preserve"> loss</w:t>
      </w:r>
      <w:r w:rsidR="005A53B8">
        <w:rPr>
          <w:rFonts w:cs="Times New Roman"/>
          <w:lang w:val="en-US"/>
        </w:rPr>
        <w:t>es</w:t>
      </w:r>
      <w:r>
        <w:rPr>
          <w:rFonts w:cs="Times New Roman"/>
          <w:lang w:val="en-US"/>
        </w:rPr>
        <w:t xml:space="preserve"> of muscle, strength, and</w:t>
      </w:r>
      <w:r w:rsidR="005A53B8">
        <w:rPr>
          <w:rFonts w:cs="Times New Roman"/>
          <w:lang w:val="en-US"/>
        </w:rPr>
        <w:t xml:space="preserve"> symptoms of diabetes</w:t>
      </w:r>
      <w:r w:rsidR="008C73C1">
        <w:rPr>
          <w:rFonts w:cs="Times New Roman"/>
          <w:lang w:val="en-US"/>
        </w:rPr>
        <w:t xml:space="preserve">. </w:t>
      </w:r>
      <w:r>
        <w:rPr>
          <w:rFonts w:cs="Times New Roman"/>
          <w:lang w:val="en-US"/>
        </w:rPr>
        <w:t>I</w:t>
      </w:r>
      <w:r w:rsidR="008C73C1">
        <w:rPr>
          <w:rFonts w:cs="Times New Roman"/>
          <w:lang w:val="en-US"/>
        </w:rPr>
        <w:t xml:space="preserve">t </w:t>
      </w:r>
      <w:r w:rsidR="003274B7">
        <w:rPr>
          <w:rFonts w:cs="Times New Roman"/>
          <w:lang w:val="en-US"/>
        </w:rPr>
        <w:t>was</w:t>
      </w:r>
      <w:r>
        <w:rPr>
          <w:rFonts w:cs="Times New Roman"/>
          <w:lang w:val="en-US"/>
        </w:rPr>
        <w:t xml:space="preserve"> </w:t>
      </w:r>
      <w:r w:rsidR="004B69F3">
        <w:rPr>
          <w:rFonts w:cs="Times New Roman"/>
          <w:lang w:val="en-US"/>
        </w:rPr>
        <w:t xml:space="preserve">unknown </w:t>
      </w:r>
      <w:r w:rsidR="005A53B8">
        <w:rPr>
          <w:rFonts w:cs="Times New Roman"/>
          <w:lang w:val="en-US"/>
        </w:rPr>
        <w:t xml:space="preserve">if </w:t>
      </w:r>
      <w:r w:rsidR="003274B7">
        <w:rPr>
          <w:rFonts w:cs="Times New Roman"/>
          <w:lang w:val="en-US"/>
        </w:rPr>
        <w:t>by simply returning to normal physical activity older persons could</w:t>
      </w:r>
      <w:r w:rsidR="00637412">
        <w:rPr>
          <w:rFonts w:cs="Times New Roman"/>
          <w:lang w:val="en-US"/>
        </w:rPr>
        <w:t xml:space="preserve"> </w:t>
      </w:r>
      <w:r>
        <w:rPr>
          <w:rFonts w:cs="Times New Roman"/>
          <w:lang w:val="en-US"/>
        </w:rPr>
        <w:t>‘reverse’ the consequences of step</w:t>
      </w:r>
      <w:r w:rsidR="005A53B8">
        <w:rPr>
          <w:rFonts w:cs="Times New Roman"/>
          <w:lang w:val="en-US"/>
        </w:rPr>
        <w:t>-</w:t>
      </w:r>
      <w:r>
        <w:rPr>
          <w:rFonts w:cs="Times New Roman"/>
          <w:lang w:val="en-US"/>
        </w:rPr>
        <w:t xml:space="preserve">reduction </w:t>
      </w:r>
      <w:r w:rsidR="005A53B8">
        <w:rPr>
          <w:rFonts w:cs="Times New Roman"/>
          <w:lang w:val="en-US"/>
        </w:rPr>
        <w:t>so we</w:t>
      </w:r>
      <w:r>
        <w:rPr>
          <w:rFonts w:cs="Times New Roman"/>
          <w:lang w:val="en-US"/>
        </w:rPr>
        <w:t xml:space="preserve"> conducted a study </w:t>
      </w:r>
      <w:r w:rsidR="003274B7">
        <w:rPr>
          <w:rFonts w:cs="Times New Roman"/>
          <w:lang w:val="en-US"/>
        </w:rPr>
        <w:t xml:space="preserve">involving two weeks of step-reduction and two weeks of recovery. </w:t>
      </w:r>
      <w:r w:rsidR="004B69F3">
        <w:rPr>
          <w:rFonts w:cs="Times New Roman"/>
          <w:lang w:val="en-US"/>
        </w:rPr>
        <w:t xml:space="preserve">While there was no change in strength or muscle mass, we </w:t>
      </w:r>
      <w:r w:rsidR="00637412">
        <w:rPr>
          <w:rFonts w:cs="Times New Roman"/>
          <w:lang w:val="en-US"/>
        </w:rPr>
        <w:t>found that when older adults reduce</w:t>
      </w:r>
      <w:r>
        <w:rPr>
          <w:rFonts w:cs="Times New Roman"/>
          <w:lang w:val="en-US"/>
        </w:rPr>
        <w:t>d</w:t>
      </w:r>
      <w:r w:rsidR="00637412">
        <w:rPr>
          <w:rFonts w:cs="Times New Roman"/>
          <w:lang w:val="en-US"/>
        </w:rPr>
        <w:t xml:space="preserve"> their </w:t>
      </w:r>
      <w:r w:rsidR="003274B7">
        <w:rPr>
          <w:rFonts w:cs="Times New Roman"/>
          <w:lang w:val="en-US"/>
        </w:rPr>
        <w:t xml:space="preserve">daily steps </w:t>
      </w:r>
      <w:r w:rsidR="00637412">
        <w:rPr>
          <w:rFonts w:cs="Times New Roman"/>
          <w:lang w:val="en-US"/>
        </w:rPr>
        <w:t>to few</w:t>
      </w:r>
      <w:r w:rsidR="004B69F3">
        <w:rPr>
          <w:rFonts w:cs="Times New Roman"/>
          <w:lang w:val="en-US"/>
        </w:rPr>
        <w:t>er than 1000</w:t>
      </w:r>
      <w:r w:rsidR="005A53B8">
        <w:rPr>
          <w:rFonts w:cs="Times New Roman"/>
          <w:lang w:val="en-US"/>
        </w:rPr>
        <w:t xml:space="preserve">/day, after </w:t>
      </w:r>
      <w:r w:rsidR="004B69F3">
        <w:rPr>
          <w:rFonts w:cs="Times New Roman"/>
          <w:lang w:val="en-US"/>
        </w:rPr>
        <w:t xml:space="preserve">two weeks they became </w:t>
      </w:r>
      <w:r>
        <w:rPr>
          <w:rFonts w:cs="Times New Roman"/>
          <w:lang w:val="en-US"/>
        </w:rPr>
        <w:t xml:space="preserve">‘resistant’ </w:t>
      </w:r>
      <w:r w:rsidR="00637412">
        <w:rPr>
          <w:rFonts w:cs="Times New Roman"/>
          <w:lang w:val="en-US"/>
        </w:rPr>
        <w:t>to insulin</w:t>
      </w:r>
      <w:r>
        <w:rPr>
          <w:rFonts w:cs="Times New Roman"/>
          <w:lang w:val="en-US"/>
        </w:rPr>
        <w:t>,</w:t>
      </w:r>
      <w:r w:rsidR="004B69F3">
        <w:rPr>
          <w:rFonts w:cs="Times New Roman"/>
          <w:lang w:val="en-US"/>
        </w:rPr>
        <w:t xml:space="preserve"> </w:t>
      </w:r>
      <w:r>
        <w:rPr>
          <w:rFonts w:cs="Times New Roman"/>
          <w:lang w:val="en-US"/>
        </w:rPr>
        <w:t xml:space="preserve">a hormone that </w:t>
      </w:r>
      <w:r w:rsidR="004B69F3">
        <w:rPr>
          <w:rFonts w:cs="Times New Roman"/>
          <w:lang w:val="en-US"/>
        </w:rPr>
        <w:t>helps control blood suga</w:t>
      </w:r>
      <w:r w:rsidR="005A53B8">
        <w:rPr>
          <w:rFonts w:cs="Times New Roman"/>
          <w:lang w:val="en-US"/>
        </w:rPr>
        <w:t>r and</w:t>
      </w:r>
      <w:r>
        <w:rPr>
          <w:rFonts w:cs="Times New Roman"/>
          <w:lang w:val="en-US"/>
        </w:rPr>
        <w:t xml:space="preserve"> </w:t>
      </w:r>
      <w:r w:rsidR="005A53B8">
        <w:rPr>
          <w:rFonts w:cs="Times New Roman"/>
          <w:lang w:val="en-US"/>
        </w:rPr>
        <w:t xml:space="preserve">is </w:t>
      </w:r>
      <w:r w:rsidR="004B69F3">
        <w:rPr>
          <w:rFonts w:cs="Times New Roman"/>
          <w:lang w:val="en-US"/>
        </w:rPr>
        <w:t>connected to the</w:t>
      </w:r>
      <w:r w:rsidR="008C73C1">
        <w:rPr>
          <w:rFonts w:cs="Times New Roman"/>
          <w:lang w:val="en-US"/>
        </w:rPr>
        <w:t xml:space="preserve"> development of type II diabetes. </w:t>
      </w:r>
      <w:r w:rsidR="004B69F3">
        <w:rPr>
          <w:rFonts w:cs="Times New Roman"/>
          <w:lang w:val="en-US"/>
        </w:rPr>
        <w:t xml:space="preserve">Although these older adults </w:t>
      </w:r>
      <w:r w:rsidR="00AB3BAC">
        <w:rPr>
          <w:rFonts w:cs="Times New Roman"/>
          <w:lang w:val="en-US"/>
        </w:rPr>
        <w:t>resumed normal step-count levels in the recovery phase</w:t>
      </w:r>
      <w:r w:rsidR="004B69F3">
        <w:rPr>
          <w:rFonts w:cs="Times New Roman"/>
          <w:lang w:val="en-US"/>
        </w:rPr>
        <w:t xml:space="preserve">, they </w:t>
      </w:r>
      <w:r w:rsidR="005A53B8">
        <w:rPr>
          <w:rFonts w:cs="Times New Roman"/>
          <w:lang w:val="en-US"/>
        </w:rPr>
        <w:t xml:space="preserve">did not </w:t>
      </w:r>
      <w:r w:rsidR="004B69F3">
        <w:rPr>
          <w:rFonts w:cs="Times New Roman"/>
          <w:lang w:val="en-US"/>
        </w:rPr>
        <w:t>recover their insulin sensitivity</w:t>
      </w:r>
      <w:r w:rsidR="005A53B8">
        <w:rPr>
          <w:rFonts w:cs="Times New Roman"/>
          <w:lang w:val="en-US"/>
        </w:rPr>
        <w:t xml:space="preserve"> </w:t>
      </w:r>
      <w:r w:rsidR="00AB3BAC">
        <w:rPr>
          <w:rFonts w:cs="Times New Roman"/>
          <w:lang w:val="en-US"/>
        </w:rPr>
        <w:t xml:space="preserve">such that </w:t>
      </w:r>
      <w:r w:rsidR="004B69F3">
        <w:rPr>
          <w:rFonts w:cs="Times New Roman"/>
          <w:lang w:val="en-US"/>
        </w:rPr>
        <w:t xml:space="preserve">two weeks of normal daily </w:t>
      </w:r>
      <w:r w:rsidR="005A53B8">
        <w:rPr>
          <w:rFonts w:cs="Times New Roman"/>
          <w:lang w:val="en-US"/>
        </w:rPr>
        <w:t xml:space="preserve">activity </w:t>
      </w:r>
      <w:r w:rsidR="003274B7">
        <w:rPr>
          <w:rFonts w:cs="Times New Roman"/>
          <w:lang w:val="en-US"/>
        </w:rPr>
        <w:t>was</w:t>
      </w:r>
      <w:r w:rsidR="004B69F3">
        <w:rPr>
          <w:rFonts w:cs="Times New Roman"/>
          <w:lang w:val="en-US"/>
        </w:rPr>
        <w:t xml:space="preserve"> not </w:t>
      </w:r>
      <w:r w:rsidR="00AB3BAC">
        <w:rPr>
          <w:rFonts w:cs="Times New Roman"/>
          <w:lang w:val="en-US"/>
        </w:rPr>
        <w:t xml:space="preserve">sufficient </w:t>
      </w:r>
      <w:r w:rsidR="004B69F3">
        <w:rPr>
          <w:rFonts w:cs="Times New Roman"/>
          <w:lang w:val="en-US"/>
        </w:rPr>
        <w:t>to overcome the consequences of two weeks of inactivity.</w:t>
      </w:r>
      <w:r w:rsidR="00A84A6E">
        <w:rPr>
          <w:rFonts w:cs="Times New Roman"/>
          <w:lang w:val="en-US"/>
        </w:rPr>
        <w:t xml:space="preserve"> </w:t>
      </w:r>
    </w:p>
    <w:p w14:paraId="70CB75A5" w14:textId="5E553BBC" w:rsidR="00DC2A01" w:rsidRDefault="00DC2A01">
      <w:pPr>
        <w:rPr>
          <w:rFonts w:cs="Times New Roman"/>
          <w:b/>
          <w:lang w:val="en-US"/>
        </w:rPr>
      </w:pPr>
    </w:p>
    <w:p w14:paraId="15570EDC" w14:textId="77777777" w:rsidR="00A84A6E" w:rsidRDefault="00A84A6E">
      <w:pPr>
        <w:rPr>
          <w:rFonts w:cs="Times New Roman"/>
          <w:b/>
          <w:lang w:val="en-US"/>
        </w:rPr>
      </w:pPr>
      <w:r>
        <w:rPr>
          <w:rFonts w:cs="Times New Roman"/>
          <w:b/>
          <w:lang w:val="en-US"/>
        </w:rPr>
        <w:br w:type="page"/>
      </w:r>
    </w:p>
    <w:p w14:paraId="5F293C17" w14:textId="1D793896" w:rsidR="00F15FB6" w:rsidRPr="00E61A84" w:rsidRDefault="00F15FB6" w:rsidP="00E6221E">
      <w:pPr>
        <w:spacing w:line="480" w:lineRule="auto"/>
        <w:rPr>
          <w:rFonts w:cs="Times New Roman"/>
          <w:b/>
          <w:lang w:val="en-US"/>
        </w:rPr>
      </w:pPr>
      <w:r w:rsidRPr="00E61A84">
        <w:rPr>
          <w:rFonts w:cs="Times New Roman"/>
          <w:b/>
          <w:lang w:val="en-US"/>
        </w:rPr>
        <w:lastRenderedPageBreak/>
        <w:t>ABSTRACT</w:t>
      </w:r>
    </w:p>
    <w:p w14:paraId="5799F821" w14:textId="693C4768" w:rsidR="00AB3BAC" w:rsidRPr="00D20FF9" w:rsidRDefault="00AB3BAC" w:rsidP="00AB3BAC">
      <w:pPr>
        <w:spacing w:line="480" w:lineRule="auto"/>
        <w:rPr>
          <w:rFonts w:cs="Times New Roman"/>
        </w:rPr>
      </w:pPr>
      <w:r>
        <w:rPr>
          <w:rFonts w:cs="Times New Roman"/>
        </w:rPr>
        <w:t>Short-term</w:t>
      </w:r>
      <w:r w:rsidRPr="00D20FF9">
        <w:rPr>
          <w:rFonts w:cs="Times New Roman"/>
        </w:rPr>
        <w:t xml:space="preserve"> physical inactivity </w:t>
      </w:r>
      <w:r>
        <w:rPr>
          <w:rFonts w:cs="Times New Roman"/>
        </w:rPr>
        <w:t>in older adults has</w:t>
      </w:r>
      <w:r w:rsidRPr="00D20FF9">
        <w:rPr>
          <w:rFonts w:cs="Times New Roman"/>
        </w:rPr>
        <w:t xml:space="preserve"> been shown to cause muscular atrophy and </w:t>
      </w:r>
      <w:r>
        <w:rPr>
          <w:rFonts w:cs="Times New Roman"/>
        </w:rPr>
        <w:t>impaired</w:t>
      </w:r>
      <w:r w:rsidRPr="00D20FF9">
        <w:rPr>
          <w:rFonts w:cs="Times New Roman"/>
        </w:rPr>
        <w:t xml:space="preserve"> glycemic control, however, the </w:t>
      </w:r>
      <w:r>
        <w:rPr>
          <w:rFonts w:cs="Times New Roman"/>
        </w:rPr>
        <w:t xml:space="preserve">ability to </w:t>
      </w:r>
      <w:r w:rsidRPr="00D20FF9">
        <w:rPr>
          <w:rFonts w:cs="Times New Roman"/>
        </w:rPr>
        <w:t>recover remains unknown. We aimed to determine the i</w:t>
      </w:r>
      <w:r>
        <w:rPr>
          <w:rFonts w:cs="Times New Roman"/>
        </w:rPr>
        <w:t>mpact of step-reduction (SR) o</w:t>
      </w:r>
      <w:r w:rsidRPr="00D20FF9">
        <w:rPr>
          <w:rFonts w:cs="Times New Roman"/>
        </w:rPr>
        <w:t>n older adults</w:t>
      </w:r>
      <w:r>
        <w:rPr>
          <w:rFonts w:cs="Times New Roman"/>
        </w:rPr>
        <w:t xml:space="preserve"> and if they could</w:t>
      </w:r>
      <w:r w:rsidRPr="00D20FF9">
        <w:rPr>
          <w:rFonts w:cs="Times New Roman"/>
        </w:rPr>
        <w:t xml:space="preserve"> recover simply by returning to habitual activity. Ten older adults (6 men, 4 women, 69 ± 3 yr) completed 7d of normal baseline</w:t>
      </w:r>
      <w:r>
        <w:rPr>
          <w:rFonts w:cs="Times New Roman"/>
        </w:rPr>
        <w:t xml:space="preserve"> activity (BL), s</w:t>
      </w:r>
      <w:r w:rsidRPr="00D20FF9">
        <w:rPr>
          <w:rFonts w:cs="Times New Roman"/>
        </w:rPr>
        <w:t xml:space="preserve">ubsequently underwent </w:t>
      </w:r>
      <w:r>
        <w:rPr>
          <w:rFonts w:cs="Times New Roman"/>
        </w:rPr>
        <w:t>SR</w:t>
      </w:r>
      <w:r w:rsidRPr="00D20FF9">
        <w:rPr>
          <w:rFonts w:cs="Times New Roman"/>
        </w:rPr>
        <w:t xml:space="preserve"> by 86 ± 9% (8568 ± 3741 to 973 ± 76 steps/d; p&lt;0.001) for 14d and then returned to </w:t>
      </w:r>
      <w:r w:rsidR="00A00C40">
        <w:t>8383 ± 4513 steps/d</w:t>
      </w:r>
      <w:r w:rsidRPr="00D20FF9">
        <w:rPr>
          <w:rFonts w:cs="Times New Roman"/>
        </w:rPr>
        <w:t xml:space="preserve"> for 14d (RC)</w:t>
      </w:r>
      <w:r>
        <w:rPr>
          <w:rFonts w:cs="Times New Roman"/>
        </w:rPr>
        <w:t>. During an oral glucose tolerance test (OGTT),</w:t>
      </w:r>
      <w:r w:rsidRPr="00D20FF9">
        <w:rPr>
          <w:rFonts w:cs="Times New Roman"/>
        </w:rPr>
        <w:t xml:space="preserve"> SR resulted in elevated </w:t>
      </w:r>
      <w:r>
        <w:rPr>
          <w:rFonts w:cs="Times New Roman"/>
        </w:rPr>
        <w:t xml:space="preserve">plasma </w:t>
      </w:r>
      <w:r w:rsidRPr="00D20FF9">
        <w:rPr>
          <w:rFonts w:cs="Times New Roman"/>
        </w:rPr>
        <w:t>glucose</w:t>
      </w:r>
      <w:r>
        <w:rPr>
          <w:rFonts w:cs="Times New Roman"/>
        </w:rPr>
        <w:t xml:space="preserve"> concentration ([G]) area under the </w:t>
      </w:r>
      <w:r w:rsidRPr="00D20FF9">
        <w:rPr>
          <w:rFonts w:cs="Times New Roman"/>
        </w:rPr>
        <w:t xml:space="preserve">curve (AUC; 325 ± 126 to 375 ± 137, p = 0.13), maximum [G] (10.2 ± 2.4 to 11.9 ± 1.7 </w:t>
      </w:r>
      <w:r w:rsidRPr="00D20FF9">
        <w:t>mM</w:t>
      </w:r>
      <w:r w:rsidRPr="00D20FF9">
        <w:rPr>
          <w:vertAlign w:val="subscript"/>
        </w:rPr>
        <w:t xml:space="preserve">, </w:t>
      </w:r>
      <w:r w:rsidRPr="00D20FF9">
        <w:t>p = 0.027</w:t>
      </w:r>
      <w:r w:rsidRPr="00D20FF9">
        <w:rPr>
          <w:rFonts w:cs="Times New Roman"/>
        </w:rPr>
        <w:t>)</w:t>
      </w:r>
      <w:r w:rsidR="00881F0B">
        <w:rPr>
          <w:rFonts w:cs="Times New Roman"/>
        </w:rPr>
        <w:t xml:space="preserve"> and</w:t>
      </w:r>
      <w:r>
        <w:rPr>
          <w:rFonts w:cs="Times New Roman"/>
        </w:rPr>
        <w:t xml:space="preserve"> </w:t>
      </w:r>
      <w:r w:rsidR="00A00C40">
        <w:rPr>
          <w:rFonts w:cs="Times New Roman"/>
        </w:rPr>
        <w:t xml:space="preserve">2-hr </w:t>
      </w:r>
      <w:r w:rsidRPr="00D20FF9">
        <w:rPr>
          <w:rFonts w:cs="Times New Roman"/>
        </w:rPr>
        <w:t>[G] (7.9 ± 1.3 to 9.1 ± 1.1</w:t>
      </w:r>
      <w:r w:rsidRPr="00D20FF9">
        <w:rPr>
          <w:vertAlign w:val="superscript"/>
        </w:rPr>
        <w:t xml:space="preserve"> </w:t>
      </w:r>
      <w:r w:rsidRPr="00D20FF9">
        <w:rPr>
          <w:rFonts w:cs="Times New Roman"/>
        </w:rPr>
        <w:t>mM</w:t>
      </w:r>
      <w:r w:rsidRPr="00D20FF9">
        <w:t>, p = 0.085</w:t>
      </w:r>
      <w:r w:rsidRPr="00D20FF9">
        <w:rPr>
          <w:rFonts w:cs="Times New Roman"/>
        </w:rPr>
        <w:t>)</w:t>
      </w:r>
      <w:r>
        <w:rPr>
          <w:rFonts w:cs="Times New Roman"/>
        </w:rPr>
        <w:t xml:space="preserve">, while all </w:t>
      </w:r>
      <w:r w:rsidRPr="00D20FF9">
        <w:rPr>
          <w:rFonts w:cs="Times New Roman"/>
        </w:rPr>
        <w:t xml:space="preserve">[G] </w:t>
      </w:r>
      <w:r>
        <w:rPr>
          <w:rFonts w:cs="Times New Roman"/>
        </w:rPr>
        <w:t xml:space="preserve">indices </w:t>
      </w:r>
      <w:r>
        <w:t>returned</w:t>
      </w:r>
      <w:r w:rsidRPr="00D20FF9">
        <w:t xml:space="preserve"> to BL after</w:t>
      </w:r>
      <w:r>
        <w:t xml:space="preserve"> RC.</w:t>
      </w:r>
      <w:r w:rsidRPr="00D20FF9">
        <w:rPr>
          <w:rFonts w:cs="Times New Roman"/>
        </w:rPr>
        <w:t xml:space="preserve"> </w:t>
      </w:r>
      <w:r>
        <w:rPr>
          <w:rFonts w:cs="Times New Roman"/>
        </w:rPr>
        <w:t xml:space="preserve">However, </w:t>
      </w:r>
      <w:r w:rsidRPr="00D20FF9">
        <w:rPr>
          <w:rFonts w:cs="Times New Roman"/>
        </w:rPr>
        <w:t xml:space="preserve">Matsuda </w:t>
      </w:r>
      <w:r w:rsidR="006A4E21">
        <w:rPr>
          <w:rFonts w:cs="Times New Roman"/>
        </w:rPr>
        <w:t>insulin sensitivity index</w:t>
      </w:r>
      <w:r>
        <w:rPr>
          <w:rFonts w:cs="Times New Roman"/>
        </w:rPr>
        <w:t xml:space="preserve"> was </w:t>
      </w:r>
      <w:r w:rsidRPr="00D20FF9">
        <w:rPr>
          <w:rFonts w:cs="Times New Roman"/>
        </w:rPr>
        <w:t xml:space="preserve">reduced (3.5 ± 0.3 to 2.7 ± 0.7, p &lt; 0.001) </w:t>
      </w:r>
      <w:r w:rsidR="00A00C40">
        <w:rPr>
          <w:rFonts w:cs="Times New Roman"/>
        </w:rPr>
        <w:t xml:space="preserve">and </w:t>
      </w:r>
      <w:r w:rsidR="006A4E21">
        <w:rPr>
          <w:rFonts w:cs="Times New Roman"/>
        </w:rPr>
        <w:t xml:space="preserve">homeostatic model assessment of insulin resistance </w:t>
      </w:r>
      <w:r>
        <w:rPr>
          <w:rFonts w:cs="Times New Roman"/>
        </w:rPr>
        <w:t xml:space="preserve">was </w:t>
      </w:r>
      <w:r w:rsidRPr="00D20FF9">
        <w:rPr>
          <w:rFonts w:cs="Times New Roman"/>
        </w:rPr>
        <w:t>elevated (2.8 ± 0.3 to 3.6 ± 0.7, p = 0.02) with SR</w:t>
      </w:r>
      <w:r>
        <w:rPr>
          <w:rFonts w:cs="Times New Roman"/>
        </w:rPr>
        <w:t>,</w:t>
      </w:r>
      <w:r w:rsidRPr="00D20FF9">
        <w:rPr>
          <w:rFonts w:cs="Times New Roman"/>
        </w:rPr>
        <w:t xml:space="preserve"> remain</w:t>
      </w:r>
      <w:r w:rsidR="00A00C40">
        <w:rPr>
          <w:rFonts w:cs="Times New Roman"/>
        </w:rPr>
        <w:t>ing</w:t>
      </w:r>
      <w:r w:rsidRPr="00D20FF9">
        <w:rPr>
          <w:rFonts w:cs="Times New Roman"/>
        </w:rPr>
        <w:t xml:space="preserve"> </w:t>
      </w:r>
      <w:r>
        <w:rPr>
          <w:rFonts w:cs="Times New Roman"/>
        </w:rPr>
        <w:t>different</w:t>
      </w:r>
      <w:r w:rsidRPr="00D20FF9">
        <w:rPr>
          <w:rFonts w:cs="Times New Roman"/>
        </w:rPr>
        <w:t xml:space="preserve"> than BL after RC (p &lt; 0.005)</w:t>
      </w:r>
      <w:r>
        <w:rPr>
          <w:rFonts w:cs="Times New Roman"/>
        </w:rPr>
        <w:t>. During f</w:t>
      </w:r>
      <w:r w:rsidRPr="00D20FF9">
        <w:rPr>
          <w:rFonts w:cs="Times New Roman"/>
        </w:rPr>
        <w:t>ree-li</w:t>
      </w:r>
      <w:r>
        <w:rPr>
          <w:rFonts w:cs="Times New Roman"/>
        </w:rPr>
        <w:t>ving</w:t>
      </w:r>
      <w:r w:rsidRPr="00D20FF9">
        <w:rPr>
          <w:rFonts w:cs="Times New Roman"/>
        </w:rPr>
        <w:t xml:space="preserve"> </w:t>
      </w:r>
      <w:r>
        <w:rPr>
          <w:rFonts w:cs="Times New Roman"/>
        </w:rPr>
        <w:t xml:space="preserve">conditions, </w:t>
      </w:r>
      <w:r w:rsidRPr="00D20FF9">
        <w:rPr>
          <w:rFonts w:cs="Times New Roman"/>
        </w:rPr>
        <w:t>3-hr post-prandial [G] (PPG) AUC</w:t>
      </w:r>
      <w:r w:rsidR="00A00C40">
        <w:rPr>
          <w:rFonts w:cs="Times New Roman"/>
        </w:rPr>
        <w:t xml:space="preserve"> and</w:t>
      </w:r>
      <w:r w:rsidRPr="00D20FF9">
        <w:rPr>
          <w:rFonts w:cs="Times New Roman"/>
        </w:rPr>
        <w:t xml:space="preserve"> peak PPG</w:t>
      </w:r>
      <w:r w:rsidR="00A00C40">
        <w:rPr>
          <w:rFonts w:cs="Times New Roman"/>
        </w:rPr>
        <w:t xml:space="preserve"> </w:t>
      </w:r>
      <w:r w:rsidRPr="00D20FF9">
        <w:t>increased following SR</w:t>
      </w:r>
      <w:r>
        <w:t xml:space="preserve"> </w:t>
      </w:r>
      <w:r w:rsidRPr="00D20FF9">
        <w:t>(p &gt; 0.05)</w:t>
      </w:r>
      <w:r w:rsidR="00A00C40">
        <w:t xml:space="preserve">, </w:t>
      </w:r>
      <w:r w:rsidRPr="00D20FF9">
        <w:t>return</w:t>
      </w:r>
      <w:r w:rsidR="00A00C40">
        <w:t>ing</w:t>
      </w:r>
      <w:r w:rsidRPr="00D20FF9">
        <w:t xml:space="preserve"> to BL with RC. </w:t>
      </w:r>
      <w:r>
        <w:t xml:space="preserve">Body composition and physical function remained unchanged with SR. </w:t>
      </w:r>
      <w:r w:rsidRPr="00D20FF9">
        <w:t>These results show that periods of physical inactivity, characterized by reduced daily stepping,</w:t>
      </w:r>
      <w:r>
        <w:t xml:space="preserve"> do not present detectable changes in body composition or physical function yet</w:t>
      </w:r>
      <w:r w:rsidRPr="00D20FF9">
        <w:t xml:space="preserve"> </w:t>
      </w:r>
      <w:r>
        <w:t>result in reduced</w:t>
      </w:r>
      <w:r w:rsidRPr="00D20FF9">
        <w:t xml:space="preserve"> glycemic control in older adults. While </w:t>
      </w:r>
      <w:r>
        <w:t xml:space="preserve">elevations in blood [G] </w:t>
      </w:r>
      <w:r w:rsidR="00881F0B">
        <w:t>are</w:t>
      </w:r>
      <w:r w:rsidRPr="00D20FF9">
        <w:t xml:space="preserve"> </w:t>
      </w:r>
      <w:r>
        <w:lastRenderedPageBreak/>
        <w:t>abolished with 14</w:t>
      </w:r>
      <w:r w:rsidR="00881F0B">
        <w:t xml:space="preserve">d </w:t>
      </w:r>
      <w:r>
        <w:t xml:space="preserve">of </w:t>
      </w:r>
      <w:r w:rsidRPr="00D20FF9">
        <w:t>norm</w:t>
      </w:r>
      <w:r>
        <w:t>al physical activity,</w:t>
      </w:r>
      <w:r w:rsidRPr="00D20FF9">
        <w:t xml:space="preserve"> </w:t>
      </w:r>
      <w:r>
        <w:t>our</w:t>
      </w:r>
      <w:r w:rsidRPr="00D20FF9">
        <w:t xml:space="preserve"> findings suggest that </w:t>
      </w:r>
      <w:r>
        <w:t>the SR</w:t>
      </w:r>
      <w:r w:rsidR="00881F0B">
        <w:t>-</w:t>
      </w:r>
      <w:r>
        <w:t xml:space="preserve">associated reductions in </w:t>
      </w:r>
      <w:r w:rsidRPr="00D20FF9">
        <w:t>insulin sensitivity</w:t>
      </w:r>
      <w:r>
        <w:t xml:space="preserve"> are not normalized as quickly</w:t>
      </w:r>
      <w:r w:rsidRPr="00D20FF9">
        <w:t>.</w:t>
      </w:r>
    </w:p>
    <w:p w14:paraId="4B65C0B2" w14:textId="77777777" w:rsidR="00893E61" w:rsidRDefault="00893E61" w:rsidP="00CC2684">
      <w:pPr>
        <w:spacing w:line="480" w:lineRule="auto"/>
        <w:rPr>
          <w:rFonts w:cs="Times New Roman"/>
          <w:b/>
          <w:lang w:val="en-US"/>
        </w:rPr>
      </w:pPr>
    </w:p>
    <w:p w14:paraId="4BF334D1" w14:textId="0578A85E" w:rsidR="00F15FB6" w:rsidRPr="00E61A84" w:rsidRDefault="00452688" w:rsidP="00CC2684">
      <w:pPr>
        <w:spacing w:line="480" w:lineRule="auto"/>
        <w:rPr>
          <w:rFonts w:cs="Times New Roman"/>
          <w:b/>
          <w:lang w:val="en-US"/>
        </w:rPr>
      </w:pPr>
      <w:r w:rsidRPr="00E61A84">
        <w:rPr>
          <w:rFonts w:cs="Times New Roman"/>
          <w:b/>
          <w:lang w:val="en-US"/>
        </w:rPr>
        <w:t>ACKNOWLEDGEMENTS</w:t>
      </w:r>
    </w:p>
    <w:p w14:paraId="5166A439" w14:textId="73BB1502" w:rsidR="00137FBA" w:rsidRDefault="0048042A" w:rsidP="00B22BE8">
      <w:pPr>
        <w:spacing w:line="480" w:lineRule="auto"/>
        <w:rPr>
          <w:rFonts w:cs="Times New Roman"/>
          <w:lang w:val="en-US"/>
        </w:rPr>
      </w:pPr>
      <w:r>
        <w:rPr>
          <w:rFonts w:cs="Times New Roman"/>
          <w:lang w:val="en-US"/>
        </w:rPr>
        <w:tab/>
        <w:t>I would like to first thank</w:t>
      </w:r>
      <w:r w:rsidR="00137FBA">
        <w:rPr>
          <w:rFonts w:cs="Times New Roman"/>
          <w:lang w:val="en-US"/>
        </w:rPr>
        <w:t xml:space="preserve"> </w:t>
      </w:r>
      <w:r>
        <w:rPr>
          <w:rFonts w:cs="Times New Roman"/>
          <w:lang w:val="en-US"/>
        </w:rPr>
        <w:t>Dr. Phillips</w:t>
      </w:r>
      <w:r w:rsidR="00137FBA">
        <w:rPr>
          <w:rFonts w:cs="Times New Roman"/>
          <w:lang w:val="en-US"/>
        </w:rPr>
        <w:t xml:space="preserve"> for giving me the</w:t>
      </w:r>
      <w:r w:rsidR="00DE12DA">
        <w:rPr>
          <w:rFonts w:cs="Times New Roman"/>
          <w:lang w:val="en-US"/>
        </w:rPr>
        <w:t xml:space="preserve"> opportunity to join</w:t>
      </w:r>
      <w:r w:rsidR="00137FBA">
        <w:rPr>
          <w:rFonts w:cs="Times New Roman"/>
          <w:lang w:val="en-US"/>
        </w:rPr>
        <w:t xml:space="preserve"> the lab</w:t>
      </w:r>
      <w:r w:rsidR="00F90FF6">
        <w:rPr>
          <w:rFonts w:cs="Times New Roman"/>
          <w:lang w:val="en-US"/>
        </w:rPr>
        <w:t xml:space="preserve"> as an undergrad and get involved with a field I have become very passionate about</w:t>
      </w:r>
      <w:r w:rsidR="00137FBA">
        <w:rPr>
          <w:rFonts w:cs="Times New Roman"/>
          <w:lang w:val="en-US"/>
        </w:rPr>
        <w:t xml:space="preserve">. It has been an unforgettable experience and </w:t>
      </w:r>
      <w:r>
        <w:rPr>
          <w:rFonts w:cs="Times New Roman"/>
          <w:lang w:val="en-US"/>
        </w:rPr>
        <w:t xml:space="preserve">what I have learned under </w:t>
      </w:r>
      <w:r w:rsidR="00DE12DA">
        <w:rPr>
          <w:rFonts w:cs="Times New Roman"/>
          <w:lang w:val="en-US"/>
        </w:rPr>
        <w:t>your leadership</w:t>
      </w:r>
      <w:r w:rsidR="00137FBA">
        <w:rPr>
          <w:rFonts w:cs="Times New Roman"/>
          <w:lang w:val="en-US"/>
        </w:rPr>
        <w:t xml:space="preserve"> </w:t>
      </w:r>
      <w:r w:rsidR="005B6B58">
        <w:rPr>
          <w:rFonts w:cs="Times New Roman"/>
          <w:lang w:val="en-US"/>
        </w:rPr>
        <w:t xml:space="preserve">will never be forgotten as I move forward </w:t>
      </w:r>
      <w:r w:rsidR="00477EA6">
        <w:rPr>
          <w:rFonts w:cs="Times New Roman"/>
          <w:lang w:val="en-US"/>
        </w:rPr>
        <w:t>with</w:t>
      </w:r>
      <w:r w:rsidR="005B6B58">
        <w:rPr>
          <w:rFonts w:cs="Times New Roman"/>
          <w:lang w:val="en-US"/>
        </w:rPr>
        <w:t xml:space="preserve"> my career</w:t>
      </w:r>
      <w:r w:rsidR="00137FBA">
        <w:rPr>
          <w:rFonts w:cs="Times New Roman"/>
          <w:lang w:val="en-US"/>
        </w:rPr>
        <w:t>. I</w:t>
      </w:r>
      <w:r>
        <w:rPr>
          <w:rFonts w:cs="Times New Roman"/>
          <w:lang w:val="en-US"/>
        </w:rPr>
        <w:t xml:space="preserve"> also</w:t>
      </w:r>
      <w:r w:rsidR="00137FBA">
        <w:rPr>
          <w:rFonts w:cs="Times New Roman"/>
          <w:lang w:val="en-US"/>
        </w:rPr>
        <w:t xml:space="preserve"> greatly appreciate the guidance of my committee, Dr. </w:t>
      </w:r>
      <w:r w:rsidR="002330B5">
        <w:rPr>
          <w:rFonts w:cs="Times New Roman"/>
          <w:lang w:val="en-US"/>
        </w:rPr>
        <w:t xml:space="preserve">MacDonald and Dr. Ljubicic, </w:t>
      </w:r>
      <w:r w:rsidR="00477EA6">
        <w:rPr>
          <w:rFonts w:cs="Times New Roman"/>
          <w:lang w:val="en-US"/>
        </w:rPr>
        <w:t xml:space="preserve">who </w:t>
      </w:r>
      <w:r w:rsidR="002330B5">
        <w:rPr>
          <w:rFonts w:cs="Times New Roman"/>
          <w:lang w:val="en-US"/>
        </w:rPr>
        <w:t>ha</w:t>
      </w:r>
      <w:r w:rsidR="00477EA6">
        <w:rPr>
          <w:rFonts w:cs="Times New Roman"/>
          <w:lang w:val="en-US"/>
        </w:rPr>
        <w:t>ve</w:t>
      </w:r>
      <w:r w:rsidR="002330B5">
        <w:rPr>
          <w:rFonts w:cs="Times New Roman"/>
          <w:lang w:val="en-US"/>
        </w:rPr>
        <w:t xml:space="preserve"> helped me get the most out of this opportunity.</w:t>
      </w:r>
    </w:p>
    <w:p w14:paraId="649FD155" w14:textId="0E30668A" w:rsidR="0048042A" w:rsidRDefault="00F90FF6" w:rsidP="00CC2684">
      <w:pPr>
        <w:spacing w:line="480" w:lineRule="auto"/>
        <w:rPr>
          <w:rFonts w:cs="Times New Roman"/>
          <w:lang w:val="en-US"/>
        </w:rPr>
      </w:pPr>
      <w:r>
        <w:rPr>
          <w:rFonts w:cs="Times New Roman"/>
          <w:lang w:val="en-US"/>
        </w:rPr>
        <w:tab/>
        <w:t>To</w:t>
      </w:r>
      <w:r w:rsidR="0048042A">
        <w:rPr>
          <w:rFonts w:cs="Times New Roman"/>
          <w:lang w:val="en-US"/>
        </w:rPr>
        <w:t xml:space="preserve"> the members of the Phillips lab</w:t>
      </w:r>
      <w:r w:rsidR="00DE12DA">
        <w:rPr>
          <w:rFonts w:cs="Times New Roman"/>
          <w:lang w:val="en-US"/>
        </w:rPr>
        <w:t>,</w:t>
      </w:r>
      <w:r w:rsidR="00AB4EF7">
        <w:rPr>
          <w:rFonts w:cs="Times New Roman"/>
          <w:lang w:val="en-US"/>
        </w:rPr>
        <w:t xml:space="preserve"> you have been an outstanding </w:t>
      </w:r>
      <w:r w:rsidR="00F22CF2">
        <w:rPr>
          <w:rFonts w:cs="Times New Roman"/>
          <w:lang w:val="en-US"/>
        </w:rPr>
        <w:t xml:space="preserve">group of friends and colleagues </w:t>
      </w:r>
      <w:r w:rsidR="00AB4EF7">
        <w:rPr>
          <w:rFonts w:cs="Times New Roman"/>
          <w:lang w:val="en-US"/>
        </w:rPr>
        <w:t xml:space="preserve">over the past three years. </w:t>
      </w:r>
      <w:r w:rsidR="00DE12DA">
        <w:rPr>
          <w:rFonts w:cs="Times New Roman"/>
          <w:lang w:val="en-US"/>
        </w:rPr>
        <w:t xml:space="preserve">Chris, even though I still can’t understand you, you’ve been a great mentor. </w:t>
      </w:r>
      <w:r w:rsidR="002330B5">
        <w:rPr>
          <w:rFonts w:cs="Times New Roman"/>
          <w:lang w:val="en-US"/>
        </w:rPr>
        <w:t xml:space="preserve">Todd and Tracy, your lab support always kept our wheels in motion. Tanner, thanks for keeping the study running strong. </w:t>
      </w:r>
    </w:p>
    <w:p w14:paraId="69B6F612" w14:textId="42B80CA0" w:rsidR="00137FBA" w:rsidRDefault="00DE12DA" w:rsidP="00CC2684">
      <w:pPr>
        <w:spacing w:line="480" w:lineRule="auto"/>
        <w:rPr>
          <w:rFonts w:cs="Times New Roman"/>
          <w:lang w:val="en-US"/>
        </w:rPr>
      </w:pPr>
      <w:r>
        <w:rPr>
          <w:rFonts w:cs="Times New Roman"/>
          <w:lang w:val="en-US"/>
        </w:rPr>
        <w:tab/>
        <w:t>Sara and Skelly</w:t>
      </w:r>
      <w:r w:rsidR="00B22BE8">
        <w:rPr>
          <w:rFonts w:cs="Times New Roman"/>
          <w:lang w:val="en-US"/>
        </w:rPr>
        <w:t xml:space="preserve">, </w:t>
      </w:r>
      <w:r>
        <w:rPr>
          <w:rFonts w:cs="Times New Roman"/>
          <w:lang w:val="en-US"/>
        </w:rPr>
        <w:t>I could</w:t>
      </w:r>
      <w:r w:rsidR="00F90FF6">
        <w:rPr>
          <w:rFonts w:cs="Times New Roman"/>
          <w:lang w:val="en-US"/>
        </w:rPr>
        <w:t>n’t be happier to</w:t>
      </w:r>
      <w:r>
        <w:rPr>
          <w:rFonts w:cs="Times New Roman"/>
          <w:lang w:val="en-US"/>
        </w:rPr>
        <w:t xml:space="preserve"> have </w:t>
      </w:r>
      <w:r w:rsidR="00F90FF6">
        <w:rPr>
          <w:rFonts w:cs="Times New Roman"/>
          <w:lang w:val="en-US"/>
        </w:rPr>
        <w:t>spent</w:t>
      </w:r>
      <w:r w:rsidR="002330B5">
        <w:rPr>
          <w:rFonts w:cs="Times New Roman"/>
          <w:lang w:val="en-US"/>
        </w:rPr>
        <w:t xml:space="preserve"> a</w:t>
      </w:r>
      <w:r w:rsidR="00F90FF6">
        <w:rPr>
          <w:rFonts w:cs="Times New Roman"/>
          <w:lang w:val="en-US"/>
        </w:rPr>
        <w:t>ll</w:t>
      </w:r>
      <w:r w:rsidR="002330B5">
        <w:rPr>
          <w:rFonts w:cs="Times New Roman"/>
          <w:lang w:val="en-US"/>
        </w:rPr>
        <w:t xml:space="preserve"> my time with</w:t>
      </w:r>
      <w:r w:rsidR="00F90FF6">
        <w:rPr>
          <w:rFonts w:cs="Times New Roman"/>
          <w:lang w:val="en-US"/>
        </w:rPr>
        <w:t xml:space="preserve"> you</w:t>
      </w:r>
      <w:r w:rsidR="003A1FDB">
        <w:rPr>
          <w:rFonts w:cs="Times New Roman"/>
          <w:lang w:val="en-US"/>
        </w:rPr>
        <w:t xml:space="preserve">, thanks for </w:t>
      </w:r>
      <w:r w:rsidR="002330B5">
        <w:rPr>
          <w:rFonts w:cs="Times New Roman"/>
          <w:lang w:val="en-US"/>
        </w:rPr>
        <w:t>th</w:t>
      </w:r>
      <w:r w:rsidR="00920D92">
        <w:rPr>
          <w:rFonts w:cs="Times New Roman"/>
          <w:lang w:val="en-US"/>
        </w:rPr>
        <w:t>e fun with friends.</w:t>
      </w:r>
      <w:r w:rsidR="003A1FDB">
        <w:rPr>
          <w:rFonts w:cs="Times New Roman"/>
          <w:lang w:val="en-US"/>
        </w:rPr>
        <w:t xml:space="preserve"> Thank you to all of </w:t>
      </w:r>
      <w:r w:rsidR="00477EA6">
        <w:rPr>
          <w:rFonts w:cs="Times New Roman"/>
          <w:lang w:val="en-US"/>
        </w:rPr>
        <w:t>the</w:t>
      </w:r>
      <w:r w:rsidR="003A1FDB">
        <w:rPr>
          <w:rFonts w:cs="Times New Roman"/>
          <w:lang w:val="en-US"/>
        </w:rPr>
        <w:t xml:space="preserve"> friends I have made along the way as well, it has been the best part of grad school.</w:t>
      </w:r>
    </w:p>
    <w:p w14:paraId="497FDAEF" w14:textId="079FDF8C" w:rsidR="002330B5" w:rsidRDefault="00CC2684" w:rsidP="00DE12DA">
      <w:pPr>
        <w:spacing w:line="480" w:lineRule="auto"/>
        <w:ind w:firstLine="720"/>
        <w:rPr>
          <w:rFonts w:cs="Times New Roman"/>
          <w:lang w:val="en-US"/>
        </w:rPr>
      </w:pPr>
      <w:r>
        <w:rPr>
          <w:rFonts w:cs="Times New Roman"/>
          <w:lang w:val="en-US"/>
        </w:rPr>
        <w:t>Kristen</w:t>
      </w:r>
      <w:r w:rsidR="00DE12DA">
        <w:rPr>
          <w:rFonts w:cs="Times New Roman"/>
          <w:lang w:val="en-US"/>
        </w:rPr>
        <w:t xml:space="preserve">, </w:t>
      </w:r>
      <w:r w:rsidR="0099120C">
        <w:rPr>
          <w:rFonts w:cs="Times New Roman"/>
          <w:lang w:val="en-US"/>
        </w:rPr>
        <w:t xml:space="preserve">you have been here every step of the way and always motivate me to be my best.  </w:t>
      </w:r>
      <w:r w:rsidR="00640465">
        <w:rPr>
          <w:rFonts w:cs="Times New Roman"/>
          <w:lang w:val="en-US"/>
        </w:rPr>
        <w:t>Thank you for y</w:t>
      </w:r>
      <w:r>
        <w:rPr>
          <w:rFonts w:cs="Times New Roman"/>
          <w:lang w:val="en-US"/>
        </w:rPr>
        <w:t xml:space="preserve">our </w:t>
      </w:r>
      <w:r w:rsidR="002330B5">
        <w:rPr>
          <w:rFonts w:cs="Times New Roman"/>
          <w:lang w:val="en-US"/>
        </w:rPr>
        <w:t xml:space="preserve">endless </w:t>
      </w:r>
      <w:r>
        <w:rPr>
          <w:rFonts w:cs="Times New Roman"/>
          <w:lang w:val="en-US"/>
        </w:rPr>
        <w:t>love</w:t>
      </w:r>
      <w:r w:rsidR="00640465">
        <w:rPr>
          <w:rFonts w:cs="Times New Roman"/>
          <w:lang w:val="en-US"/>
        </w:rPr>
        <w:t xml:space="preserve"> and </w:t>
      </w:r>
      <w:r w:rsidR="00F90FF6">
        <w:rPr>
          <w:rFonts w:cs="Times New Roman"/>
          <w:lang w:val="en-US"/>
        </w:rPr>
        <w:t>support;</w:t>
      </w:r>
      <w:r w:rsidR="00640465">
        <w:rPr>
          <w:rFonts w:cs="Times New Roman"/>
          <w:lang w:val="en-US"/>
        </w:rPr>
        <w:t xml:space="preserve"> y</w:t>
      </w:r>
      <w:r w:rsidR="00047B79">
        <w:rPr>
          <w:rFonts w:cs="Times New Roman"/>
          <w:lang w:val="en-US"/>
        </w:rPr>
        <w:t>ou will always</w:t>
      </w:r>
      <w:r w:rsidR="00E721E8">
        <w:rPr>
          <w:rFonts w:cs="Times New Roman"/>
          <w:lang w:val="en-US"/>
        </w:rPr>
        <w:t xml:space="preserve"> </w:t>
      </w:r>
      <w:r w:rsidR="00047B79">
        <w:rPr>
          <w:rFonts w:cs="Times New Roman"/>
          <w:lang w:val="en-US"/>
        </w:rPr>
        <w:t>be</w:t>
      </w:r>
      <w:r w:rsidR="00E721E8">
        <w:rPr>
          <w:rFonts w:cs="Times New Roman"/>
          <w:lang w:val="en-US"/>
        </w:rPr>
        <w:t xml:space="preserve"> my rock. </w:t>
      </w:r>
    </w:p>
    <w:p w14:paraId="199E5903" w14:textId="77777777" w:rsidR="00893E61" w:rsidRDefault="00CC2684" w:rsidP="00DE12DA">
      <w:pPr>
        <w:spacing w:line="480" w:lineRule="auto"/>
        <w:ind w:firstLine="720"/>
        <w:rPr>
          <w:rFonts w:cs="Times New Roman"/>
          <w:lang w:val="en-US"/>
        </w:rPr>
      </w:pPr>
      <w:r>
        <w:rPr>
          <w:rFonts w:cs="Times New Roman"/>
          <w:lang w:val="en-US"/>
        </w:rPr>
        <w:lastRenderedPageBreak/>
        <w:t>Mo</w:t>
      </w:r>
      <w:r w:rsidR="00DE12DA">
        <w:rPr>
          <w:rFonts w:cs="Times New Roman"/>
          <w:lang w:val="en-US"/>
        </w:rPr>
        <w:t xml:space="preserve">m, Dad, Brian, Katie and Gibson, I </w:t>
      </w:r>
      <w:r w:rsidR="00F90FF6">
        <w:rPr>
          <w:rFonts w:cs="Times New Roman"/>
          <w:lang w:val="en-US"/>
        </w:rPr>
        <w:t>wouldn’t</w:t>
      </w:r>
      <w:r w:rsidR="00DE12DA">
        <w:rPr>
          <w:rFonts w:cs="Times New Roman"/>
          <w:lang w:val="en-US"/>
        </w:rPr>
        <w:t xml:space="preserve"> be</w:t>
      </w:r>
      <w:r w:rsidR="00F90FF6">
        <w:rPr>
          <w:rFonts w:cs="Times New Roman"/>
          <w:lang w:val="en-US"/>
        </w:rPr>
        <w:t xml:space="preserve"> here without you. T</w:t>
      </w:r>
      <w:r w:rsidR="002330B5">
        <w:rPr>
          <w:rFonts w:cs="Times New Roman"/>
          <w:lang w:val="en-US"/>
        </w:rPr>
        <w:t>hank you for everything you have given me</w:t>
      </w:r>
      <w:r w:rsidR="00F90FF6">
        <w:rPr>
          <w:rFonts w:cs="Times New Roman"/>
          <w:lang w:val="en-US"/>
        </w:rPr>
        <w:t xml:space="preserve"> and allowed me to achieve.</w:t>
      </w:r>
    </w:p>
    <w:p w14:paraId="46B99128" w14:textId="77777777" w:rsidR="00893E61" w:rsidRDefault="00893E61" w:rsidP="00893E61">
      <w:pPr>
        <w:spacing w:line="480" w:lineRule="auto"/>
        <w:rPr>
          <w:rFonts w:cs="Times New Roman"/>
          <w:lang w:val="en-US"/>
        </w:rPr>
      </w:pPr>
    </w:p>
    <w:p w14:paraId="4C3E166F" w14:textId="544DC634" w:rsidR="00B6795F" w:rsidRPr="00E61A84" w:rsidRDefault="00452688" w:rsidP="00893E61">
      <w:pPr>
        <w:spacing w:line="480" w:lineRule="auto"/>
        <w:rPr>
          <w:rFonts w:cs="Times New Roman"/>
          <w:b/>
          <w:lang w:val="en-US"/>
        </w:rPr>
      </w:pPr>
      <w:r w:rsidRPr="00E61A84">
        <w:rPr>
          <w:rFonts w:cs="Times New Roman"/>
          <w:b/>
          <w:lang w:val="en-US"/>
        </w:rPr>
        <w:t>TABLE OF CONTENTS</w:t>
      </w:r>
    </w:p>
    <w:p w14:paraId="45BD9151" w14:textId="77777777" w:rsidR="00452688" w:rsidRDefault="00452688" w:rsidP="00452688">
      <w:pPr>
        <w:widowControl w:val="0"/>
        <w:autoSpaceDE w:val="0"/>
        <w:autoSpaceDN w:val="0"/>
        <w:adjustRightInd w:val="0"/>
        <w:rPr>
          <w:rFonts w:cs="Times New Roman"/>
          <w:lang w:val="en-US"/>
        </w:rPr>
      </w:pPr>
    </w:p>
    <w:p w14:paraId="5993F205" w14:textId="3F5EF992" w:rsidR="00452688" w:rsidRPr="00A80D4F" w:rsidRDefault="00452688" w:rsidP="00FA550E">
      <w:pPr>
        <w:widowControl w:val="0"/>
        <w:autoSpaceDE w:val="0"/>
        <w:autoSpaceDN w:val="0"/>
        <w:adjustRightInd w:val="0"/>
        <w:rPr>
          <w:rFonts w:cs="Times New Roman"/>
          <w:lang w:val="en-US"/>
        </w:rPr>
      </w:pPr>
      <w:r w:rsidRPr="00A80D4F">
        <w:rPr>
          <w:rFonts w:cs="Times New Roman"/>
          <w:lang w:val="en-US"/>
        </w:rPr>
        <w:t>Title Page ..........</w:t>
      </w:r>
      <w:r w:rsidR="00577A35" w:rsidRPr="00A80D4F">
        <w:rPr>
          <w:rFonts w:cs="Times New Roman"/>
          <w:lang w:val="en-US"/>
        </w:rPr>
        <w:t>.................</w:t>
      </w:r>
      <w:r w:rsidRPr="00A80D4F">
        <w:rPr>
          <w:rFonts w:cs="Times New Roman"/>
          <w:lang w:val="en-US"/>
        </w:rPr>
        <w:t>......................................................................</w:t>
      </w:r>
      <w:r w:rsidR="00FA550E" w:rsidRPr="00A80D4F">
        <w:rPr>
          <w:rFonts w:cs="Times New Roman"/>
          <w:lang w:val="en-US"/>
        </w:rPr>
        <w:t>............</w:t>
      </w:r>
      <w:r w:rsidRPr="00A80D4F">
        <w:rPr>
          <w:rFonts w:cs="Times New Roman"/>
          <w:lang w:val="en-US"/>
        </w:rPr>
        <w:t>... i</w:t>
      </w:r>
    </w:p>
    <w:p w14:paraId="1BB89F9B" w14:textId="7F6C7360" w:rsidR="00452688" w:rsidRPr="00A80D4F" w:rsidRDefault="00452688" w:rsidP="00FA550E">
      <w:pPr>
        <w:widowControl w:val="0"/>
        <w:autoSpaceDE w:val="0"/>
        <w:autoSpaceDN w:val="0"/>
        <w:adjustRightInd w:val="0"/>
        <w:rPr>
          <w:rFonts w:cs="Times New Roman"/>
          <w:lang w:val="en-US"/>
        </w:rPr>
      </w:pPr>
      <w:r w:rsidRPr="00A80D4F">
        <w:rPr>
          <w:rFonts w:cs="Times New Roman"/>
          <w:lang w:val="en-US"/>
        </w:rPr>
        <w:t>Descriptive Note ...</w:t>
      </w:r>
      <w:r w:rsidR="00577A35" w:rsidRPr="00A80D4F">
        <w:rPr>
          <w:rFonts w:cs="Times New Roman"/>
          <w:lang w:val="en-US"/>
        </w:rPr>
        <w:t>........................................</w:t>
      </w:r>
      <w:r w:rsidRPr="00A80D4F">
        <w:rPr>
          <w:rFonts w:cs="Times New Roman"/>
          <w:lang w:val="en-US"/>
        </w:rPr>
        <w:t>...........................................</w:t>
      </w:r>
      <w:r w:rsidR="00FA550E" w:rsidRPr="00A80D4F">
        <w:rPr>
          <w:rFonts w:cs="Times New Roman"/>
          <w:lang w:val="en-US"/>
        </w:rPr>
        <w:t>............</w:t>
      </w:r>
      <w:r w:rsidRPr="00A80D4F">
        <w:rPr>
          <w:rFonts w:cs="Times New Roman"/>
          <w:lang w:val="en-US"/>
        </w:rPr>
        <w:t>.. ii</w:t>
      </w:r>
    </w:p>
    <w:p w14:paraId="04C32ED2" w14:textId="7B969E85" w:rsidR="00A80D4F" w:rsidRPr="00A80D4F" w:rsidRDefault="00A80D4F" w:rsidP="00FA550E">
      <w:pPr>
        <w:widowControl w:val="0"/>
        <w:autoSpaceDE w:val="0"/>
        <w:autoSpaceDN w:val="0"/>
        <w:adjustRightInd w:val="0"/>
        <w:rPr>
          <w:rFonts w:cs="Times New Roman"/>
          <w:lang w:val="en-US"/>
        </w:rPr>
      </w:pPr>
      <w:r w:rsidRPr="00A80D4F">
        <w:rPr>
          <w:rFonts w:cs="Times New Roman"/>
          <w:lang w:val="en-US"/>
        </w:rPr>
        <w:t>Lay Abstract………………………………………………………………………iii</w:t>
      </w:r>
    </w:p>
    <w:p w14:paraId="14CFC578" w14:textId="764ACFF5" w:rsidR="00452688" w:rsidRPr="00A80D4F" w:rsidRDefault="00452688" w:rsidP="00FA550E">
      <w:pPr>
        <w:widowControl w:val="0"/>
        <w:autoSpaceDE w:val="0"/>
        <w:autoSpaceDN w:val="0"/>
        <w:adjustRightInd w:val="0"/>
        <w:rPr>
          <w:rFonts w:cs="Times New Roman"/>
          <w:lang w:val="en-US"/>
        </w:rPr>
      </w:pPr>
      <w:r w:rsidRPr="00A80D4F">
        <w:rPr>
          <w:rFonts w:cs="Times New Roman"/>
          <w:lang w:val="en-US"/>
        </w:rPr>
        <w:t>Abstract .....................................................................</w:t>
      </w:r>
      <w:r w:rsidR="00577A35" w:rsidRPr="00A80D4F">
        <w:rPr>
          <w:rFonts w:cs="Times New Roman"/>
          <w:lang w:val="en-US"/>
        </w:rPr>
        <w:t>........</w:t>
      </w:r>
      <w:r w:rsidRPr="00A80D4F">
        <w:rPr>
          <w:rFonts w:cs="Times New Roman"/>
          <w:lang w:val="en-US"/>
        </w:rPr>
        <w:t>.......................</w:t>
      </w:r>
      <w:r w:rsidR="00FA550E" w:rsidRPr="00A80D4F">
        <w:rPr>
          <w:rFonts w:cs="Times New Roman"/>
          <w:lang w:val="en-US"/>
        </w:rPr>
        <w:t>............</w:t>
      </w:r>
      <w:r w:rsidR="00A80D4F" w:rsidRPr="00A80D4F">
        <w:rPr>
          <w:rFonts w:cs="Times New Roman"/>
          <w:lang w:val="en-US"/>
        </w:rPr>
        <w:t xml:space="preserve">. </w:t>
      </w:r>
      <w:proofErr w:type="gramStart"/>
      <w:r w:rsidR="00A80D4F" w:rsidRPr="00A80D4F">
        <w:rPr>
          <w:rFonts w:cs="Times New Roman"/>
          <w:lang w:val="en-US"/>
        </w:rPr>
        <w:t>iv</w:t>
      </w:r>
      <w:proofErr w:type="gramEnd"/>
    </w:p>
    <w:p w14:paraId="01D73D00" w14:textId="1D4B7C47" w:rsidR="00452688" w:rsidRPr="00A80D4F" w:rsidRDefault="00452688" w:rsidP="00FA550E">
      <w:pPr>
        <w:widowControl w:val="0"/>
        <w:autoSpaceDE w:val="0"/>
        <w:autoSpaceDN w:val="0"/>
        <w:adjustRightInd w:val="0"/>
        <w:rPr>
          <w:rFonts w:cs="Times New Roman"/>
          <w:lang w:val="en-US"/>
        </w:rPr>
      </w:pPr>
      <w:r w:rsidRPr="00A80D4F">
        <w:rPr>
          <w:rFonts w:cs="Times New Roman"/>
          <w:lang w:val="en-US"/>
        </w:rPr>
        <w:t>Acknowledgements ......................................................</w:t>
      </w:r>
      <w:r w:rsidR="00577A35" w:rsidRPr="00A80D4F">
        <w:rPr>
          <w:rFonts w:cs="Times New Roman"/>
          <w:lang w:val="en-US"/>
        </w:rPr>
        <w:t>..</w:t>
      </w:r>
      <w:r w:rsidRPr="00A80D4F">
        <w:rPr>
          <w:rFonts w:cs="Times New Roman"/>
          <w:lang w:val="en-US"/>
        </w:rPr>
        <w:t>...........................</w:t>
      </w:r>
      <w:r w:rsidR="00FA550E" w:rsidRPr="00A80D4F">
        <w:rPr>
          <w:rFonts w:cs="Times New Roman"/>
          <w:lang w:val="en-US"/>
        </w:rPr>
        <w:t>............</w:t>
      </w:r>
      <w:r w:rsidR="00A80D4F">
        <w:rPr>
          <w:rFonts w:cs="Times New Roman"/>
          <w:lang w:val="en-US"/>
        </w:rPr>
        <w:t>. v</w:t>
      </w:r>
    </w:p>
    <w:p w14:paraId="394BE984" w14:textId="187C7149" w:rsidR="00452688" w:rsidRPr="00A80D4F" w:rsidRDefault="00452688" w:rsidP="00FA550E">
      <w:pPr>
        <w:widowControl w:val="0"/>
        <w:autoSpaceDE w:val="0"/>
        <w:autoSpaceDN w:val="0"/>
        <w:adjustRightInd w:val="0"/>
        <w:rPr>
          <w:rFonts w:cs="Times New Roman"/>
          <w:lang w:val="en-US"/>
        </w:rPr>
      </w:pPr>
      <w:r w:rsidRPr="00A80D4F">
        <w:rPr>
          <w:rFonts w:cs="Times New Roman"/>
          <w:lang w:val="en-US"/>
        </w:rPr>
        <w:t>Table of Contents ........................................</w:t>
      </w:r>
      <w:r w:rsidR="00577A35" w:rsidRPr="00A80D4F">
        <w:rPr>
          <w:rFonts w:cs="Times New Roman"/>
          <w:lang w:val="en-US"/>
        </w:rPr>
        <w:t>........................................</w:t>
      </w:r>
      <w:r w:rsidRPr="00A80D4F">
        <w:rPr>
          <w:rFonts w:cs="Times New Roman"/>
          <w:lang w:val="en-US"/>
        </w:rPr>
        <w:t>...</w:t>
      </w:r>
      <w:r w:rsidR="00FA550E" w:rsidRPr="00A80D4F">
        <w:rPr>
          <w:rFonts w:cs="Times New Roman"/>
          <w:lang w:val="en-US"/>
        </w:rPr>
        <w:t>.............</w:t>
      </w:r>
      <w:r w:rsidR="00A80D4F">
        <w:rPr>
          <w:rFonts w:cs="Times New Roman"/>
          <w:lang w:val="en-US"/>
        </w:rPr>
        <w:t>.</w:t>
      </w:r>
      <w:r w:rsidRPr="00A80D4F">
        <w:rPr>
          <w:rFonts w:cs="Times New Roman"/>
          <w:lang w:val="en-US"/>
        </w:rPr>
        <w:t xml:space="preserve">. </w:t>
      </w:r>
      <w:proofErr w:type="gramStart"/>
      <w:r w:rsidR="00FA550E" w:rsidRPr="00A80D4F">
        <w:rPr>
          <w:rFonts w:cs="Times New Roman"/>
          <w:lang w:val="en-US"/>
        </w:rPr>
        <w:t>v</w:t>
      </w:r>
      <w:r w:rsidR="00A80D4F">
        <w:rPr>
          <w:rFonts w:cs="Times New Roman"/>
          <w:lang w:val="en-US"/>
        </w:rPr>
        <w:t>i</w:t>
      </w:r>
      <w:proofErr w:type="gramEnd"/>
    </w:p>
    <w:p w14:paraId="304A2F7E" w14:textId="5978B26D" w:rsidR="00452688" w:rsidRPr="00A80D4F" w:rsidRDefault="00B16891" w:rsidP="00FA550E">
      <w:pPr>
        <w:widowControl w:val="0"/>
        <w:autoSpaceDE w:val="0"/>
        <w:autoSpaceDN w:val="0"/>
        <w:adjustRightInd w:val="0"/>
        <w:rPr>
          <w:rFonts w:cs="Times New Roman"/>
          <w:lang w:val="en-US"/>
        </w:rPr>
      </w:pPr>
      <w:r w:rsidRPr="00A80D4F">
        <w:rPr>
          <w:rFonts w:cs="Times New Roman"/>
          <w:lang w:val="en-US"/>
        </w:rPr>
        <w:t>List of Figures</w:t>
      </w:r>
      <w:r w:rsidR="00047B79">
        <w:rPr>
          <w:rFonts w:cs="Times New Roman"/>
          <w:lang w:val="en-US"/>
        </w:rPr>
        <w:t xml:space="preserve"> and Tables.</w:t>
      </w:r>
      <w:r w:rsidR="00452688" w:rsidRPr="00A80D4F">
        <w:rPr>
          <w:rFonts w:cs="Times New Roman"/>
          <w:lang w:val="en-US"/>
        </w:rPr>
        <w:t>............................................................</w:t>
      </w:r>
      <w:r w:rsidR="00577A35" w:rsidRPr="00A80D4F">
        <w:rPr>
          <w:rFonts w:cs="Times New Roman"/>
          <w:lang w:val="en-US"/>
        </w:rPr>
        <w:t>....................</w:t>
      </w:r>
      <w:r w:rsidR="00A80D4F">
        <w:rPr>
          <w:rFonts w:cs="Times New Roman"/>
          <w:lang w:val="en-US"/>
        </w:rPr>
        <w:t>..</w:t>
      </w:r>
      <w:r w:rsidR="00452688" w:rsidRPr="00A80D4F">
        <w:rPr>
          <w:rFonts w:cs="Times New Roman"/>
          <w:lang w:val="en-US"/>
        </w:rPr>
        <w:t xml:space="preserve">. </w:t>
      </w:r>
      <w:r w:rsidR="00FA550E" w:rsidRPr="00A80D4F">
        <w:rPr>
          <w:rFonts w:cs="Times New Roman"/>
          <w:lang w:val="en-US"/>
        </w:rPr>
        <w:t>vi</w:t>
      </w:r>
      <w:r w:rsidR="00A80D4F">
        <w:rPr>
          <w:rFonts w:cs="Times New Roman"/>
          <w:lang w:val="en-US"/>
        </w:rPr>
        <w:t>i</w:t>
      </w:r>
    </w:p>
    <w:p w14:paraId="290CCAA5" w14:textId="3A817EE8" w:rsidR="00452688" w:rsidRPr="00A80D4F" w:rsidRDefault="00452688" w:rsidP="00FA550E">
      <w:pPr>
        <w:widowControl w:val="0"/>
        <w:autoSpaceDE w:val="0"/>
        <w:autoSpaceDN w:val="0"/>
        <w:adjustRightInd w:val="0"/>
        <w:rPr>
          <w:rFonts w:cs="Times New Roman"/>
          <w:lang w:val="en-US"/>
        </w:rPr>
      </w:pPr>
      <w:r w:rsidRPr="00A80D4F">
        <w:rPr>
          <w:rFonts w:cs="Times New Roman"/>
          <w:lang w:val="en-US"/>
        </w:rPr>
        <w:t>List of Abbreviations .........................</w:t>
      </w:r>
      <w:r w:rsidR="00577A35" w:rsidRPr="00A80D4F">
        <w:rPr>
          <w:rFonts w:cs="Times New Roman"/>
          <w:lang w:val="en-US"/>
        </w:rPr>
        <w:t>........</w:t>
      </w:r>
      <w:r w:rsidRPr="00A80D4F">
        <w:rPr>
          <w:rFonts w:cs="Times New Roman"/>
          <w:lang w:val="en-US"/>
        </w:rPr>
        <w:t>.............................................</w:t>
      </w:r>
      <w:r w:rsidR="00FA550E" w:rsidRPr="00A80D4F">
        <w:rPr>
          <w:rFonts w:cs="Times New Roman"/>
          <w:lang w:val="en-US"/>
        </w:rPr>
        <w:t>...........</w:t>
      </w:r>
      <w:r w:rsidRPr="00A80D4F">
        <w:rPr>
          <w:rFonts w:cs="Times New Roman"/>
          <w:lang w:val="en-US"/>
        </w:rPr>
        <w:t>.</w:t>
      </w:r>
      <w:r w:rsidR="00893E61">
        <w:rPr>
          <w:rFonts w:cs="Times New Roman"/>
          <w:lang w:val="en-US"/>
        </w:rPr>
        <w:t xml:space="preserve">.. </w:t>
      </w:r>
      <w:proofErr w:type="gramStart"/>
      <w:r w:rsidR="00893E61">
        <w:rPr>
          <w:rFonts w:cs="Times New Roman"/>
          <w:lang w:val="en-US"/>
        </w:rPr>
        <w:t>ix</w:t>
      </w:r>
      <w:proofErr w:type="gramEnd"/>
    </w:p>
    <w:p w14:paraId="71122C47" w14:textId="2304BCA8" w:rsidR="00652245" w:rsidRPr="00A80D4F" w:rsidRDefault="00A80D4F" w:rsidP="00452688">
      <w:pPr>
        <w:rPr>
          <w:rFonts w:cs="Times New Roman"/>
          <w:lang w:val="en-US"/>
        </w:rPr>
      </w:pPr>
      <w:r w:rsidRPr="00A80D4F">
        <w:rPr>
          <w:rFonts w:cs="Times New Roman"/>
          <w:lang w:val="en-US"/>
        </w:rPr>
        <w:t xml:space="preserve">Declaration of Academic </w:t>
      </w:r>
      <w:proofErr w:type="gramStart"/>
      <w:r w:rsidRPr="00A80D4F">
        <w:rPr>
          <w:rFonts w:cs="Times New Roman"/>
          <w:lang w:val="en-US"/>
        </w:rPr>
        <w:t>Achievement</w:t>
      </w:r>
      <w:r w:rsidR="00512A2B">
        <w:rPr>
          <w:rFonts w:cs="Times New Roman"/>
          <w:lang w:val="en-US"/>
        </w:rPr>
        <w:t xml:space="preserve"> ………………………………………....</w:t>
      </w:r>
      <w:proofErr w:type="gramEnd"/>
      <w:r w:rsidR="00512A2B">
        <w:rPr>
          <w:rFonts w:cs="Times New Roman"/>
          <w:lang w:val="en-US"/>
        </w:rPr>
        <w:t xml:space="preserve"> </w:t>
      </w:r>
      <w:proofErr w:type="gramStart"/>
      <w:r w:rsidR="00512A2B">
        <w:rPr>
          <w:rFonts w:cs="Times New Roman"/>
          <w:lang w:val="en-US"/>
        </w:rPr>
        <w:t>ix</w:t>
      </w:r>
      <w:proofErr w:type="gramEnd"/>
    </w:p>
    <w:p w14:paraId="4CAA7E5E" w14:textId="77777777" w:rsidR="00A80D4F" w:rsidRDefault="00A80D4F" w:rsidP="00452688">
      <w:pPr>
        <w:rPr>
          <w:rFonts w:cs="Times New Roman"/>
          <w:lang w:val="en-US"/>
        </w:rPr>
      </w:pPr>
    </w:p>
    <w:sdt>
      <w:sdtPr>
        <w:rPr>
          <w:rFonts w:eastAsiaTheme="minorEastAsia" w:cs="Times New Roman"/>
          <w:b w:val="0"/>
          <w:bCs w:val="0"/>
          <w:color w:val="auto"/>
          <w:sz w:val="24"/>
          <w:szCs w:val="24"/>
          <w:lang w:val="en-GB" w:eastAsia="ja-JP"/>
        </w:rPr>
        <w:id w:val="999774012"/>
        <w:docPartObj>
          <w:docPartGallery w:val="Table of Contents"/>
          <w:docPartUnique/>
        </w:docPartObj>
      </w:sdtPr>
      <w:sdtEndPr>
        <w:rPr>
          <w:rFonts w:cstheme="minorBidi"/>
          <w:noProof/>
        </w:rPr>
      </w:sdtEndPr>
      <w:sdtContent>
        <w:p w14:paraId="0745E780" w14:textId="71C8AD4E" w:rsidR="00075AD3" w:rsidRPr="00E94356" w:rsidRDefault="00075AD3">
          <w:pPr>
            <w:pStyle w:val="TOCHeading"/>
            <w:rPr>
              <w:rFonts w:cs="Times New Roman"/>
              <w:b w:val="0"/>
              <w:color w:val="auto"/>
              <w:sz w:val="24"/>
              <w:szCs w:val="24"/>
            </w:rPr>
          </w:pPr>
        </w:p>
        <w:p w14:paraId="7CEDB5F2" w14:textId="77777777" w:rsidR="00E94356" w:rsidRPr="00E94356" w:rsidRDefault="00075AD3">
          <w:pPr>
            <w:pStyle w:val="TOC1"/>
            <w:tabs>
              <w:tab w:val="right" w:leader="dot" w:pos="7920"/>
            </w:tabs>
            <w:rPr>
              <w:rFonts w:ascii="Times New Roman" w:hAnsi="Times New Roman" w:cs="Times New Roman"/>
              <w:b w:val="0"/>
              <w:noProof/>
              <w:lang w:val="en-CA"/>
            </w:rPr>
          </w:pPr>
          <w:r w:rsidRPr="00E94356">
            <w:rPr>
              <w:rFonts w:ascii="Times New Roman" w:hAnsi="Times New Roman" w:cs="Times New Roman"/>
              <w:b w:val="0"/>
            </w:rPr>
            <w:fldChar w:fldCharType="begin"/>
          </w:r>
          <w:r w:rsidRPr="00E94356">
            <w:rPr>
              <w:rFonts w:ascii="Times New Roman" w:hAnsi="Times New Roman" w:cs="Times New Roman"/>
              <w:b w:val="0"/>
            </w:rPr>
            <w:instrText xml:space="preserve"> TOC \o "1-3" \h \z \u </w:instrText>
          </w:r>
          <w:r w:rsidRPr="00E94356">
            <w:rPr>
              <w:rFonts w:ascii="Times New Roman" w:hAnsi="Times New Roman" w:cs="Times New Roman"/>
              <w:b w:val="0"/>
            </w:rPr>
            <w:fldChar w:fldCharType="separate"/>
          </w:r>
          <w:r w:rsidR="00E94356" w:rsidRPr="00E94356">
            <w:rPr>
              <w:rFonts w:ascii="Times New Roman" w:hAnsi="Times New Roman" w:cs="Times New Roman"/>
              <w:b w:val="0"/>
              <w:noProof/>
            </w:rPr>
            <w:t>INTRODUCTION</w:t>
          </w:r>
          <w:r w:rsidR="00E94356" w:rsidRPr="00E94356">
            <w:rPr>
              <w:rFonts w:ascii="Times New Roman" w:hAnsi="Times New Roman" w:cs="Times New Roman"/>
              <w:b w:val="0"/>
              <w:noProof/>
            </w:rPr>
            <w:tab/>
          </w:r>
          <w:r w:rsidR="00E94356" w:rsidRPr="00E94356">
            <w:rPr>
              <w:rFonts w:ascii="Times New Roman" w:hAnsi="Times New Roman" w:cs="Times New Roman"/>
              <w:b w:val="0"/>
              <w:noProof/>
            </w:rPr>
            <w:fldChar w:fldCharType="begin"/>
          </w:r>
          <w:r w:rsidR="00E94356" w:rsidRPr="00E94356">
            <w:rPr>
              <w:rFonts w:ascii="Times New Roman" w:hAnsi="Times New Roman" w:cs="Times New Roman"/>
              <w:b w:val="0"/>
              <w:noProof/>
            </w:rPr>
            <w:instrText xml:space="preserve"> PAGEREF _Toc296932756 \h </w:instrText>
          </w:r>
          <w:r w:rsidR="00E94356" w:rsidRPr="00E94356">
            <w:rPr>
              <w:rFonts w:ascii="Times New Roman" w:hAnsi="Times New Roman" w:cs="Times New Roman"/>
              <w:b w:val="0"/>
              <w:noProof/>
            </w:rPr>
          </w:r>
          <w:r w:rsidR="00E94356" w:rsidRPr="00E94356">
            <w:rPr>
              <w:rFonts w:ascii="Times New Roman" w:hAnsi="Times New Roman" w:cs="Times New Roman"/>
              <w:b w:val="0"/>
              <w:noProof/>
            </w:rPr>
            <w:fldChar w:fldCharType="separate"/>
          </w:r>
          <w:r w:rsidR="00973031">
            <w:rPr>
              <w:rFonts w:ascii="Times New Roman" w:hAnsi="Times New Roman" w:cs="Times New Roman"/>
              <w:b w:val="0"/>
              <w:noProof/>
            </w:rPr>
            <w:t>1</w:t>
          </w:r>
          <w:r w:rsidR="00E94356" w:rsidRPr="00E94356">
            <w:rPr>
              <w:rFonts w:ascii="Times New Roman" w:hAnsi="Times New Roman" w:cs="Times New Roman"/>
              <w:b w:val="0"/>
              <w:noProof/>
            </w:rPr>
            <w:fldChar w:fldCharType="end"/>
          </w:r>
        </w:p>
        <w:p w14:paraId="4669FC93" w14:textId="77777777" w:rsidR="00E94356" w:rsidRPr="00E94356" w:rsidRDefault="00E94356">
          <w:pPr>
            <w:pStyle w:val="TOC2"/>
            <w:tabs>
              <w:tab w:val="left" w:pos="608"/>
              <w:tab w:val="right" w:leader="dot" w:pos="7920"/>
            </w:tabs>
            <w:rPr>
              <w:rFonts w:ascii="Times New Roman" w:hAnsi="Times New Roman" w:cs="Times New Roman"/>
              <w:b w:val="0"/>
              <w:noProof/>
              <w:sz w:val="24"/>
              <w:szCs w:val="24"/>
              <w:lang w:val="en-CA"/>
            </w:rPr>
          </w:pPr>
          <w:r w:rsidRPr="00E94356">
            <w:rPr>
              <w:rFonts w:ascii="Times New Roman" w:hAnsi="Times New Roman" w:cs="Times New Roman"/>
              <w:b w:val="0"/>
              <w:noProof/>
              <w:sz w:val="24"/>
              <w:szCs w:val="24"/>
            </w:rPr>
            <w:t>I.</w:t>
          </w:r>
          <w:r w:rsidRPr="00E94356">
            <w:rPr>
              <w:rFonts w:ascii="Times New Roman" w:hAnsi="Times New Roman" w:cs="Times New Roman"/>
              <w:b w:val="0"/>
              <w:noProof/>
              <w:sz w:val="24"/>
              <w:szCs w:val="24"/>
              <w:lang w:val="en-CA"/>
            </w:rPr>
            <w:tab/>
          </w:r>
          <w:r w:rsidRPr="00E94356">
            <w:rPr>
              <w:rFonts w:ascii="Times New Roman" w:hAnsi="Times New Roman" w:cs="Times New Roman"/>
              <w:b w:val="0"/>
              <w:noProof/>
              <w:sz w:val="24"/>
              <w:szCs w:val="24"/>
            </w:rPr>
            <w:t>AGING AND CO-MORBID DISEASES</w:t>
          </w:r>
          <w:r w:rsidRPr="00E94356">
            <w:rPr>
              <w:rFonts w:ascii="Times New Roman" w:hAnsi="Times New Roman" w:cs="Times New Roman"/>
              <w:b w:val="0"/>
              <w:noProof/>
              <w:sz w:val="24"/>
              <w:szCs w:val="24"/>
            </w:rPr>
            <w:tab/>
          </w:r>
          <w:r w:rsidRPr="00E94356">
            <w:rPr>
              <w:rFonts w:ascii="Times New Roman" w:hAnsi="Times New Roman" w:cs="Times New Roman"/>
              <w:b w:val="0"/>
              <w:noProof/>
              <w:sz w:val="24"/>
              <w:szCs w:val="24"/>
            </w:rPr>
            <w:fldChar w:fldCharType="begin"/>
          </w:r>
          <w:r w:rsidRPr="00E94356">
            <w:rPr>
              <w:rFonts w:ascii="Times New Roman" w:hAnsi="Times New Roman" w:cs="Times New Roman"/>
              <w:b w:val="0"/>
              <w:noProof/>
              <w:sz w:val="24"/>
              <w:szCs w:val="24"/>
            </w:rPr>
            <w:instrText xml:space="preserve"> PAGEREF _Toc296932757 \h </w:instrText>
          </w:r>
          <w:r w:rsidRPr="00E94356">
            <w:rPr>
              <w:rFonts w:ascii="Times New Roman" w:hAnsi="Times New Roman" w:cs="Times New Roman"/>
              <w:b w:val="0"/>
              <w:noProof/>
              <w:sz w:val="24"/>
              <w:szCs w:val="24"/>
            </w:rPr>
          </w:r>
          <w:r w:rsidRPr="00E94356">
            <w:rPr>
              <w:rFonts w:ascii="Times New Roman" w:hAnsi="Times New Roman" w:cs="Times New Roman"/>
              <w:b w:val="0"/>
              <w:noProof/>
              <w:sz w:val="24"/>
              <w:szCs w:val="24"/>
            </w:rPr>
            <w:fldChar w:fldCharType="separate"/>
          </w:r>
          <w:r w:rsidR="00973031">
            <w:rPr>
              <w:rFonts w:ascii="Times New Roman" w:hAnsi="Times New Roman" w:cs="Times New Roman"/>
              <w:b w:val="0"/>
              <w:noProof/>
              <w:sz w:val="24"/>
              <w:szCs w:val="24"/>
            </w:rPr>
            <w:t>1</w:t>
          </w:r>
          <w:r w:rsidRPr="00E94356">
            <w:rPr>
              <w:rFonts w:ascii="Times New Roman" w:hAnsi="Times New Roman" w:cs="Times New Roman"/>
              <w:b w:val="0"/>
              <w:noProof/>
              <w:sz w:val="24"/>
              <w:szCs w:val="24"/>
            </w:rPr>
            <w:fldChar w:fldCharType="end"/>
          </w:r>
        </w:p>
        <w:p w14:paraId="6B0B7063" w14:textId="77777777" w:rsidR="00E94356" w:rsidRPr="00E94356" w:rsidRDefault="00E94356" w:rsidP="00E94356">
          <w:pPr>
            <w:pStyle w:val="TOC3"/>
            <w:tabs>
              <w:tab w:val="left" w:pos="851"/>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i.</w:t>
          </w:r>
          <w:r w:rsidRPr="00E94356">
            <w:rPr>
              <w:rFonts w:ascii="Times New Roman" w:hAnsi="Times New Roman" w:cs="Times New Roman"/>
              <w:noProof/>
              <w:sz w:val="24"/>
              <w:szCs w:val="24"/>
              <w:lang w:val="en-CA"/>
            </w:rPr>
            <w:tab/>
          </w:r>
          <w:r w:rsidRPr="00E94356">
            <w:rPr>
              <w:rFonts w:ascii="Times New Roman" w:hAnsi="Times New Roman" w:cs="Times New Roman"/>
              <w:noProof/>
              <w:sz w:val="24"/>
              <w:szCs w:val="24"/>
            </w:rPr>
            <w:t>Sarcopenia</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_Toc296932758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1</w:t>
          </w:r>
          <w:r w:rsidRPr="00E94356">
            <w:rPr>
              <w:rFonts w:ascii="Times New Roman" w:hAnsi="Times New Roman" w:cs="Times New Roman"/>
              <w:noProof/>
              <w:sz w:val="24"/>
              <w:szCs w:val="24"/>
            </w:rPr>
            <w:fldChar w:fldCharType="end"/>
          </w:r>
        </w:p>
        <w:p w14:paraId="30E36FC4" w14:textId="77777777" w:rsidR="00E94356" w:rsidRPr="00E94356" w:rsidRDefault="00E94356" w:rsidP="00E94356">
          <w:pPr>
            <w:pStyle w:val="TOC3"/>
            <w:tabs>
              <w:tab w:val="left" w:pos="851"/>
              <w:tab w:val="left" w:pos="887"/>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ii.</w:t>
          </w:r>
          <w:r w:rsidRPr="00E94356">
            <w:rPr>
              <w:rFonts w:ascii="Times New Roman" w:hAnsi="Times New Roman" w:cs="Times New Roman"/>
              <w:noProof/>
              <w:sz w:val="24"/>
              <w:szCs w:val="24"/>
              <w:lang w:val="en-CA"/>
            </w:rPr>
            <w:tab/>
          </w:r>
          <w:r w:rsidRPr="00E94356">
            <w:rPr>
              <w:rFonts w:ascii="Times New Roman" w:hAnsi="Times New Roman" w:cs="Times New Roman"/>
              <w:noProof/>
              <w:sz w:val="24"/>
              <w:szCs w:val="24"/>
            </w:rPr>
            <w:t>Functional impairments</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_Toc296932759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2</w:t>
          </w:r>
          <w:r w:rsidRPr="00E94356">
            <w:rPr>
              <w:rFonts w:ascii="Times New Roman" w:hAnsi="Times New Roman" w:cs="Times New Roman"/>
              <w:noProof/>
              <w:sz w:val="24"/>
              <w:szCs w:val="24"/>
            </w:rPr>
            <w:fldChar w:fldCharType="end"/>
          </w:r>
        </w:p>
        <w:p w14:paraId="204377F7" w14:textId="77777777" w:rsidR="00E94356" w:rsidRPr="00E94356" w:rsidRDefault="00E94356" w:rsidP="00E94356">
          <w:pPr>
            <w:pStyle w:val="TOC3"/>
            <w:tabs>
              <w:tab w:val="left" w:pos="851"/>
              <w:tab w:val="left" w:pos="948"/>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iii.</w:t>
          </w:r>
          <w:r w:rsidRPr="00E94356">
            <w:rPr>
              <w:rFonts w:ascii="Times New Roman" w:hAnsi="Times New Roman" w:cs="Times New Roman"/>
              <w:noProof/>
              <w:sz w:val="24"/>
              <w:szCs w:val="24"/>
              <w:lang w:val="en-CA"/>
            </w:rPr>
            <w:tab/>
          </w:r>
          <w:r w:rsidRPr="00E94356">
            <w:rPr>
              <w:rFonts w:ascii="Times New Roman" w:hAnsi="Times New Roman" w:cs="Times New Roman"/>
              <w:noProof/>
              <w:sz w:val="24"/>
              <w:szCs w:val="24"/>
            </w:rPr>
            <w:t>Metabolic impairments</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_Toc296932760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4</w:t>
          </w:r>
          <w:r w:rsidRPr="00E94356">
            <w:rPr>
              <w:rFonts w:ascii="Times New Roman" w:hAnsi="Times New Roman" w:cs="Times New Roman"/>
              <w:noProof/>
              <w:sz w:val="24"/>
              <w:szCs w:val="24"/>
            </w:rPr>
            <w:fldChar w:fldCharType="end"/>
          </w:r>
        </w:p>
        <w:p w14:paraId="575DF653" w14:textId="77777777" w:rsidR="00E94356" w:rsidRPr="00E94356" w:rsidRDefault="00E94356" w:rsidP="00E94356">
          <w:pPr>
            <w:pStyle w:val="TOC2"/>
            <w:tabs>
              <w:tab w:val="left" w:pos="709"/>
              <w:tab w:val="right" w:leader="dot" w:pos="7920"/>
            </w:tabs>
            <w:rPr>
              <w:rFonts w:ascii="Times New Roman" w:hAnsi="Times New Roman" w:cs="Times New Roman"/>
              <w:b w:val="0"/>
              <w:noProof/>
              <w:sz w:val="24"/>
              <w:szCs w:val="24"/>
              <w:lang w:val="en-CA"/>
            </w:rPr>
          </w:pPr>
          <w:r w:rsidRPr="00E94356">
            <w:rPr>
              <w:rFonts w:ascii="Times New Roman" w:hAnsi="Times New Roman" w:cs="Times New Roman"/>
              <w:b w:val="0"/>
              <w:noProof/>
              <w:sz w:val="24"/>
              <w:szCs w:val="24"/>
            </w:rPr>
            <w:t>II.</w:t>
          </w:r>
          <w:r w:rsidRPr="00E94356">
            <w:rPr>
              <w:rFonts w:ascii="Times New Roman" w:hAnsi="Times New Roman" w:cs="Times New Roman"/>
              <w:b w:val="0"/>
              <w:noProof/>
              <w:sz w:val="24"/>
              <w:szCs w:val="24"/>
              <w:lang w:val="en-CA"/>
            </w:rPr>
            <w:tab/>
          </w:r>
          <w:r w:rsidRPr="00E94356">
            <w:rPr>
              <w:rFonts w:ascii="Times New Roman" w:hAnsi="Times New Roman" w:cs="Times New Roman"/>
              <w:b w:val="0"/>
              <w:noProof/>
              <w:sz w:val="24"/>
              <w:szCs w:val="24"/>
            </w:rPr>
            <w:t>AETIOLOGY OF SARCOPENIA</w:t>
          </w:r>
          <w:r w:rsidRPr="00E94356">
            <w:rPr>
              <w:rFonts w:ascii="Times New Roman" w:hAnsi="Times New Roman" w:cs="Times New Roman"/>
              <w:b w:val="0"/>
              <w:noProof/>
              <w:sz w:val="24"/>
              <w:szCs w:val="24"/>
            </w:rPr>
            <w:tab/>
          </w:r>
          <w:r w:rsidRPr="00E94356">
            <w:rPr>
              <w:rFonts w:ascii="Times New Roman" w:hAnsi="Times New Roman" w:cs="Times New Roman"/>
              <w:b w:val="0"/>
              <w:noProof/>
              <w:sz w:val="24"/>
              <w:szCs w:val="24"/>
            </w:rPr>
            <w:fldChar w:fldCharType="begin"/>
          </w:r>
          <w:r w:rsidRPr="00E94356">
            <w:rPr>
              <w:rFonts w:ascii="Times New Roman" w:hAnsi="Times New Roman" w:cs="Times New Roman"/>
              <w:b w:val="0"/>
              <w:noProof/>
              <w:sz w:val="24"/>
              <w:szCs w:val="24"/>
            </w:rPr>
            <w:instrText xml:space="preserve"> PAGEREF _Toc296932761 \h </w:instrText>
          </w:r>
          <w:r w:rsidRPr="00E94356">
            <w:rPr>
              <w:rFonts w:ascii="Times New Roman" w:hAnsi="Times New Roman" w:cs="Times New Roman"/>
              <w:b w:val="0"/>
              <w:noProof/>
              <w:sz w:val="24"/>
              <w:szCs w:val="24"/>
            </w:rPr>
          </w:r>
          <w:r w:rsidRPr="00E94356">
            <w:rPr>
              <w:rFonts w:ascii="Times New Roman" w:hAnsi="Times New Roman" w:cs="Times New Roman"/>
              <w:b w:val="0"/>
              <w:noProof/>
              <w:sz w:val="24"/>
              <w:szCs w:val="24"/>
            </w:rPr>
            <w:fldChar w:fldCharType="separate"/>
          </w:r>
          <w:r w:rsidR="00973031">
            <w:rPr>
              <w:rFonts w:ascii="Times New Roman" w:hAnsi="Times New Roman" w:cs="Times New Roman"/>
              <w:b w:val="0"/>
              <w:noProof/>
              <w:sz w:val="24"/>
              <w:szCs w:val="24"/>
            </w:rPr>
            <w:t>6</w:t>
          </w:r>
          <w:r w:rsidRPr="00E94356">
            <w:rPr>
              <w:rFonts w:ascii="Times New Roman" w:hAnsi="Times New Roman" w:cs="Times New Roman"/>
              <w:b w:val="0"/>
              <w:noProof/>
              <w:sz w:val="24"/>
              <w:szCs w:val="24"/>
            </w:rPr>
            <w:fldChar w:fldCharType="end"/>
          </w:r>
        </w:p>
        <w:p w14:paraId="4ABFC5D0" w14:textId="77777777" w:rsidR="00E94356" w:rsidRPr="00E94356" w:rsidRDefault="00E94356" w:rsidP="00E94356">
          <w:pPr>
            <w:pStyle w:val="TOC2"/>
            <w:tabs>
              <w:tab w:val="left" w:pos="709"/>
              <w:tab w:val="left" w:pos="762"/>
              <w:tab w:val="right" w:leader="dot" w:pos="7920"/>
            </w:tabs>
            <w:rPr>
              <w:rFonts w:ascii="Times New Roman" w:hAnsi="Times New Roman" w:cs="Times New Roman"/>
              <w:b w:val="0"/>
              <w:noProof/>
              <w:sz w:val="24"/>
              <w:szCs w:val="24"/>
              <w:lang w:val="en-CA"/>
            </w:rPr>
          </w:pPr>
          <w:r w:rsidRPr="00E94356">
            <w:rPr>
              <w:rFonts w:ascii="Times New Roman" w:hAnsi="Times New Roman" w:cs="Times New Roman"/>
              <w:b w:val="0"/>
              <w:noProof/>
              <w:sz w:val="24"/>
              <w:szCs w:val="24"/>
            </w:rPr>
            <w:t>III.</w:t>
          </w:r>
          <w:r w:rsidRPr="00E94356">
            <w:rPr>
              <w:rFonts w:ascii="Times New Roman" w:hAnsi="Times New Roman" w:cs="Times New Roman"/>
              <w:b w:val="0"/>
              <w:noProof/>
              <w:sz w:val="24"/>
              <w:szCs w:val="24"/>
              <w:lang w:val="en-CA"/>
            </w:rPr>
            <w:tab/>
          </w:r>
          <w:r w:rsidRPr="00E94356">
            <w:rPr>
              <w:rFonts w:ascii="Times New Roman" w:hAnsi="Times New Roman" w:cs="Times New Roman"/>
              <w:b w:val="0"/>
              <w:noProof/>
              <w:sz w:val="24"/>
              <w:szCs w:val="24"/>
            </w:rPr>
            <w:t>STEP-REDUCTION</w:t>
          </w:r>
          <w:r w:rsidRPr="00E94356">
            <w:rPr>
              <w:rFonts w:ascii="Times New Roman" w:hAnsi="Times New Roman" w:cs="Times New Roman"/>
              <w:b w:val="0"/>
              <w:noProof/>
              <w:sz w:val="24"/>
              <w:szCs w:val="24"/>
            </w:rPr>
            <w:tab/>
          </w:r>
          <w:r w:rsidRPr="00E94356">
            <w:rPr>
              <w:rFonts w:ascii="Times New Roman" w:hAnsi="Times New Roman" w:cs="Times New Roman"/>
              <w:b w:val="0"/>
              <w:noProof/>
              <w:sz w:val="24"/>
              <w:szCs w:val="24"/>
            </w:rPr>
            <w:fldChar w:fldCharType="begin"/>
          </w:r>
          <w:r w:rsidRPr="00E94356">
            <w:rPr>
              <w:rFonts w:ascii="Times New Roman" w:hAnsi="Times New Roman" w:cs="Times New Roman"/>
              <w:b w:val="0"/>
              <w:noProof/>
              <w:sz w:val="24"/>
              <w:szCs w:val="24"/>
            </w:rPr>
            <w:instrText xml:space="preserve"> PAGEREF _Toc296932762 \h </w:instrText>
          </w:r>
          <w:r w:rsidRPr="00E94356">
            <w:rPr>
              <w:rFonts w:ascii="Times New Roman" w:hAnsi="Times New Roman" w:cs="Times New Roman"/>
              <w:b w:val="0"/>
              <w:noProof/>
              <w:sz w:val="24"/>
              <w:szCs w:val="24"/>
            </w:rPr>
          </w:r>
          <w:r w:rsidRPr="00E94356">
            <w:rPr>
              <w:rFonts w:ascii="Times New Roman" w:hAnsi="Times New Roman" w:cs="Times New Roman"/>
              <w:b w:val="0"/>
              <w:noProof/>
              <w:sz w:val="24"/>
              <w:szCs w:val="24"/>
            </w:rPr>
            <w:fldChar w:fldCharType="separate"/>
          </w:r>
          <w:r w:rsidR="00973031">
            <w:rPr>
              <w:rFonts w:ascii="Times New Roman" w:hAnsi="Times New Roman" w:cs="Times New Roman"/>
              <w:b w:val="0"/>
              <w:noProof/>
              <w:sz w:val="24"/>
              <w:szCs w:val="24"/>
            </w:rPr>
            <w:t>10</w:t>
          </w:r>
          <w:r w:rsidRPr="00E94356">
            <w:rPr>
              <w:rFonts w:ascii="Times New Roman" w:hAnsi="Times New Roman" w:cs="Times New Roman"/>
              <w:b w:val="0"/>
              <w:noProof/>
              <w:sz w:val="24"/>
              <w:szCs w:val="24"/>
            </w:rPr>
            <w:fldChar w:fldCharType="end"/>
          </w:r>
        </w:p>
        <w:p w14:paraId="3A149979" w14:textId="77777777" w:rsidR="00E94356" w:rsidRPr="00E94356" w:rsidRDefault="00E94356" w:rsidP="00E94356">
          <w:pPr>
            <w:pStyle w:val="TOC2"/>
            <w:tabs>
              <w:tab w:val="left" w:pos="709"/>
              <w:tab w:val="left" w:pos="747"/>
              <w:tab w:val="right" w:leader="dot" w:pos="7920"/>
            </w:tabs>
            <w:rPr>
              <w:rFonts w:ascii="Times New Roman" w:hAnsi="Times New Roman" w:cs="Times New Roman"/>
              <w:b w:val="0"/>
              <w:noProof/>
              <w:sz w:val="24"/>
              <w:szCs w:val="24"/>
              <w:lang w:val="en-CA"/>
            </w:rPr>
          </w:pPr>
          <w:r w:rsidRPr="00E94356">
            <w:rPr>
              <w:rFonts w:ascii="Times New Roman" w:hAnsi="Times New Roman" w:cs="Times New Roman"/>
              <w:b w:val="0"/>
              <w:noProof/>
              <w:sz w:val="24"/>
              <w:szCs w:val="24"/>
            </w:rPr>
            <w:t>IV.</w:t>
          </w:r>
          <w:r w:rsidRPr="00E94356">
            <w:rPr>
              <w:rFonts w:ascii="Times New Roman" w:hAnsi="Times New Roman" w:cs="Times New Roman"/>
              <w:b w:val="0"/>
              <w:noProof/>
              <w:sz w:val="24"/>
              <w:szCs w:val="24"/>
              <w:lang w:val="en-CA"/>
            </w:rPr>
            <w:tab/>
          </w:r>
          <w:r w:rsidRPr="00E94356">
            <w:rPr>
              <w:rFonts w:ascii="Times New Roman" w:hAnsi="Times New Roman" w:cs="Times New Roman"/>
              <w:b w:val="0"/>
              <w:noProof/>
              <w:sz w:val="24"/>
              <w:szCs w:val="24"/>
            </w:rPr>
            <w:t>RECOVERY FROM MUSCLE DISUSE IN OLDER ADULTS</w:t>
          </w:r>
          <w:r w:rsidRPr="00E94356">
            <w:rPr>
              <w:rFonts w:ascii="Times New Roman" w:hAnsi="Times New Roman" w:cs="Times New Roman"/>
              <w:b w:val="0"/>
              <w:noProof/>
              <w:sz w:val="24"/>
              <w:szCs w:val="24"/>
            </w:rPr>
            <w:tab/>
          </w:r>
          <w:r w:rsidRPr="00E94356">
            <w:rPr>
              <w:rFonts w:ascii="Times New Roman" w:hAnsi="Times New Roman" w:cs="Times New Roman"/>
              <w:b w:val="0"/>
              <w:noProof/>
              <w:sz w:val="24"/>
              <w:szCs w:val="24"/>
            </w:rPr>
            <w:fldChar w:fldCharType="begin"/>
          </w:r>
          <w:r w:rsidRPr="00E94356">
            <w:rPr>
              <w:rFonts w:ascii="Times New Roman" w:hAnsi="Times New Roman" w:cs="Times New Roman"/>
              <w:b w:val="0"/>
              <w:noProof/>
              <w:sz w:val="24"/>
              <w:szCs w:val="24"/>
            </w:rPr>
            <w:instrText xml:space="preserve"> PAGEREF _Toc296932763 \h </w:instrText>
          </w:r>
          <w:r w:rsidRPr="00E94356">
            <w:rPr>
              <w:rFonts w:ascii="Times New Roman" w:hAnsi="Times New Roman" w:cs="Times New Roman"/>
              <w:b w:val="0"/>
              <w:noProof/>
              <w:sz w:val="24"/>
              <w:szCs w:val="24"/>
            </w:rPr>
          </w:r>
          <w:r w:rsidRPr="00E94356">
            <w:rPr>
              <w:rFonts w:ascii="Times New Roman" w:hAnsi="Times New Roman" w:cs="Times New Roman"/>
              <w:b w:val="0"/>
              <w:noProof/>
              <w:sz w:val="24"/>
              <w:szCs w:val="24"/>
            </w:rPr>
            <w:fldChar w:fldCharType="separate"/>
          </w:r>
          <w:r w:rsidR="00973031">
            <w:rPr>
              <w:rFonts w:ascii="Times New Roman" w:hAnsi="Times New Roman" w:cs="Times New Roman"/>
              <w:b w:val="0"/>
              <w:noProof/>
              <w:sz w:val="24"/>
              <w:szCs w:val="24"/>
            </w:rPr>
            <w:t>13</w:t>
          </w:r>
          <w:r w:rsidRPr="00E94356">
            <w:rPr>
              <w:rFonts w:ascii="Times New Roman" w:hAnsi="Times New Roman" w:cs="Times New Roman"/>
              <w:b w:val="0"/>
              <w:noProof/>
              <w:sz w:val="24"/>
              <w:szCs w:val="24"/>
            </w:rPr>
            <w:fldChar w:fldCharType="end"/>
          </w:r>
        </w:p>
        <w:p w14:paraId="435099CA" w14:textId="77777777" w:rsidR="00E94356" w:rsidRPr="00E94356" w:rsidRDefault="00E94356" w:rsidP="00E94356">
          <w:pPr>
            <w:pStyle w:val="TOC2"/>
            <w:tabs>
              <w:tab w:val="left" w:pos="709"/>
              <w:tab w:val="right" w:leader="dot" w:pos="7920"/>
            </w:tabs>
            <w:rPr>
              <w:rFonts w:ascii="Times New Roman" w:hAnsi="Times New Roman" w:cs="Times New Roman"/>
              <w:b w:val="0"/>
              <w:noProof/>
              <w:sz w:val="24"/>
              <w:szCs w:val="24"/>
              <w:lang w:val="en-CA"/>
            </w:rPr>
          </w:pPr>
          <w:r w:rsidRPr="00E94356">
            <w:rPr>
              <w:rFonts w:ascii="Times New Roman" w:hAnsi="Times New Roman" w:cs="Times New Roman"/>
              <w:b w:val="0"/>
              <w:noProof/>
              <w:sz w:val="24"/>
              <w:szCs w:val="24"/>
            </w:rPr>
            <w:t>V.</w:t>
          </w:r>
          <w:r w:rsidRPr="00E94356">
            <w:rPr>
              <w:rFonts w:ascii="Times New Roman" w:hAnsi="Times New Roman" w:cs="Times New Roman"/>
              <w:b w:val="0"/>
              <w:noProof/>
              <w:sz w:val="24"/>
              <w:szCs w:val="24"/>
              <w:lang w:val="en-CA"/>
            </w:rPr>
            <w:tab/>
          </w:r>
          <w:r w:rsidRPr="00E94356">
            <w:rPr>
              <w:rFonts w:ascii="Times New Roman" w:hAnsi="Times New Roman" w:cs="Times New Roman"/>
              <w:b w:val="0"/>
              <w:noProof/>
              <w:sz w:val="24"/>
              <w:szCs w:val="24"/>
            </w:rPr>
            <w:t>SIGNIFICANCE</w:t>
          </w:r>
          <w:r w:rsidRPr="00E94356">
            <w:rPr>
              <w:rFonts w:ascii="Times New Roman" w:hAnsi="Times New Roman" w:cs="Times New Roman"/>
              <w:b w:val="0"/>
              <w:noProof/>
              <w:sz w:val="24"/>
              <w:szCs w:val="24"/>
            </w:rPr>
            <w:tab/>
          </w:r>
          <w:r w:rsidRPr="00E94356">
            <w:rPr>
              <w:rFonts w:ascii="Times New Roman" w:hAnsi="Times New Roman" w:cs="Times New Roman"/>
              <w:b w:val="0"/>
              <w:noProof/>
              <w:sz w:val="24"/>
              <w:szCs w:val="24"/>
            </w:rPr>
            <w:fldChar w:fldCharType="begin"/>
          </w:r>
          <w:r w:rsidRPr="00E94356">
            <w:rPr>
              <w:rFonts w:ascii="Times New Roman" w:hAnsi="Times New Roman" w:cs="Times New Roman"/>
              <w:b w:val="0"/>
              <w:noProof/>
              <w:sz w:val="24"/>
              <w:szCs w:val="24"/>
            </w:rPr>
            <w:instrText xml:space="preserve"> PAGEREF _Toc296932764 \h </w:instrText>
          </w:r>
          <w:r w:rsidRPr="00E94356">
            <w:rPr>
              <w:rFonts w:ascii="Times New Roman" w:hAnsi="Times New Roman" w:cs="Times New Roman"/>
              <w:b w:val="0"/>
              <w:noProof/>
              <w:sz w:val="24"/>
              <w:szCs w:val="24"/>
            </w:rPr>
          </w:r>
          <w:r w:rsidRPr="00E94356">
            <w:rPr>
              <w:rFonts w:ascii="Times New Roman" w:hAnsi="Times New Roman" w:cs="Times New Roman"/>
              <w:b w:val="0"/>
              <w:noProof/>
              <w:sz w:val="24"/>
              <w:szCs w:val="24"/>
            </w:rPr>
            <w:fldChar w:fldCharType="separate"/>
          </w:r>
          <w:r w:rsidR="00973031">
            <w:rPr>
              <w:rFonts w:ascii="Times New Roman" w:hAnsi="Times New Roman" w:cs="Times New Roman"/>
              <w:b w:val="0"/>
              <w:noProof/>
              <w:sz w:val="24"/>
              <w:szCs w:val="24"/>
            </w:rPr>
            <w:t>18</w:t>
          </w:r>
          <w:r w:rsidRPr="00E94356">
            <w:rPr>
              <w:rFonts w:ascii="Times New Roman" w:hAnsi="Times New Roman" w:cs="Times New Roman"/>
              <w:b w:val="0"/>
              <w:noProof/>
              <w:sz w:val="24"/>
              <w:szCs w:val="24"/>
            </w:rPr>
            <w:fldChar w:fldCharType="end"/>
          </w:r>
        </w:p>
        <w:p w14:paraId="0628A444" w14:textId="77777777" w:rsidR="00E94356" w:rsidRPr="00E94356" w:rsidRDefault="00E94356" w:rsidP="00E94356">
          <w:pPr>
            <w:pStyle w:val="TOC2"/>
            <w:tabs>
              <w:tab w:val="left" w:pos="709"/>
              <w:tab w:val="left" w:pos="747"/>
              <w:tab w:val="right" w:leader="dot" w:pos="7920"/>
            </w:tabs>
            <w:rPr>
              <w:rFonts w:ascii="Times New Roman" w:hAnsi="Times New Roman" w:cs="Times New Roman"/>
              <w:b w:val="0"/>
              <w:noProof/>
              <w:sz w:val="24"/>
              <w:szCs w:val="24"/>
              <w:lang w:val="en-CA"/>
            </w:rPr>
          </w:pPr>
          <w:r w:rsidRPr="00E94356">
            <w:rPr>
              <w:rFonts w:ascii="Times New Roman" w:hAnsi="Times New Roman" w:cs="Times New Roman"/>
              <w:b w:val="0"/>
              <w:noProof/>
              <w:sz w:val="24"/>
              <w:szCs w:val="24"/>
            </w:rPr>
            <w:t>VI.</w:t>
          </w:r>
          <w:r w:rsidRPr="00E94356">
            <w:rPr>
              <w:rFonts w:ascii="Times New Roman" w:hAnsi="Times New Roman" w:cs="Times New Roman"/>
              <w:b w:val="0"/>
              <w:noProof/>
              <w:sz w:val="24"/>
              <w:szCs w:val="24"/>
              <w:lang w:val="en-CA"/>
            </w:rPr>
            <w:tab/>
          </w:r>
          <w:r w:rsidRPr="00E94356">
            <w:rPr>
              <w:rFonts w:ascii="Times New Roman" w:hAnsi="Times New Roman" w:cs="Times New Roman"/>
              <w:b w:val="0"/>
              <w:noProof/>
              <w:sz w:val="24"/>
              <w:szCs w:val="24"/>
            </w:rPr>
            <w:t>STATEMENT OF RESEARCH QUESTION AND HYPOTHESIS</w:t>
          </w:r>
          <w:r w:rsidRPr="00E94356">
            <w:rPr>
              <w:rFonts w:ascii="Times New Roman" w:hAnsi="Times New Roman" w:cs="Times New Roman"/>
              <w:b w:val="0"/>
              <w:noProof/>
              <w:sz w:val="24"/>
              <w:szCs w:val="24"/>
            </w:rPr>
            <w:tab/>
          </w:r>
          <w:r w:rsidRPr="00E94356">
            <w:rPr>
              <w:rFonts w:ascii="Times New Roman" w:hAnsi="Times New Roman" w:cs="Times New Roman"/>
              <w:b w:val="0"/>
              <w:noProof/>
              <w:sz w:val="24"/>
              <w:szCs w:val="24"/>
            </w:rPr>
            <w:fldChar w:fldCharType="begin"/>
          </w:r>
          <w:r w:rsidRPr="00E94356">
            <w:rPr>
              <w:rFonts w:ascii="Times New Roman" w:hAnsi="Times New Roman" w:cs="Times New Roman"/>
              <w:b w:val="0"/>
              <w:noProof/>
              <w:sz w:val="24"/>
              <w:szCs w:val="24"/>
            </w:rPr>
            <w:instrText xml:space="preserve"> PAGEREF _Toc296932765 \h </w:instrText>
          </w:r>
          <w:r w:rsidRPr="00E94356">
            <w:rPr>
              <w:rFonts w:ascii="Times New Roman" w:hAnsi="Times New Roman" w:cs="Times New Roman"/>
              <w:b w:val="0"/>
              <w:noProof/>
              <w:sz w:val="24"/>
              <w:szCs w:val="24"/>
            </w:rPr>
          </w:r>
          <w:r w:rsidRPr="00E94356">
            <w:rPr>
              <w:rFonts w:ascii="Times New Roman" w:hAnsi="Times New Roman" w:cs="Times New Roman"/>
              <w:b w:val="0"/>
              <w:noProof/>
              <w:sz w:val="24"/>
              <w:szCs w:val="24"/>
            </w:rPr>
            <w:fldChar w:fldCharType="separate"/>
          </w:r>
          <w:r w:rsidR="00973031">
            <w:rPr>
              <w:rFonts w:ascii="Times New Roman" w:hAnsi="Times New Roman" w:cs="Times New Roman"/>
              <w:b w:val="0"/>
              <w:noProof/>
              <w:sz w:val="24"/>
              <w:szCs w:val="24"/>
            </w:rPr>
            <w:t>19</w:t>
          </w:r>
          <w:r w:rsidRPr="00E94356">
            <w:rPr>
              <w:rFonts w:ascii="Times New Roman" w:hAnsi="Times New Roman" w:cs="Times New Roman"/>
              <w:b w:val="0"/>
              <w:noProof/>
              <w:sz w:val="24"/>
              <w:szCs w:val="24"/>
            </w:rPr>
            <w:fldChar w:fldCharType="end"/>
          </w:r>
        </w:p>
        <w:p w14:paraId="60327BEC" w14:textId="77777777" w:rsidR="00E94356" w:rsidRPr="00E94356" w:rsidRDefault="00E94356">
          <w:pPr>
            <w:pStyle w:val="TOC1"/>
            <w:tabs>
              <w:tab w:val="right" w:leader="dot" w:pos="7920"/>
            </w:tabs>
            <w:rPr>
              <w:rFonts w:ascii="Times New Roman" w:hAnsi="Times New Roman" w:cs="Times New Roman"/>
              <w:b w:val="0"/>
              <w:noProof/>
              <w:lang w:val="en-CA"/>
            </w:rPr>
          </w:pPr>
          <w:r w:rsidRPr="00E94356">
            <w:rPr>
              <w:rFonts w:ascii="Times New Roman" w:hAnsi="Times New Roman" w:cs="Times New Roman"/>
              <w:b w:val="0"/>
              <w:noProof/>
            </w:rPr>
            <w:t>METHODS</w:t>
          </w:r>
          <w:r w:rsidRPr="00E94356">
            <w:rPr>
              <w:rFonts w:ascii="Times New Roman" w:hAnsi="Times New Roman" w:cs="Times New Roman"/>
              <w:b w:val="0"/>
              <w:noProof/>
            </w:rPr>
            <w:tab/>
          </w:r>
          <w:r w:rsidRPr="00E94356">
            <w:rPr>
              <w:rFonts w:ascii="Times New Roman" w:hAnsi="Times New Roman" w:cs="Times New Roman"/>
              <w:b w:val="0"/>
              <w:noProof/>
            </w:rPr>
            <w:fldChar w:fldCharType="begin"/>
          </w:r>
          <w:r w:rsidRPr="00E94356">
            <w:rPr>
              <w:rFonts w:ascii="Times New Roman" w:hAnsi="Times New Roman" w:cs="Times New Roman"/>
              <w:b w:val="0"/>
              <w:noProof/>
            </w:rPr>
            <w:instrText xml:space="preserve"> PAGEREF _Toc296932766 \h </w:instrText>
          </w:r>
          <w:r w:rsidRPr="00E94356">
            <w:rPr>
              <w:rFonts w:ascii="Times New Roman" w:hAnsi="Times New Roman" w:cs="Times New Roman"/>
              <w:b w:val="0"/>
              <w:noProof/>
            </w:rPr>
          </w:r>
          <w:r w:rsidRPr="00E94356">
            <w:rPr>
              <w:rFonts w:ascii="Times New Roman" w:hAnsi="Times New Roman" w:cs="Times New Roman"/>
              <w:b w:val="0"/>
              <w:noProof/>
            </w:rPr>
            <w:fldChar w:fldCharType="separate"/>
          </w:r>
          <w:r w:rsidR="00973031">
            <w:rPr>
              <w:rFonts w:ascii="Times New Roman" w:hAnsi="Times New Roman" w:cs="Times New Roman"/>
              <w:b w:val="0"/>
              <w:noProof/>
            </w:rPr>
            <w:t>20</w:t>
          </w:r>
          <w:r w:rsidRPr="00E94356">
            <w:rPr>
              <w:rFonts w:ascii="Times New Roman" w:hAnsi="Times New Roman" w:cs="Times New Roman"/>
              <w:b w:val="0"/>
              <w:noProof/>
            </w:rPr>
            <w:fldChar w:fldCharType="end"/>
          </w:r>
        </w:p>
        <w:p w14:paraId="0BC907EC"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Participants</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_Toc296932767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20</w:t>
          </w:r>
          <w:r w:rsidRPr="00E94356">
            <w:rPr>
              <w:rFonts w:ascii="Times New Roman" w:hAnsi="Times New Roman" w:cs="Times New Roman"/>
              <w:noProof/>
              <w:sz w:val="24"/>
              <w:szCs w:val="24"/>
            </w:rPr>
            <w:fldChar w:fldCharType="end"/>
          </w:r>
        </w:p>
        <w:p w14:paraId="3A418D86"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Study protocol</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_Toc296932768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20</w:t>
          </w:r>
          <w:r w:rsidRPr="00E94356">
            <w:rPr>
              <w:rFonts w:ascii="Times New Roman" w:hAnsi="Times New Roman" w:cs="Times New Roman"/>
              <w:noProof/>
              <w:sz w:val="24"/>
              <w:szCs w:val="24"/>
            </w:rPr>
            <w:fldChar w:fldCharType="end"/>
          </w:r>
        </w:p>
        <w:p w14:paraId="7FDF2EA2"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Dual-energy x-ray absorptiometry (DXA)</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_Toc296932769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22</w:t>
          </w:r>
          <w:r w:rsidRPr="00E94356">
            <w:rPr>
              <w:rFonts w:ascii="Times New Roman" w:hAnsi="Times New Roman" w:cs="Times New Roman"/>
              <w:noProof/>
              <w:sz w:val="24"/>
              <w:szCs w:val="24"/>
            </w:rPr>
            <w:fldChar w:fldCharType="end"/>
          </w:r>
        </w:p>
        <w:p w14:paraId="300CFEB4" w14:textId="3499D90B"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Isometric maximal voluntary contraction (ISO-MVC)</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_Toc296932770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24</w:t>
          </w:r>
          <w:r w:rsidRPr="00E94356">
            <w:rPr>
              <w:rFonts w:ascii="Times New Roman" w:hAnsi="Times New Roman" w:cs="Times New Roman"/>
              <w:noProof/>
              <w:sz w:val="24"/>
              <w:szCs w:val="24"/>
            </w:rPr>
            <w:fldChar w:fldCharType="end"/>
          </w:r>
        </w:p>
        <w:p w14:paraId="7D9410FC" w14:textId="51951DA3"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Rate of torque development (RTD)</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_Toc296932771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25</w:t>
          </w:r>
          <w:r w:rsidRPr="00E94356">
            <w:rPr>
              <w:rFonts w:ascii="Times New Roman" w:hAnsi="Times New Roman" w:cs="Times New Roman"/>
              <w:noProof/>
              <w:sz w:val="24"/>
              <w:szCs w:val="24"/>
            </w:rPr>
            <w:fldChar w:fldCharType="end"/>
          </w:r>
        </w:p>
        <w:p w14:paraId="345C8C55"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Physical function</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_Toc296932772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25</w:t>
          </w:r>
          <w:r w:rsidRPr="00E94356">
            <w:rPr>
              <w:rFonts w:ascii="Times New Roman" w:hAnsi="Times New Roman" w:cs="Times New Roman"/>
              <w:noProof/>
              <w:sz w:val="24"/>
              <w:szCs w:val="24"/>
            </w:rPr>
            <w:fldChar w:fldCharType="end"/>
          </w:r>
        </w:p>
        <w:p w14:paraId="5D806B39"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Continuous glucose monitoring system (CGMS)</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_Toc296932773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26</w:t>
          </w:r>
          <w:r w:rsidRPr="00E94356">
            <w:rPr>
              <w:rFonts w:ascii="Times New Roman" w:hAnsi="Times New Roman" w:cs="Times New Roman"/>
              <w:noProof/>
              <w:sz w:val="24"/>
              <w:szCs w:val="24"/>
            </w:rPr>
            <w:fldChar w:fldCharType="end"/>
          </w:r>
        </w:p>
        <w:p w14:paraId="229E5B73"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Oral glucose tolerance test (OGTT)</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_Toc296932774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28</w:t>
          </w:r>
          <w:r w:rsidRPr="00E94356">
            <w:rPr>
              <w:rFonts w:ascii="Times New Roman" w:hAnsi="Times New Roman" w:cs="Times New Roman"/>
              <w:noProof/>
              <w:sz w:val="24"/>
              <w:szCs w:val="24"/>
            </w:rPr>
            <w:fldChar w:fldCharType="end"/>
          </w:r>
        </w:p>
        <w:p w14:paraId="30271A47"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Statistics</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_Toc296932775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29</w:t>
          </w:r>
          <w:r w:rsidRPr="00E94356">
            <w:rPr>
              <w:rFonts w:ascii="Times New Roman" w:hAnsi="Times New Roman" w:cs="Times New Roman"/>
              <w:noProof/>
              <w:sz w:val="24"/>
              <w:szCs w:val="24"/>
            </w:rPr>
            <w:fldChar w:fldCharType="end"/>
          </w:r>
        </w:p>
        <w:p w14:paraId="6727E4EA" w14:textId="77777777" w:rsidR="00E94356" w:rsidRPr="00E94356" w:rsidRDefault="00E94356">
          <w:pPr>
            <w:pStyle w:val="TOC1"/>
            <w:tabs>
              <w:tab w:val="right" w:leader="dot" w:pos="7920"/>
            </w:tabs>
            <w:rPr>
              <w:rFonts w:ascii="Times New Roman" w:hAnsi="Times New Roman" w:cs="Times New Roman"/>
              <w:b w:val="0"/>
              <w:noProof/>
              <w:lang w:val="en-CA"/>
            </w:rPr>
          </w:pPr>
          <w:r w:rsidRPr="00E94356">
            <w:rPr>
              <w:rFonts w:ascii="Times New Roman" w:hAnsi="Times New Roman" w:cs="Times New Roman"/>
              <w:b w:val="0"/>
              <w:noProof/>
            </w:rPr>
            <w:t>RESULTS</w:t>
          </w:r>
          <w:r w:rsidRPr="00E94356">
            <w:rPr>
              <w:rFonts w:ascii="Times New Roman" w:hAnsi="Times New Roman" w:cs="Times New Roman"/>
              <w:b w:val="0"/>
              <w:noProof/>
            </w:rPr>
            <w:tab/>
          </w:r>
          <w:r w:rsidRPr="00E94356">
            <w:rPr>
              <w:rFonts w:ascii="Times New Roman" w:hAnsi="Times New Roman" w:cs="Times New Roman"/>
              <w:b w:val="0"/>
              <w:noProof/>
            </w:rPr>
            <w:fldChar w:fldCharType="begin"/>
          </w:r>
          <w:r w:rsidRPr="00E94356">
            <w:rPr>
              <w:rFonts w:ascii="Times New Roman" w:hAnsi="Times New Roman" w:cs="Times New Roman"/>
              <w:b w:val="0"/>
              <w:noProof/>
            </w:rPr>
            <w:instrText xml:space="preserve"> PAGEREF _Toc296932776 \h </w:instrText>
          </w:r>
          <w:r w:rsidRPr="00E94356">
            <w:rPr>
              <w:rFonts w:ascii="Times New Roman" w:hAnsi="Times New Roman" w:cs="Times New Roman"/>
              <w:b w:val="0"/>
              <w:noProof/>
            </w:rPr>
          </w:r>
          <w:r w:rsidRPr="00E94356">
            <w:rPr>
              <w:rFonts w:ascii="Times New Roman" w:hAnsi="Times New Roman" w:cs="Times New Roman"/>
              <w:b w:val="0"/>
              <w:noProof/>
            </w:rPr>
            <w:fldChar w:fldCharType="separate"/>
          </w:r>
          <w:r w:rsidR="00973031">
            <w:rPr>
              <w:rFonts w:ascii="Times New Roman" w:hAnsi="Times New Roman" w:cs="Times New Roman"/>
              <w:b w:val="0"/>
              <w:noProof/>
            </w:rPr>
            <w:t>30</w:t>
          </w:r>
          <w:r w:rsidRPr="00E94356">
            <w:rPr>
              <w:rFonts w:ascii="Times New Roman" w:hAnsi="Times New Roman" w:cs="Times New Roman"/>
              <w:b w:val="0"/>
              <w:noProof/>
            </w:rPr>
            <w:fldChar w:fldCharType="end"/>
          </w:r>
        </w:p>
        <w:p w14:paraId="0085DE05"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Daily steps</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_Toc296932777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30</w:t>
          </w:r>
          <w:r w:rsidRPr="00E94356">
            <w:rPr>
              <w:rFonts w:ascii="Times New Roman" w:hAnsi="Times New Roman" w:cs="Times New Roman"/>
              <w:noProof/>
              <w:sz w:val="24"/>
              <w:szCs w:val="24"/>
            </w:rPr>
            <w:fldChar w:fldCharType="end"/>
          </w:r>
        </w:p>
        <w:p w14:paraId="2AA326B5"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lastRenderedPageBreak/>
            <w:t>Body composition</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_Toc296932778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31</w:t>
          </w:r>
          <w:r w:rsidRPr="00E94356">
            <w:rPr>
              <w:rFonts w:ascii="Times New Roman" w:hAnsi="Times New Roman" w:cs="Times New Roman"/>
              <w:noProof/>
              <w:sz w:val="24"/>
              <w:szCs w:val="24"/>
            </w:rPr>
            <w:fldChar w:fldCharType="end"/>
          </w:r>
        </w:p>
        <w:p w14:paraId="5010ACC5"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Strength</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_Toc296932779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32</w:t>
          </w:r>
          <w:r w:rsidRPr="00E94356">
            <w:rPr>
              <w:rFonts w:ascii="Times New Roman" w:hAnsi="Times New Roman" w:cs="Times New Roman"/>
              <w:noProof/>
              <w:sz w:val="24"/>
              <w:szCs w:val="24"/>
            </w:rPr>
            <w:fldChar w:fldCharType="end"/>
          </w:r>
        </w:p>
        <w:p w14:paraId="2AC0DDB1"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Physical function</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_Toc296932780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33</w:t>
          </w:r>
          <w:r w:rsidRPr="00E94356">
            <w:rPr>
              <w:rFonts w:ascii="Times New Roman" w:hAnsi="Times New Roman" w:cs="Times New Roman"/>
              <w:noProof/>
              <w:sz w:val="24"/>
              <w:szCs w:val="24"/>
            </w:rPr>
            <w:fldChar w:fldCharType="end"/>
          </w:r>
        </w:p>
        <w:p w14:paraId="4405A279"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OGTT</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_Toc296932781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35</w:t>
          </w:r>
          <w:r w:rsidRPr="00E94356">
            <w:rPr>
              <w:rFonts w:ascii="Times New Roman" w:hAnsi="Times New Roman" w:cs="Times New Roman"/>
              <w:noProof/>
              <w:sz w:val="24"/>
              <w:szCs w:val="24"/>
            </w:rPr>
            <w:fldChar w:fldCharType="end"/>
          </w:r>
        </w:p>
        <w:p w14:paraId="2736C743"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Free-living glycemic control</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_Toc296932782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37</w:t>
          </w:r>
          <w:r w:rsidRPr="00E94356">
            <w:rPr>
              <w:rFonts w:ascii="Times New Roman" w:hAnsi="Times New Roman" w:cs="Times New Roman"/>
              <w:noProof/>
              <w:sz w:val="24"/>
              <w:szCs w:val="24"/>
            </w:rPr>
            <w:fldChar w:fldCharType="end"/>
          </w:r>
        </w:p>
        <w:p w14:paraId="7B871DDE"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Correlations</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_Toc296932783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39</w:t>
          </w:r>
          <w:r w:rsidRPr="00E94356">
            <w:rPr>
              <w:rFonts w:ascii="Times New Roman" w:hAnsi="Times New Roman" w:cs="Times New Roman"/>
              <w:noProof/>
              <w:sz w:val="24"/>
              <w:szCs w:val="24"/>
            </w:rPr>
            <w:fldChar w:fldCharType="end"/>
          </w:r>
        </w:p>
        <w:p w14:paraId="0991C743"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Influence of sex on outcomes</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_Toc296932784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40</w:t>
          </w:r>
          <w:r w:rsidRPr="00E94356">
            <w:rPr>
              <w:rFonts w:ascii="Times New Roman" w:hAnsi="Times New Roman" w:cs="Times New Roman"/>
              <w:noProof/>
              <w:sz w:val="24"/>
              <w:szCs w:val="24"/>
            </w:rPr>
            <w:fldChar w:fldCharType="end"/>
          </w:r>
        </w:p>
        <w:p w14:paraId="38960153" w14:textId="77777777" w:rsidR="00E94356" w:rsidRPr="00E94356" w:rsidRDefault="00E94356">
          <w:pPr>
            <w:pStyle w:val="TOC1"/>
            <w:tabs>
              <w:tab w:val="right" w:leader="dot" w:pos="7920"/>
            </w:tabs>
            <w:rPr>
              <w:rFonts w:ascii="Times New Roman" w:hAnsi="Times New Roman" w:cs="Times New Roman"/>
              <w:b w:val="0"/>
              <w:noProof/>
              <w:lang w:val="en-CA"/>
            </w:rPr>
          </w:pPr>
          <w:r w:rsidRPr="00E94356">
            <w:rPr>
              <w:rFonts w:ascii="Times New Roman" w:hAnsi="Times New Roman" w:cs="Times New Roman"/>
              <w:b w:val="0"/>
              <w:noProof/>
            </w:rPr>
            <w:t>DISCUSSION</w:t>
          </w:r>
          <w:r w:rsidRPr="00E94356">
            <w:rPr>
              <w:rFonts w:ascii="Times New Roman" w:hAnsi="Times New Roman" w:cs="Times New Roman"/>
              <w:b w:val="0"/>
              <w:noProof/>
            </w:rPr>
            <w:tab/>
          </w:r>
          <w:r w:rsidRPr="00E94356">
            <w:rPr>
              <w:rFonts w:ascii="Times New Roman" w:hAnsi="Times New Roman" w:cs="Times New Roman"/>
              <w:b w:val="0"/>
              <w:noProof/>
            </w:rPr>
            <w:fldChar w:fldCharType="begin"/>
          </w:r>
          <w:r w:rsidRPr="00E94356">
            <w:rPr>
              <w:rFonts w:ascii="Times New Roman" w:hAnsi="Times New Roman" w:cs="Times New Roman"/>
              <w:b w:val="0"/>
              <w:noProof/>
            </w:rPr>
            <w:instrText xml:space="preserve"> PAGEREF _Toc296932785 \h </w:instrText>
          </w:r>
          <w:r w:rsidRPr="00E94356">
            <w:rPr>
              <w:rFonts w:ascii="Times New Roman" w:hAnsi="Times New Roman" w:cs="Times New Roman"/>
              <w:b w:val="0"/>
              <w:noProof/>
            </w:rPr>
          </w:r>
          <w:r w:rsidRPr="00E94356">
            <w:rPr>
              <w:rFonts w:ascii="Times New Roman" w:hAnsi="Times New Roman" w:cs="Times New Roman"/>
              <w:b w:val="0"/>
              <w:noProof/>
            </w:rPr>
            <w:fldChar w:fldCharType="separate"/>
          </w:r>
          <w:r w:rsidR="00973031">
            <w:rPr>
              <w:rFonts w:ascii="Times New Roman" w:hAnsi="Times New Roman" w:cs="Times New Roman"/>
              <w:b w:val="0"/>
              <w:noProof/>
            </w:rPr>
            <w:t>42</w:t>
          </w:r>
          <w:r w:rsidRPr="00E94356">
            <w:rPr>
              <w:rFonts w:ascii="Times New Roman" w:hAnsi="Times New Roman" w:cs="Times New Roman"/>
              <w:b w:val="0"/>
              <w:noProof/>
            </w:rPr>
            <w:fldChar w:fldCharType="end"/>
          </w:r>
        </w:p>
        <w:p w14:paraId="6DBD9887"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OGTT</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_Toc296932786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43</w:t>
          </w:r>
          <w:r w:rsidRPr="00E94356">
            <w:rPr>
              <w:rFonts w:ascii="Times New Roman" w:hAnsi="Times New Roman" w:cs="Times New Roman"/>
              <w:noProof/>
              <w:sz w:val="24"/>
              <w:szCs w:val="24"/>
            </w:rPr>
            <w:fldChar w:fldCharType="end"/>
          </w:r>
        </w:p>
        <w:p w14:paraId="1D9168E8"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Free-living glycemic control (CGMS)</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_Toc296932787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47</w:t>
          </w:r>
          <w:r w:rsidRPr="00E94356">
            <w:rPr>
              <w:rFonts w:ascii="Times New Roman" w:hAnsi="Times New Roman" w:cs="Times New Roman"/>
              <w:noProof/>
              <w:sz w:val="24"/>
              <w:szCs w:val="24"/>
            </w:rPr>
            <w:fldChar w:fldCharType="end"/>
          </w:r>
        </w:p>
        <w:p w14:paraId="6E725B7A"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Body composition.</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_Toc296932788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49</w:t>
          </w:r>
          <w:r w:rsidRPr="00E94356">
            <w:rPr>
              <w:rFonts w:ascii="Times New Roman" w:hAnsi="Times New Roman" w:cs="Times New Roman"/>
              <w:noProof/>
              <w:sz w:val="24"/>
              <w:szCs w:val="24"/>
            </w:rPr>
            <w:fldChar w:fldCharType="end"/>
          </w:r>
        </w:p>
        <w:p w14:paraId="342C574D"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ISO-MVC</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_Toc296932789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52</w:t>
          </w:r>
          <w:r w:rsidRPr="00E94356">
            <w:rPr>
              <w:rFonts w:ascii="Times New Roman" w:hAnsi="Times New Roman" w:cs="Times New Roman"/>
              <w:noProof/>
              <w:sz w:val="24"/>
              <w:szCs w:val="24"/>
            </w:rPr>
            <w:fldChar w:fldCharType="end"/>
          </w:r>
        </w:p>
        <w:p w14:paraId="241DE1BE"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RTD</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_Toc296932790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54</w:t>
          </w:r>
          <w:r w:rsidRPr="00E94356">
            <w:rPr>
              <w:rFonts w:ascii="Times New Roman" w:hAnsi="Times New Roman" w:cs="Times New Roman"/>
              <w:noProof/>
              <w:sz w:val="24"/>
              <w:szCs w:val="24"/>
            </w:rPr>
            <w:fldChar w:fldCharType="end"/>
          </w:r>
        </w:p>
        <w:p w14:paraId="2969F56A"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Physical function</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_Toc296932791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55</w:t>
          </w:r>
          <w:r w:rsidRPr="00E94356">
            <w:rPr>
              <w:rFonts w:ascii="Times New Roman" w:hAnsi="Times New Roman" w:cs="Times New Roman"/>
              <w:noProof/>
              <w:sz w:val="24"/>
              <w:szCs w:val="24"/>
            </w:rPr>
            <w:fldChar w:fldCharType="end"/>
          </w:r>
        </w:p>
        <w:p w14:paraId="60F8B09B"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Inter-individual variability</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_Toc296932792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57</w:t>
          </w:r>
          <w:r w:rsidRPr="00E94356">
            <w:rPr>
              <w:rFonts w:ascii="Times New Roman" w:hAnsi="Times New Roman" w:cs="Times New Roman"/>
              <w:noProof/>
              <w:sz w:val="24"/>
              <w:szCs w:val="24"/>
            </w:rPr>
            <w:fldChar w:fldCharType="end"/>
          </w:r>
        </w:p>
        <w:p w14:paraId="3F9C26FD"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Conclusions</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_Toc296932793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60</w:t>
          </w:r>
          <w:r w:rsidRPr="00E94356">
            <w:rPr>
              <w:rFonts w:ascii="Times New Roman" w:hAnsi="Times New Roman" w:cs="Times New Roman"/>
              <w:noProof/>
              <w:sz w:val="24"/>
              <w:szCs w:val="24"/>
            </w:rPr>
            <w:fldChar w:fldCharType="end"/>
          </w:r>
        </w:p>
        <w:p w14:paraId="64909B57" w14:textId="77777777" w:rsidR="00E94356" w:rsidRPr="00E94356" w:rsidRDefault="00E94356">
          <w:pPr>
            <w:pStyle w:val="TOC3"/>
            <w:tabs>
              <w:tab w:val="right" w:leader="dot" w:pos="7920"/>
            </w:tabs>
            <w:rPr>
              <w:rFonts w:ascii="Times New Roman" w:hAnsi="Times New Roman" w:cs="Times New Roman"/>
              <w:noProof/>
              <w:sz w:val="24"/>
              <w:szCs w:val="24"/>
              <w:lang w:val="en-CA"/>
            </w:rPr>
          </w:pPr>
          <w:r w:rsidRPr="00E94356">
            <w:rPr>
              <w:rFonts w:ascii="Times New Roman" w:hAnsi="Times New Roman" w:cs="Times New Roman"/>
              <w:noProof/>
              <w:sz w:val="24"/>
              <w:szCs w:val="24"/>
            </w:rPr>
            <w:t>Future directions</w:t>
          </w:r>
          <w:r w:rsidRPr="00E94356">
            <w:rPr>
              <w:rFonts w:ascii="Times New Roman" w:hAnsi="Times New Roman" w:cs="Times New Roman"/>
              <w:noProof/>
              <w:sz w:val="24"/>
              <w:szCs w:val="24"/>
            </w:rPr>
            <w:tab/>
          </w:r>
          <w:r w:rsidRPr="00E94356">
            <w:rPr>
              <w:rFonts w:ascii="Times New Roman" w:hAnsi="Times New Roman" w:cs="Times New Roman"/>
              <w:noProof/>
              <w:sz w:val="24"/>
              <w:szCs w:val="24"/>
            </w:rPr>
            <w:fldChar w:fldCharType="begin"/>
          </w:r>
          <w:r w:rsidRPr="00E94356">
            <w:rPr>
              <w:rFonts w:ascii="Times New Roman" w:hAnsi="Times New Roman" w:cs="Times New Roman"/>
              <w:noProof/>
              <w:sz w:val="24"/>
              <w:szCs w:val="24"/>
            </w:rPr>
            <w:instrText xml:space="preserve"> PAGEREF _Toc296932794 \h </w:instrText>
          </w:r>
          <w:r w:rsidRPr="00E94356">
            <w:rPr>
              <w:rFonts w:ascii="Times New Roman" w:hAnsi="Times New Roman" w:cs="Times New Roman"/>
              <w:noProof/>
              <w:sz w:val="24"/>
              <w:szCs w:val="24"/>
            </w:rPr>
          </w:r>
          <w:r w:rsidRPr="00E94356">
            <w:rPr>
              <w:rFonts w:ascii="Times New Roman" w:hAnsi="Times New Roman" w:cs="Times New Roman"/>
              <w:noProof/>
              <w:sz w:val="24"/>
              <w:szCs w:val="24"/>
            </w:rPr>
            <w:fldChar w:fldCharType="separate"/>
          </w:r>
          <w:r w:rsidR="00973031">
            <w:rPr>
              <w:rFonts w:ascii="Times New Roman" w:hAnsi="Times New Roman" w:cs="Times New Roman"/>
              <w:noProof/>
              <w:sz w:val="24"/>
              <w:szCs w:val="24"/>
            </w:rPr>
            <w:t>60</w:t>
          </w:r>
          <w:r w:rsidRPr="00E94356">
            <w:rPr>
              <w:rFonts w:ascii="Times New Roman" w:hAnsi="Times New Roman" w:cs="Times New Roman"/>
              <w:noProof/>
              <w:sz w:val="24"/>
              <w:szCs w:val="24"/>
            </w:rPr>
            <w:fldChar w:fldCharType="end"/>
          </w:r>
        </w:p>
        <w:p w14:paraId="1AA433DF" w14:textId="77777777" w:rsidR="00E94356" w:rsidRPr="00E94356" w:rsidRDefault="00E94356">
          <w:pPr>
            <w:pStyle w:val="TOC1"/>
            <w:tabs>
              <w:tab w:val="right" w:leader="dot" w:pos="7920"/>
            </w:tabs>
            <w:rPr>
              <w:rFonts w:ascii="Times New Roman" w:hAnsi="Times New Roman" w:cs="Times New Roman"/>
              <w:b w:val="0"/>
              <w:noProof/>
              <w:lang w:val="en-CA"/>
            </w:rPr>
          </w:pPr>
          <w:r w:rsidRPr="00E94356">
            <w:rPr>
              <w:rFonts w:ascii="Times New Roman" w:hAnsi="Times New Roman" w:cs="Times New Roman"/>
              <w:b w:val="0"/>
              <w:noProof/>
            </w:rPr>
            <w:t>REFERENCES</w:t>
          </w:r>
          <w:r w:rsidRPr="00E94356">
            <w:rPr>
              <w:rFonts w:ascii="Times New Roman" w:hAnsi="Times New Roman" w:cs="Times New Roman"/>
              <w:b w:val="0"/>
              <w:noProof/>
            </w:rPr>
            <w:tab/>
          </w:r>
          <w:r w:rsidRPr="00E94356">
            <w:rPr>
              <w:rFonts w:ascii="Times New Roman" w:hAnsi="Times New Roman" w:cs="Times New Roman"/>
              <w:b w:val="0"/>
              <w:noProof/>
            </w:rPr>
            <w:fldChar w:fldCharType="begin"/>
          </w:r>
          <w:r w:rsidRPr="00E94356">
            <w:rPr>
              <w:rFonts w:ascii="Times New Roman" w:hAnsi="Times New Roman" w:cs="Times New Roman"/>
              <w:b w:val="0"/>
              <w:noProof/>
            </w:rPr>
            <w:instrText xml:space="preserve"> PAGEREF _Toc296932795 \h </w:instrText>
          </w:r>
          <w:r w:rsidRPr="00E94356">
            <w:rPr>
              <w:rFonts w:ascii="Times New Roman" w:hAnsi="Times New Roman" w:cs="Times New Roman"/>
              <w:b w:val="0"/>
              <w:noProof/>
            </w:rPr>
          </w:r>
          <w:r w:rsidRPr="00E94356">
            <w:rPr>
              <w:rFonts w:ascii="Times New Roman" w:hAnsi="Times New Roman" w:cs="Times New Roman"/>
              <w:b w:val="0"/>
              <w:noProof/>
            </w:rPr>
            <w:fldChar w:fldCharType="separate"/>
          </w:r>
          <w:r w:rsidR="00973031">
            <w:rPr>
              <w:rFonts w:ascii="Times New Roman" w:hAnsi="Times New Roman" w:cs="Times New Roman"/>
              <w:b w:val="0"/>
              <w:noProof/>
            </w:rPr>
            <w:t>61</w:t>
          </w:r>
          <w:r w:rsidRPr="00E94356">
            <w:rPr>
              <w:rFonts w:ascii="Times New Roman" w:hAnsi="Times New Roman" w:cs="Times New Roman"/>
              <w:b w:val="0"/>
              <w:noProof/>
            </w:rPr>
            <w:fldChar w:fldCharType="end"/>
          </w:r>
        </w:p>
        <w:p w14:paraId="1FCECB68" w14:textId="4F225CA2" w:rsidR="00075AD3" w:rsidRDefault="00075AD3">
          <w:r w:rsidRPr="00E94356">
            <w:rPr>
              <w:rFonts w:cs="Times New Roman"/>
              <w:bCs/>
              <w:noProof/>
            </w:rPr>
            <w:fldChar w:fldCharType="end"/>
          </w:r>
        </w:p>
      </w:sdtContent>
    </w:sdt>
    <w:p w14:paraId="7A57DCD6" w14:textId="6276EBEE" w:rsidR="00047B79" w:rsidRDefault="00047B79" w:rsidP="00652245">
      <w:pPr>
        <w:rPr>
          <w:rFonts w:cs="Times New Roman"/>
          <w:lang w:val="en-US"/>
        </w:rPr>
      </w:pPr>
    </w:p>
    <w:p w14:paraId="48837A8E" w14:textId="77777777" w:rsidR="00047B79" w:rsidRDefault="00047B79" w:rsidP="00652245">
      <w:pPr>
        <w:rPr>
          <w:rFonts w:cs="Times New Roman"/>
          <w:lang w:val="en-US"/>
        </w:rPr>
      </w:pPr>
    </w:p>
    <w:p w14:paraId="04EF785E" w14:textId="099C33FF" w:rsidR="00005950" w:rsidRPr="00652245" w:rsidRDefault="00B16891" w:rsidP="00652245">
      <w:pPr>
        <w:rPr>
          <w:b/>
          <w:lang w:val="en-US"/>
        </w:rPr>
      </w:pPr>
      <w:r>
        <w:rPr>
          <w:b/>
          <w:lang w:val="en-US"/>
        </w:rPr>
        <w:t>LIST OF FIGURES</w:t>
      </w:r>
      <w:r w:rsidR="000C0143">
        <w:rPr>
          <w:b/>
          <w:lang w:val="en-US"/>
        </w:rPr>
        <w:t xml:space="preserve"> AND TABLES</w:t>
      </w:r>
    </w:p>
    <w:p w14:paraId="545DE629" w14:textId="77777777" w:rsidR="00262FF3" w:rsidRDefault="00262FF3" w:rsidP="001C66DE">
      <w:pPr>
        <w:rPr>
          <w:rFonts w:cs="Times New Roman"/>
          <w:lang w:val="en-US"/>
        </w:rPr>
      </w:pPr>
    </w:p>
    <w:p w14:paraId="6445B29B" w14:textId="43FD770C" w:rsidR="00665AA4" w:rsidRPr="00F413F7" w:rsidRDefault="00665AA4" w:rsidP="0063160A">
      <w:pPr>
        <w:rPr>
          <w:lang w:val="en-US"/>
        </w:rPr>
      </w:pPr>
      <w:r w:rsidRPr="00F413F7">
        <w:rPr>
          <w:b/>
          <w:lang w:val="en-US"/>
        </w:rPr>
        <w:t>Figure 1.</w:t>
      </w:r>
      <w:r w:rsidR="00AF43FF" w:rsidRPr="00F413F7">
        <w:rPr>
          <w:lang w:val="en-US"/>
        </w:rPr>
        <w:t xml:space="preserve"> Vicious cycle of inactivity commonly occurring with age</w:t>
      </w:r>
      <w:r w:rsidR="00DB54F0">
        <w:rPr>
          <w:lang w:val="en-US"/>
        </w:rPr>
        <w:t>....</w:t>
      </w:r>
      <w:r w:rsidR="0063160A">
        <w:rPr>
          <w:lang w:val="en-US"/>
        </w:rPr>
        <w:t xml:space="preserve">…………. </w:t>
      </w:r>
      <w:r w:rsidR="00F85521">
        <w:rPr>
          <w:lang w:val="en-US"/>
        </w:rPr>
        <w:t>6</w:t>
      </w:r>
    </w:p>
    <w:p w14:paraId="51A9EE0F" w14:textId="77777777" w:rsidR="00665AA4" w:rsidRPr="00F413F7" w:rsidRDefault="00665AA4" w:rsidP="0063160A">
      <w:pPr>
        <w:rPr>
          <w:lang w:val="en-US"/>
        </w:rPr>
      </w:pPr>
    </w:p>
    <w:p w14:paraId="7F1E9787" w14:textId="6DCCE3BE" w:rsidR="00665AA4" w:rsidRPr="00F413F7" w:rsidRDefault="00665AA4" w:rsidP="0063160A">
      <w:pPr>
        <w:rPr>
          <w:lang w:val="en-US"/>
        </w:rPr>
      </w:pPr>
      <w:r w:rsidRPr="00F413F7">
        <w:rPr>
          <w:b/>
          <w:lang w:val="en-US"/>
        </w:rPr>
        <w:t>Figure 2.</w:t>
      </w:r>
      <w:r w:rsidR="00AF43FF" w:rsidRPr="00F413F7">
        <w:t xml:space="preserve"> Theoretical loss of muscle mass in arbitrary units based on population estimates compared to accelerated sarcopenia punctuated by periods of inactivity due primarily to illness and injury</w:t>
      </w:r>
      <w:r w:rsidR="0063160A">
        <w:t>……………</w:t>
      </w:r>
      <w:r w:rsidR="00DB54F0">
        <w:t>..</w:t>
      </w:r>
      <w:r w:rsidR="0063160A">
        <w:t xml:space="preserve">………………………………… </w:t>
      </w:r>
      <w:r w:rsidR="00F85521">
        <w:t>7</w:t>
      </w:r>
    </w:p>
    <w:p w14:paraId="71142FF2" w14:textId="77777777" w:rsidR="00665AA4" w:rsidRPr="00F413F7" w:rsidRDefault="00665AA4" w:rsidP="0063160A">
      <w:pPr>
        <w:rPr>
          <w:lang w:val="en-US"/>
        </w:rPr>
      </w:pPr>
    </w:p>
    <w:p w14:paraId="2E804E5A" w14:textId="6849EECD" w:rsidR="00665AA4" w:rsidRPr="00F413F7" w:rsidRDefault="00665AA4" w:rsidP="0063160A">
      <w:pPr>
        <w:rPr>
          <w:lang w:val="en-US"/>
        </w:rPr>
      </w:pPr>
      <w:r w:rsidRPr="00F413F7">
        <w:rPr>
          <w:b/>
          <w:lang w:val="en-US"/>
        </w:rPr>
        <w:t>Figure 3.</w:t>
      </w:r>
      <w:r w:rsidR="00AF43FF" w:rsidRPr="00F413F7">
        <w:t xml:space="preserve"> Research schematic depicting the five-week study protocol and approximate timing of data collection</w:t>
      </w:r>
      <w:r w:rsidR="0063160A">
        <w:t>……………………</w:t>
      </w:r>
      <w:r w:rsidR="00DB54F0">
        <w:t>.......</w:t>
      </w:r>
      <w:r w:rsidR="0063160A">
        <w:t xml:space="preserve">………………... </w:t>
      </w:r>
      <w:r w:rsidR="00F85521">
        <w:t>23</w:t>
      </w:r>
    </w:p>
    <w:p w14:paraId="482373F6" w14:textId="77777777" w:rsidR="00665AA4" w:rsidRPr="00F413F7" w:rsidRDefault="00665AA4" w:rsidP="0063160A">
      <w:pPr>
        <w:rPr>
          <w:lang w:val="en-US"/>
        </w:rPr>
      </w:pPr>
    </w:p>
    <w:p w14:paraId="750FBE76" w14:textId="775B1532" w:rsidR="00665AA4" w:rsidRDefault="00665AA4" w:rsidP="0063160A">
      <w:r w:rsidRPr="0063160A">
        <w:rPr>
          <w:b/>
          <w:lang w:val="en-US"/>
        </w:rPr>
        <w:t>Figure 4.</w:t>
      </w:r>
      <w:r w:rsidRPr="00F413F7">
        <w:rPr>
          <w:lang w:val="en-US"/>
        </w:rPr>
        <w:t xml:space="preserve"> </w:t>
      </w:r>
      <w:proofErr w:type="gramStart"/>
      <w:r w:rsidR="00AF43FF" w:rsidRPr="00F413F7">
        <w:t>Research schematic depicting specifics of data collection timing at the end of the step-reduction and beginning of the recovery phase.</w:t>
      </w:r>
      <w:proofErr w:type="gramEnd"/>
      <w:r w:rsidR="0063160A" w:rsidRPr="0063160A">
        <w:t xml:space="preserve"> </w:t>
      </w:r>
      <w:r w:rsidR="00DB54F0">
        <w:t>…………</w:t>
      </w:r>
      <w:r w:rsidR="0063160A">
        <w:t>……</w:t>
      </w:r>
      <w:proofErr w:type="gramStart"/>
      <w:r w:rsidR="0063160A">
        <w:t>..</w:t>
      </w:r>
      <w:proofErr w:type="gramEnd"/>
      <w:r w:rsidR="0063160A">
        <w:t xml:space="preserve"> </w:t>
      </w:r>
      <w:r w:rsidR="00F85521">
        <w:t>23</w:t>
      </w:r>
    </w:p>
    <w:p w14:paraId="557A85A8" w14:textId="77777777" w:rsidR="0063160A" w:rsidRPr="00F413F7" w:rsidRDefault="0063160A" w:rsidP="0063160A">
      <w:pPr>
        <w:rPr>
          <w:b/>
          <w:noProof/>
          <w:lang w:val="en-US" w:eastAsia="en-US"/>
        </w:rPr>
      </w:pPr>
    </w:p>
    <w:p w14:paraId="780A9DFD" w14:textId="7C49207D" w:rsidR="00665AA4" w:rsidRPr="00F413F7" w:rsidRDefault="00665AA4" w:rsidP="0063160A">
      <w:pPr>
        <w:rPr>
          <w:lang w:val="en-US"/>
        </w:rPr>
      </w:pPr>
      <w:r w:rsidRPr="00F413F7">
        <w:rPr>
          <w:b/>
          <w:lang w:val="en-US"/>
        </w:rPr>
        <w:t>Figure 5.</w:t>
      </w:r>
      <w:r w:rsidR="00AF43FF" w:rsidRPr="00F413F7">
        <w:rPr>
          <w:b/>
        </w:rPr>
        <w:t xml:space="preserve"> </w:t>
      </w:r>
      <w:r w:rsidR="00AF43FF" w:rsidRPr="00F413F7">
        <w:t>Individual participant’s daily step-count means during each study phase as measured by pedometer</w:t>
      </w:r>
      <w:r w:rsidR="0063160A">
        <w:t>………………………………</w:t>
      </w:r>
      <w:r w:rsidR="00DB54F0">
        <w:t>.......</w:t>
      </w:r>
      <w:r w:rsidR="0063160A">
        <w:t xml:space="preserve">…………………. </w:t>
      </w:r>
      <w:r w:rsidR="00F85521">
        <w:t>30</w:t>
      </w:r>
    </w:p>
    <w:p w14:paraId="43A47BA1" w14:textId="77777777" w:rsidR="00665AA4" w:rsidRPr="00F413F7" w:rsidRDefault="00665AA4" w:rsidP="0063160A">
      <w:pPr>
        <w:rPr>
          <w:lang w:val="en-US"/>
        </w:rPr>
      </w:pPr>
    </w:p>
    <w:p w14:paraId="1827A044" w14:textId="1C704908" w:rsidR="00665AA4" w:rsidRPr="00F413F7" w:rsidRDefault="00665AA4" w:rsidP="0063160A">
      <w:pPr>
        <w:rPr>
          <w:lang w:val="en-US"/>
        </w:rPr>
      </w:pPr>
      <w:r w:rsidRPr="00F413F7">
        <w:rPr>
          <w:b/>
          <w:lang w:val="en-US"/>
        </w:rPr>
        <w:t>Figure 6.</w:t>
      </w:r>
      <w:r w:rsidR="00AF43FF" w:rsidRPr="00F413F7">
        <w:t xml:space="preserve"> Leg </w:t>
      </w:r>
      <w:r w:rsidR="0063160A">
        <w:t>lean mass</w:t>
      </w:r>
      <w:r w:rsidR="00AF43FF" w:rsidRPr="00F413F7">
        <w:t xml:space="preserve"> as measured by DXA</w:t>
      </w:r>
      <w:r w:rsidR="0063160A">
        <w:t>…………………………</w:t>
      </w:r>
      <w:r w:rsidR="00DB54F0">
        <w:t>....</w:t>
      </w:r>
      <w:r w:rsidR="0063160A">
        <w:t xml:space="preserve">…… </w:t>
      </w:r>
      <w:r w:rsidR="00F85521">
        <w:t>32</w:t>
      </w:r>
    </w:p>
    <w:p w14:paraId="6F5F770E" w14:textId="77777777" w:rsidR="00665AA4" w:rsidRPr="00F413F7" w:rsidRDefault="00665AA4" w:rsidP="0063160A">
      <w:pPr>
        <w:rPr>
          <w:lang w:val="en-US"/>
        </w:rPr>
      </w:pPr>
    </w:p>
    <w:p w14:paraId="60508CB3" w14:textId="1AAE87DB" w:rsidR="00665AA4" w:rsidRPr="00F413F7" w:rsidRDefault="00665AA4" w:rsidP="0063160A">
      <w:pPr>
        <w:rPr>
          <w:lang w:val="en-US"/>
        </w:rPr>
      </w:pPr>
      <w:r w:rsidRPr="00F413F7">
        <w:rPr>
          <w:b/>
          <w:lang w:val="en-US"/>
        </w:rPr>
        <w:t>Figure 7.</w:t>
      </w:r>
      <w:r w:rsidR="00AF43FF" w:rsidRPr="00F413F7">
        <w:t xml:space="preserve"> Knee extensor peak torque production during ISO-MVC measured by Biodex</w:t>
      </w:r>
      <w:r w:rsidR="0063160A">
        <w:t>……</w:t>
      </w:r>
      <w:r w:rsidR="00DB54F0">
        <w:t>…………………………………………………………………….</w:t>
      </w:r>
      <w:r w:rsidR="0063160A">
        <w:t xml:space="preserve">.. </w:t>
      </w:r>
      <w:r w:rsidR="00F85521">
        <w:t>33</w:t>
      </w:r>
    </w:p>
    <w:p w14:paraId="6B6268A6" w14:textId="77777777" w:rsidR="00665AA4" w:rsidRPr="00F413F7" w:rsidRDefault="00665AA4" w:rsidP="0063160A">
      <w:pPr>
        <w:rPr>
          <w:lang w:val="en-US"/>
        </w:rPr>
      </w:pPr>
    </w:p>
    <w:p w14:paraId="395591CE" w14:textId="349EAF21" w:rsidR="00665AA4" w:rsidRPr="00F413F7" w:rsidRDefault="00665AA4" w:rsidP="0063160A">
      <w:pPr>
        <w:rPr>
          <w:lang w:val="en-US"/>
        </w:rPr>
      </w:pPr>
      <w:r w:rsidRPr="00F413F7">
        <w:rPr>
          <w:b/>
          <w:lang w:val="en-US"/>
        </w:rPr>
        <w:lastRenderedPageBreak/>
        <w:t>Figure 8.</w:t>
      </w:r>
      <w:r w:rsidR="00AF43FF" w:rsidRPr="00F413F7">
        <w:t xml:space="preserve"> Glucose concentration and glucose area under the curve during 2-hour OGTT obtained by various measures</w:t>
      </w:r>
      <w:r w:rsidR="0063160A">
        <w:t>……</w:t>
      </w:r>
      <w:r w:rsidR="00DB54F0">
        <w:t>......</w:t>
      </w:r>
      <w:r w:rsidR="0063160A">
        <w:t>………………………………….. 3</w:t>
      </w:r>
      <w:r w:rsidR="00F85521">
        <w:t>6</w:t>
      </w:r>
    </w:p>
    <w:p w14:paraId="55248012" w14:textId="77777777" w:rsidR="00665AA4" w:rsidRPr="00F413F7" w:rsidRDefault="00665AA4" w:rsidP="0063160A">
      <w:pPr>
        <w:rPr>
          <w:lang w:val="en-US"/>
        </w:rPr>
      </w:pPr>
    </w:p>
    <w:p w14:paraId="745228B3" w14:textId="46B16545" w:rsidR="00665AA4" w:rsidRPr="00F413F7" w:rsidRDefault="00665AA4" w:rsidP="0063160A">
      <w:pPr>
        <w:rPr>
          <w:lang w:val="en-US"/>
        </w:rPr>
      </w:pPr>
      <w:r w:rsidRPr="00F413F7">
        <w:rPr>
          <w:b/>
          <w:lang w:val="en-US"/>
        </w:rPr>
        <w:t>Figure 9.</w:t>
      </w:r>
      <w:r w:rsidR="00F413F7" w:rsidRPr="00F413F7">
        <w:t xml:space="preserve"> Venous blood plasma insulin variables determined from 2-hour OGTT</w:t>
      </w:r>
      <w:r w:rsidR="0063160A">
        <w:t>…………</w:t>
      </w:r>
      <w:r w:rsidR="00921F88">
        <w:t>……………………………………………………………...</w:t>
      </w:r>
      <w:r w:rsidR="0063160A">
        <w:t>…. 3</w:t>
      </w:r>
      <w:r w:rsidR="00F85521">
        <w:t>7</w:t>
      </w:r>
    </w:p>
    <w:p w14:paraId="32BB3CB5" w14:textId="77777777" w:rsidR="00665AA4" w:rsidRPr="00F413F7" w:rsidRDefault="00665AA4" w:rsidP="0063160A">
      <w:pPr>
        <w:rPr>
          <w:lang w:val="en-US"/>
        </w:rPr>
      </w:pPr>
    </w:p>
    <w:p w14:paraId="5414AE24" w14:textId="1E86F191" w:rsidR="00665AA4" w:rsidRPr="00F413F7" w:rsidRDefault="00665AA4" w:rsidP="0063160A">
      <w:pPr>
        <w:rPr>
          <w:lang w:val="en-US"/>
        </w:rPr>
      </w:pPr>
      <w:r w:rsidRPr="00F413F7">
        <w:rPr>
          <w:b/>
          <w:lang w:val="en-US"/>
        </w:rPr>
        <w:t>Figure 10.</w:t>
      </w:r>
      <w:r w:rsidR="00F413F7" w:rsidRPr="00F413F7">
        <w:t xml:space="preserve"> Post-prandial blood glucose variables measured b</w:t>
      </w:r>
      <w:r w:rsidR="006F3F70">
        <w:t>y CGMS……</w:t>
      </w:r>
      <w:r w:rsidR="00DB54F0">
        <w:t>.</w:t>
      </w:r>
      <w:r w:rsidR="006F3F70">
        <w:t>….. 3</w:t>
      </w:r>
      <w:r w:rsidR="00F85521">
        <w:t>8</w:t>
      </w:r>
    </w:p>
    <w:p w14:paraId="40557171" w14:textId="77777777" w:rsidR="00665AA4" w:rsidRPr="00F413F7" w:rsidRDefault="00665AA4" w:rsidP="0063160A">
      <w:pPr>
        <w:rPr>
          <w:lang w:val="en-US"/>
        </w:rPr>
      </w:pPr>
    </w:p>
    <w:p w14:paraId="0DFEE3BF" w14:textId="39EE17ED" w:rsidR="00665AA4" w:rsidRPr="00F413F7" w:rsidRDefault="00665AA4" w:rsidP="0063160A">
      <w:pPr>
        <w:rPr>
          <w:lang w:val="en-US"/>
        </w:rPr>
      </w:pPr>
      <w:r w:rsidRPr="00F413F7">
        <w:rPr>
          <w:b/>
          <w:lang w:val="en-US"/>
        </w:rPr>
        <w:t>Figure 11.</w:t>
      </w:r>
      <w:r w:rsidR="00F413F7" w:rsidRPr="00F413F7">
        <w:t xml:space="preserve"> </w:t>
      </w:r>
      <w:proofErr w:type="gramStart"/>
      <w:r w:rsidR="00F413F7" w:rsidRPr="00F413F7">
        <w:t>Correlation between the absolute change from BL to SR in daily steps and the absolute change in capillary blood glucose concentration at the final time point of OGTT</w:t>
      </w:r>
      <w:r w:rsidR="006F3F70">
        <w:t>……</w:t>
      </w:r>
      <w:r w:rsidR="00DB54F0">
        <w:t>…………………………………………………………….</w:t>
      </w:r>
      <w:proofErr w:type="gramEnd"/>
      <w:r w:rsidR="00DB54F0">
        <w:t>.</w:t>
      </w:r>
      <w:r w:rsidR="006F3F70">
        <w:t xml:space="preserve"> </w:t>
      </w:r>
      <w:r w:rsidR="00F85521">
        <w:t>40</w:t>
      </w:r>
    </w:p>
    <w:p w14:paraId="2616524D" w14:textId="77777777" w:rsidR="00665AA4" w:rsidRPr="00F413F7" w:rsidRDefault="00665AA4" w:rsidP="0063160A">
      <w:pPr>
        <w:rPr>
          <w:lang w:val="en-US"/>
        </w:rPr>
      </w:pPr>
    </w:p>
    <w:p w14:paraId="7B102D86" w14:textId="7E18A72D" w:rsidR="002F4D94" w:rsidRDefault="00665AA4" w:rsidP="0063160A">
      <w:r w:rsidRPr="00F413F7">
        <w:rPr>
          <w:b/>
          <w:lang w:val="en-US"/>
        </w:rPr>
        <w:t>Figure 12.</w:t>
      </w:r>
      <w:r w:rsidR="00F413F7" w:rsidRPr="00F413F7">
        <w:rPr>
          <w:lang w:val="en-US"/>
        </w:rPr>
        <w:t xml:space="preserve"> </w:t>
      </w:r>
      <w:r w:rsidR="00F413F7" w:rsidRPr="00F413F7">
        <w:t>Comparison of men and women’s percentage changes from BL to SR</w:t>
      </w:r>
      <w:r w:rsidR="006F3F70">
        <w:t>…………</w:t>
      </w:r>
      <w:r w:rsidR="00DB54F0">
        <w:t>………………………………………………………………….</w:t>
      </w:r>
      <w:r w:rsidR="006F3F70">
        <w:t xml:space="preserve">…. </w:t>
      </w:r>
      <w:r w:rsidR="00F85521">
        <w:t>41</w:t>
      </w:r>
    </w:p>
    <w:p w14:paraId="2AC9DF70" w14:textId="77777777" w:rsidR="006F3F70" w:rsidRDefault="006F3F70" w:rsidP="0063160A"/>
    <w:p w14:paraId="1D8DA0CF" w14:textId="12D25F83" w:rsidR="006F3F70" w:rsidRDefault="006F3F70" w:rsidP="0063160A">
      <w:r>
        <w:rPr>
          <w:b/>
        </w:rPr>
        <w:t>Figure 13.</w:t>
      </w:r>
      <w:r w:rsidR="00921F88">
        <w:rPr>
          <w:b/>
        </w:rPr>
        <w:t xml:space="preserve"> </w:t>
      </w:r>
      <w:r w:rsidR="00921F88" w:rsidRPr="00921F88">
        <w:t>The change in leg LM from BL to SR with DXA measurement error</w:t>
      </w:r>
      <w:r w:rsidR="00921F88">
        <w:t>……………………………………………………………………………... 5</w:t>
      </w:r>
      <w:r w:rsidR="00F85521">
        <w:t>2</w:t>
      </w:r>
    </w:p>
    <w:p w14:paraId="1CA51FC3" w14:textId="77777777" w:rsidR="006F3F70" w:rsidRDefault="006F3F70" w:rsidP="0063160A"/>
    <w:p w14:paraId="05C03277" w14:textId="2BA6E94D" w:rsidR="006F3F70" w:rsidRPr="006F3F70" w:rsidRDefault="006F3F70" w:rsidP="0063160A">
      <w:pPr>
        <w:rPr>
          <w:b/>
          <w:lang w:val="en-US"/>
        </w:rPr>
      </w:pPr>
      <w:r w:rsidRPr="006F3F70">
        <w:rPr>
          <w:b/>
        </w:rPr>
        <w:t xml:space="preserve">Figure 14. </w:t>
      </w:r>
      <w:r w:rsidR="00921F88" w:rsidRPr="00921F88">
        <w:t>Individual change responses of participants (each with unique symbol) from BL to SR, organized from left to right by increasing reduction in daily steps during SR</w:t>
      </w:r>
      <w:r w:rsidR="00921F88">
        <w:t xml:space="preserve">……………………………………………………………………...... </w:t>
      </w:r>
      <w:r w:rsidR="00F85521">
        <w:t>59</w:t>
      </w:r>
    </w:p>
    <w:p w14:paraId="04A3F701" w14:textId="77777777" w:rsidR="002F4D94" w:rsidRDefault="002F4D94" w:rsidP="0063160A">
      <w:pPr>
        <w:rPr>
          <w:lang w:val="en-US"/>
        </w:rPr>
      </w:pPr>
    </w:p>
    <w:p w14:paraId="2C15B6C1" w14:textId="77777777" w:rsidR="00421B22" w:rsidRDefault="00421B22" w:rsidP="0063160A">
      <w:pPr>
        <w:rPr>
          <w:lang w:val="en-US"/>
        </w:rPr>
      </w:pPr>
    </w:p>
    <w:p w14:paraId="776E0897" w14:textId="77777777" w:rsidR="00905B9E" w:rsidRPr="00F413F7" w:rsidRDefault="00905B9E" w:rsidP="0063160A">
      <w:pPr>
        <w:rPr>
          <w:lang w:val="en-US"/>
        </w:rPr>
      </w:pPr>
    </w:p>
    <w:p w14:paraId="0DC4E67E" w14:textId="3D50F81A" w:rsidR="002F4D94" w:rsidRPr="00F413F7" w:rsidRDefault="002F4D94" w:rsidP="0063160A">
      <w:pPr>
        <w:rPr>
          <w:lang w:val="en-US"/>
        </w:rPr>
      </w:pPr>
      <w:r w:rsidRPr="00F413F7">
        <w:rPr>
          <w:b/>
          <w:lang w:val="en-US"/>
        </w:rPr>
        <w:t>Table 1.</w:t>
      </w:r>
      <w:r w:rsidR="00AF43FF" w:rsidRPr="00F413F7">
        <w:t xml:space="preserve"> Summary of available studies involving step-reduction </w:t>
      </w:r>
      <w:proofErr w:type="gramStart"/>
      <w:r w:rsidR="00AF43FF" w:rsidRPr="00F413F7">
        <w:t>protocol</w:t>
      </w:r>
      <w:r w:rsidR="00DB54F0">
        <w:t>s…</w:t>
      </w:r>
      <w:r w:rsidR="0063160A">
        <w:t>…</w:t>
      </w:r>
      <w:proofErr w:type="gramEnd"/>
      <w:r w:rsidR="0063160A">
        <w:t xml:space="preserve"> 1</w:t>
      </w:r>
      <w:r w:rsidR="00F85521">
        <w:t>5</w:t>
      </w:r>
    </w:p>
    <w:p w14:paraId="6C144B6E" w14:textId="77777777" w:rsidR="002F4D94" w:rsidRPr="00F413F7" w:rsidRDefault="002F4D94" w:rsidP="0063160A">
      <w:pPr>
        <w:rPr>
          <w:lang w:val="en-US"/>
        </w:rPr>
      </w:pPr>
    </w:p>
    <w:p w14:paraId="619EA9DA" w14:textId="664AE212" w:rsidR="002F4D94" w:rsidRPr="00F413F7" w:rsidRDefault="002F4D94" w:rsidP="0063160A">
      <w:pPr>
        <w:rPr>
          <w:lang w:val="en-US"/>
        </w:rPr>
      </w:pPr>
      <w:r w:rsidRPr="00F413F7">
        <w:rPr>
          <w:b/>
          <w:lang w:val="en-US"/>
        </w:rPr>
        <w:t>Table 2.</w:t>
      </w:r>
      <w:r w:rsidR="00AF43FF" w:rsidRPr="00F413F7">
        <w:t xml:space="preserve"> Summary of diet characteristics provided on the free-living day of CGMS measurements</w:t>
      </w:r>
      <w:r w:rsidR="00DB54F0">
        <w:t>.…………………………</w:t>
      </w:r>
      <w:r w:rsidR="0063160A">
        <w:t>……………………</w:t>
      </w:r>
      <w:r w:rsidR="00DB54F0">
        <w:t>..</w:t>
      </w:r>
      <w:r w:rsidR="0063160A">
        <w:t>……</w:t>
      </w:r>
      <w:r w:rsidR="00DB54F0">
        <w:t>……</w:t>
      </w:r>
      <w:r w:rsidR="0063160A">
        <w:t xml:space="preserve"> 2</w:t>
      </w:r>
      <w:r w:rsidR="00F85521">
        <w:t>8</w:t>
      </w:r>
    </w:p>
    <w:p w14:paraId="206FF61C" w14:textId="77777777" w:rsidR="002F4D94" w:rsidRPr="00F413F7" w:rsidRDefault="002F4D94" w:rsidP="0063160A">
      <w:pPr>
        <w:rPr>
          <w:lang w:val="en-US"/>
        </w:rPr>
      </w:pPr>
    </w:p>
    <w:p w14:paraId="02415496" w14:textId="61CFCA91" w:rsidR="002F4D94" w:rsidRPr="00F413F7" w:rsidRDefault="002F4D94" w:rsidP="0063160A">
      <w:pPr>
        <w:rPr>
          <w:lang w:val="en-US"/>
        </w:rPr>
      </w:pPr>
      <w:r w:rsidRPr="00F413F7">
        <w:rPr>
          <w:b/>
          <w:lang w:val="en-US"/>
        </w:rPr>
        <w:t>Table 3.</w:t>
      </w:r>
      <w:r w:rsidR="00AF43FF" w:rsidRPr="00F413F7">
        <w:t xml:space="preserve"> Summary of participant characteristics</w:t>
      </w:r>
      <w:r w:rsidR="0063160A">
        <w:t>………</w:t>
      </w:r>
      <w:r w:rsidR="00DB54F0">
        <w:t>....</w:t>
      </w:r>
      <w:r w:rsidR="0063160A">
        <w:t xml:space="preserve">…………………….. </w:t>
      </w:r>
      <w:r w:rsidR="00F85521">
        <w:t>31</w:t>
      </w:r>
    </w:p>
    <w:p w14:paraId="5B07B380" w14:textId="77777777" w:rsidR="002F4D94" w:rsidRPr="00F413F7" w:rsidRDefault="002F4D94" w:rsidP="0063160A">
      <w:pPr>
        <w:rPr>
          <w:lang w:val="en-US"/>
        </w:rPr>
      </w:pPr>
    </w:p>
    <w:p w14:paraId="517E22AB" w14:textId="7B9B0A71" w:rsidR="002F4D94" w:rsidRPr="00F413F7" w:rsidRDefault="002F4D94" w:rsidP="0063160A">
      <w:pPr>
        <w:rPr>
          <w:lang w:val="en-US"/>
        </w:rPr>
      </w:pPr>
      <w:r w:rsidRPr="00F413F7">
        <w:rPr>
          <w:b/>
          <w:lang w:val="en-US"/>
        </w:rPr>
        <w:t>Table 4.</w:t>
      </w:r>
      <w:r w:rsidR="00AF43FF" w:rsidRPr="00F413F7">
        <w:rPr>
          <w:b/>
        </w:rPr>
        <w:t xml:space="preserve"> </w:t>
      </w:r>
      <w:r w:rsidR="00AF43FF" w:rsidRPr="00F413F7">
        <w:t>Summary of body composition characteristics as measured by DX</w:t>
      </w:r>
      <w:r w:rsidR="0063160A">
        <w:t>A</w:t>
      </w:r>
      <w:r w:rsidR="00DB54F0">
        <w:t>......................................................................................................................</w:t>
      </w:r>
      <w:r w:rsidR="0063160A">
        <w:t xml:space="preserve"> </w:t>
      </w:r>
      <w:r w:rsidR="00F85521">
        <w:t>31</w:t>
      </w:r>
    </w:p>
    <w:p w14:paraId="2B018AFA" w14:textId="77777777" w:rsidR="002F4D94" w:rsidRPr="00F413F7" w:rsidRDefault="002F4D94" w:rsidP="0063160A">
      <w:pPr>
        <w:rPr>
          <w:lang w:val="en-US"/>
        </w:rPr>
      </w:pPr>
    </w:p>
    <w:p w14:paraId="753D54AF" w14:textId="05EC953A" w:rsidR="002F4D94" w:rsidRPr="00F413F7" w:rsidRDefault="002F4D94" w:rsidP="0063160A">
      <w:pPr>
        <w:rPr>
          <w:lang w:val="en-US"/>
        </w:rPr>
      </w:pPr>
      <w:r w:rsidRPr="00F413F7">
        <w:rPr>
          <w:b/>
          <w:lang w:val="en-US"/>
        </w:rPr>
        <w:t>Table 5.</w:t>
      </w:r>
      <w:r w:rsidR="00AF43FF" w:rsidRPr="00F413F7">
        <w:rPr>
          <w:b/>
        </w:rPr>
        <w:t xml:space="preserve"> </w:t>
      </w:r>
      <w:r w:rsidR="00AF43FF" w:rsidRPr="00F413F7">
        <w:t>Summary of physical performance measures</w:t>
      </w:r>
      <w:r w:rsidR="0063160A">
        <w:t>………………………</w:t>
      </w:r>
      <w:r w:rsidR="00DB54F0">
        <w:t>………………………………</w:t>
      </w:r>
      <w:r w:rsidR="0063160A">
        <w:t xml:space="preserve">……………….... </w:t>
      </w:r>
      <w:r w:rsidR="00F85521">
        <w:t>34</w:t>
      </w:r>
    </w:p>
    <w:p w14:paraId="4BCBE473" w14:textId="77777777" w:rsidR="002F4D94" w:rsidRPr="00F413F7" w:rsidRDefault="002F4D94" w:rsidP="0063160A">
      <w:pPr>
        <w:rPr>
          <w:lang w:val="en-US"/>
        </w:rPr>
      </w:pPr>
    </w:p>
    <w:p w14:paraId="6807EF89" w14:textId="6025956E" w:rsidR="002F4D94" w:rsidRPr="00F413F7" w:rsidRDefault="002F4D94" w:rsidP="0063160A">
      <w:pPr>
        <w:rPr>
          <w:lang w:val="en-US"/>
        </w:rPr>
      </w:pPr>
      <w:r w:rsidRPr="00F413F7">
        <w:rPr>
          <w:b/>
          <w:lang w:val="en-US"/>
        </w:rPr>
        <w:t>Table 6.</w:t>
      </w:r>
      <w:r w:rsidR="00F413F7" w:rsidRPr="00F413F7">
        <w:rPr>
          <w:b/>
        </w:rPr>
        <w:t xml:space="preserve"> </w:t>
      </w:r>
      <w:r w:rsidR="00F413F7" w:rsidRPr="00F413F7">
        <w:t xml:space="preserve">Summary of glycemic control during OGTT and free-living conditions measured via </w:t>
      </w:r>
      <w:r w:rsidR="00F413F7" w:rsidRPr="006F3F70">
        <w:t>capillary blood finger prick testing and CGMS</w:t>
      </w:r>
      <w:r w:rsidR="006F3F70" w:rsidRPr="006F3F70">
        <w:t>……</w:t>
      </w:r>
      <w:r w:rsidR="00DB54F0">
        <w:t>......</w:t>
      </w:r>
      <w:r w:rsidR="006F3F70" w:rsidRPr="006F3F70">
        <w:t>……</w:t>
      </w:r>
      <w:r w:rsidR="006F3F70">
        <w:t>…...</w:t>
      </w:r>
      <w:r w:rsidR="006F3F70" w:rsidRPr="006F3F70">
        <w:t>. 3</w:t>
      </w:r>
      <w:r w:rsidR="00F85521">
        <w:t>9</w:t>
      </w:r>
    </w:p>
    <w:p w14:paraId="6E2D98B2" w14:textId="77777777" w:rsidR="006F3F70" w:rsidRDefault="006F3F70" w:rsidP="001C66DE">
      <w:pPr>
        <w:rPr>
          <w:rFonts w:cs="Times New Roman"/>
          <w:b/>
          <w:lang w:val="en-US"/>
        </w:rPr>
      </w:pPr>
    </w:p>
    <w:p w14:paraId="6647DC53" w14:textId="77777777" w:rsidR="006F3F70" w:rsidRDefault="006F3F70" w:rsidP="001C66DE">
      <w:pPr>
        <w:rPr>
          <w:rFonts w:cs="Times New Roman"/>
          <w:b/>
          <w:lang w:val="en-US"/>
        </w:rPr>
      </w:pPr>
    </w:p>
    <w:p w14:paraId="58028452" w14:textId="77777777" w:rsidR="00893E61" w:rsidRDefault="00893E61" w:rsidP="001C66DE">
      <w:pPr>
        <w:rPr>
          <w:rFonts w:cs="Times New Roman"/>
          <w:b/>
          <w:lang w:val="en-US"/>
        </w:rPr>
      </w:pPr>
    </w:p>
    <w:p w14:paraId="739B20FE" w14:textId="77777777" w:rsidR="00893E61" w:rsidRDefault="00893E61" w:rsidP="001C66DE">
      <w:pPr>
        <w:rPr>
          <w:rFonts w:cs="Times New Roman"/>
          <w:b/>
          <w:lang w:val="en-US"/>
        </w:rPr>
      </w:pPr>
    </w:p>
    <w:p w14:paraId="214D9CFF" w14:textId="77777777" w:rsidR="00893E61" w:rsidRDefault="00893E61" w:rsidP="001C66DE">
      <w:pPr>
        <w:rPr>
          <w:rFonts w:cs="Times New Roman"/>
          <w:b/>
          <w:lang w:val="en-US"/>
        </w:rPr>
      </w:pPr>
    </w:p>
    <w:p w14:paraId="71E97208" w14:textId="735FE959" w:rsidR="00B6795F" w:rsidRPr="00E61A84" w:rsidRDefault="0020069E" w:rsidP="001C66DE">
      <w:pPr>
        <w:rPr>
          <w:rFonts w:cs="Times New Roman"/>
          <w:b/>
          <w:lang w:val="en-US"/>
        </w:rPr>
      </w:pPr>
      <w:r w:rsidRPr="00E61A84">
        <w:rPr>
          <w:rFonts w:cs="Times New Roman"/>
          <w:b/>
          <w:lang w:val="en-US"/>
        </w:rPr>
        <w:lastRenderedPageBreak/>
        <w:t xml:space="preserve">LIST OF </w:t>
      </w:r>
      <w:r w:rsidR="00680FAD">
        <w:rPr>
          <w:rFonts w:cs="Times New Roman"/>
          <w:b/>
          <w:lang w:val="en-US"/>
        </w:rPr>
        <w:t xml:space="preserve">SYMBOLS AND </w:t>
      </w:r>
      <w:r w:rsidRPr="00E61A84">
        <w:rPr>
          <w:rFonts w:cs="Times New Roman"/>
          <w:b/>
          <w:lang w:val="en-US"/>
        </w:rPr>
        <w:t>ABBREVIATIONS</w:t>
      </w:r>
    </w:p>
    <w:p w14:paraId="60488AF3" w14:textId="77777777" w:rsidR="00297998" w:rsidRDefault="00297998" w:rsidP="001C66DE">
      <w:pPr>
        <w:rPr>
          <w:rFonts w:cs="Times New Roman"/>
          <w:lang w:val="en-US"/>
        </w:rPr>
      </w:pPr>
    </w:p>
    <w:p w14:paraId="192D7D17" w14:textId="01249474" w:rsidR="00680FAD" w:rsidRDefault="00680FAD" w:rsidP="001C66DE">
      <w:pPr>
        <w:rPr>
          <w:rFonts w:cs="Times New Roman"/>
          <w:lang w:val="en-US"/>
        </w:rPr>
      </w:pPr>
      <w:r>
        <w:rPr>
          <w:rFonts w:cs="Times New Roman"/>
          <w:lang w:val="en-US"/>
        </w:rPr>
        <w:t>∆</w:t>
      </w:r>
      <w:r>
        <w:rPr>
          <w:rFonts w:cs="Times New Roman"/>
          <w:lang w:val="en-US"/>
        </w:rPr>
        <w:tab/>
      </w:r>
      <w:r>
        <w:rPr>
          <w:rFonts w:cs="Times New Roman"/>
          <w:lang w:val="en-US"/>
        </w:rPr>
        <w:tab/>
        <w:t>change</w:t>
      </w:r>
    </w:p>
    <w:p w14:paraId="62E54700" w14:textId="77777777" w:rsidR="00262FF3" w:rsidRDefault="00262FF3" w:rsidP="001C66DE">
      <w:pPr>
        <w:rPr>
          <w:rFonts w:cs="Times New Roman"/>
          <w:lang w:val="en-US"/>
        </w:rPr>
      </w:pPr>
      <w:r>
        <w:rPr>
          <w:rFonts w:cs="Times New Roman"/>
          <w:lang w:val="en-US"/>
        </w:rPr>
        <w:t>30CS</w:t>
      </w:r>
      <w:r>
        <w:rPr>
          <w:rFonts w:cs="Times New Roman"/>
          <w:lang w:val="en-US"/>
        </w:rPr>
        <w:tab/>
      </w:r>
      <w:r>
        <w:rPr>
          <w:rFonts w:cs="Times New Roman"/>
          <w:lang w:val="en-US"/>
        </w:rPr>
        <w:tab/>
        <w:t>30-second chair stand</w:t>
      </w:r>
    </w:p>
    <w:p w14:paraId="10E1A7FD" w14:textId="77777777" w:rsidR="00262FF3" w:rsidRDefault="00262FF3" w:rsidP="001C66DE">
      <w:pPr>
        <w:rPr>
          <w:rFonts w:cs="Times New Roman"/>
          <w:lang w:val="en-US"/>
        </w:rPr>
      </w:pPr>
      <w:r>
        <w:rPr>
          <w:rFonts w:cs="Times New Roman"/>
          <w:lang w:val="en-US"/>
        </w:rPr>
        <w:t>ADL</w:t>
      </w:r>
      <w:r>
        <w:rPr>
          <w:rFonts w:cs="Times New Roman"/>
          <w:lang w:val="en-US"/>
        </w:rPr>
        <w:tab/>
      </w:r>
      <w:r>
        <w:rPr>
          <w:rFonts w:cs="Times New Roman"/>
          <w:lang w:val="en-US"/>
        </w:rPr>
        <w:tab/>
        <w:t>activities of daily living</w:t>
      </w:r>
    </w:p>
    <w:p w14:paraId="7CD4491C" w14:textId="7705B978" w:rsidR="00262FF3" w:rsidRDefault="00262FF3" w:rsidP="001C66DE">
      <w:pPr>
        <w:rPr>
          <w:rFonts w:cs="Times New Roman"/>
          <w:lang w:val="en-US"/>
        </w:rPr>
      </w:pPr>
      <w:r>
        <w:rPr>
          <w:rFonts w:cs="Times New Roman"/>
          <w:lang w:val="en-US"/>
        </w:rPr>
        <w:t>ALM</w:t>
      </w:r>
      <w:r>
        <w:rPr>
          <w:rFonts w:cs="Times New Roman"/>
          <w:lang w:val="en-US"/>
        </w:rPr>
        <w:tab/>
      </w:r>
      <w:r>
        <w:rPr>
          <w:rFonts w:cs="Times New Roman"/>
          <w:lang w:val="en-US"/>
        </w:rPr>
        <w:tab/>
        <w:t>appendicular lean mass</w:t>
      </w:r>
    </w:p>
    <w:p w14:paraId="3BF65859" w14:textId="77777777" w:rsidR="00262FF3" w:rsidRDefault="00262FF3" w:rsidP="001C66DE">
      <w:pPr>
        <w:rPr>
          <w:rFonts w:cs="Times New Roman"/>
          <w:lang w:val="en-US"/>
        </w:rPr>
      </w:pPr>
      <w:r>
        <w:rPr>
          <w:rFonts w:cs="Times New Roman"/>
          <w:lang w:val="en-US"/>
        </w:rPr>
        <w:t>CGMS</w:t>
      </w:r>
      <w:r>
        <w:rPr>
          <w:rFonts w:cs="Times New Roman"/>
          <w:lang w:val="en-US"/>
        </w:rPr>
        <w:tab/>
      </w:r>
      <w:r>
        <w:rPr>
          <w:rFonts w:cs="Times New Roman"/>
          <w:lang w:val="en-US"/>
        </w:rPr>
        <w:tab/>
        <w:t>continuous glucose monitoring system</w:t>
      </w:r>
    </w:p>
    <w:p w14:paraId="74A81416" w14:textId="77777777" w:rsidR="00262FF3" w:rsidRDefault="00262FF3" w:rsidP="001C66DE">
      <w:pPr>
        <w:rPr>
          <w:rFonts w:cs="Times New Roman"/>
          <w:lang w:val="en-US"/>
        </w:rPr>
      </w:pPr>
      <w:r>
        <w:rPr>
          <w:rFonts w:cs="Times New Roman"/>
          <w:lang w:val="en-US"/>
        </w:rPr>
        <w:t>CVD</w:t>
      </w:r>
      <w:r>
        <w:rPr>
          <w:rFonts w:cs="Times New Roman"/>
          <w:lang w:val="en-US"/>
        </w:rPr>
        <w:tab/>
      </w:r>
      <w:r>
        <w:rPr>
          <w:rFonts w:cs="Times New Roman"/>
          <w:lang w:val="en-US"/>
        </w:rPr>
        <w:tab/>
        <w:t>cardiovascular disease</w:t>
      </w:r>
    </w:p>
    <w:p w14:paraId="6712472E" w14:textId="43419EE8" w:rsidR="00521CBD" w:rsidRDefault="00521CBD" w:rsidP="001C66DE">
      <w:pPr>
        <w:rPr>
          <w:rFonts w:cs="Times New Roman"/>
          <w:lang w:val="en-US"/>
        </w:rPr>
      </w:pPr>
      <w:r>
        <w:rPr>
          <w:rFonts w:cs="Times New Roman"/>
          <w:lang w:val="en-US"/>
        </w:rPr>
        <w:t>DEE</w:t>
      </w:r>
      <w:r>
        <w:rPr>
          <w:rFonts w:cs="Times New Roman"/>
          <w:lang w:val="en-US"/>
        </w:rPr>
        <w:tab/>
      </w:r>
      <w:r>
        <w:rPr>
          <w:rFonts w:cs="Times New Roman"/>
          <w:lang w:val="en-US"/>
        </w:rPr>
        <w:tab/>
        <w:t>daily energy expenditure</w:t>
      </w:r>
    </w:p>
    <w:p w14:paraId="6F179450" w14:textId="77777777" w:rsidR="00262FF3" w:rsidRDefault="00262FF3" w:rsidP="001C66DE">
      <w:pPr>
        <w:rPr>
          <w:rFonts w:cs="Times New Roman"/>
          <w:lang w:val="en-US"/>
        </w:rPr>
      </w:pPr>
      <w:r>
        <w:rPr>
          <w:rFonts w:cs="Times New Roman"/>
          <w:lang w:val="en-US"/>
        </w:rPr>
        <w:t>DXA</w:t>
      </w:r>
      <w:r>
        <w:rPr>
          <w:rFonts w:cs="Times New Roman"/>
          <w:lang w:val="en-US"/>
        </w:rPr>
        <w:tab/>
      </w:r>
      <w:r>
        <w:rPr>
          <w:rFonts w:cs="Times New Roman"/>
          <w:lang w:val="en-US"/>
        </w:rPr>
        <w:tab/>
        <w:t>dual-energy x-ray absorptiometry</w:t>
      </w:r>
    </w:p>
    <w:p w14:paraId="76A1B8DF" w14:textId="77777777" w:rsidR="00262FF3" w:rsidRDefault="00262FF3" w:rsidP="001C66DE">
      <w:pPr>
        <w:rPr>
          <w:rFonts w:cs="Times New Roman"/>
          <w:lang w:val="en-US"/>
        </w:rPr>
      </w:pPr>
      <w:r>
        <w:rPr>
          <w:rFonts w:cs="Times New Roman"/>
          <w:lang w:val="en-US"/>
        </w:rPr>
        <w:t>FFM</w:t>
      </w:r>
      <w:r>
        <w:rPr>
          <w:rFonts w:cs="Times New Roman"/>
          <w:lang w:val="en-US"/>
        </w:rPr>
        <w:tab/>
      </w:r>
      <w:r>
        <w:rPr>
          <w:rFonts w:cs="Times New Roman"/>
          <w:lang w:val="en-US"/>
        </w:rPr>
        <w:tab/>
        <w:t>fat-free mass</w:t>
      </w:r>
    </w:p>
    <w:p w14:paraId="353E2DEF" w14:textId="77777777" w:rsidR="00262FF3" w:rsidRDefault="00262FF3" w:rsidP="001C66DE">
      <w:pPr>
        <w:rPr>
          <w:rFonts w:cs="Times New Roman"/>
          <w:lang w:val="en-US"/>
        </w:rPr>
      </w:pPr>
      <w:r>
        <w:rPr>
          <w:rFonts w:cs="Times New Roman"/>
          <w:lang w:val="en-US"/>
        </w:rPr>
        <w:t>FM</w:t>
      </w:r>
      <w:r>
        <w:rPr>
          <w:rFonts w:cs="Times New Roman"/>
          <w:lang w:val="en-US"/>
        </w:rPr>
        <w:tab/>
      </w:r>
      <w:r>
        <w:rPr>
          <w:rFonts w:cs="Times New Roman"/>
          <w:lang w:val="en-US"/>
        </w:rPr>
        <w:tab/>
        <w:t>fat mass</w:t>
      </w:r>
    </w:p>
    <w:p w14:paraId="71498ABB" w14:textId="6DE485BE" w:rsidR="00262FF3" w:rsidRDefault="00262FF3" w:rsidP="001C66DE">
      <w:pPr>
        <w:rPr>
          <w:rFonts w:cs="Times New Roman"/>
          <w:lang w:val="en-US"/>
        </w:rPr>
      </w:pPr>
      <w:r>
        <w:rPr>
          <w:rFonts w:cs="Times New Roman"/>
          <w:lang w:val="en-US"/>
        </w:rPr>
        <w:t>HOMA-IR</w:t>
      </w:r>
      <w:r>
        <w:rPr>
          <w:rFonts w:cs="Times New Roman"/>
          <w:lang w:val="en-US"/>
        </w:rPr>
        <w:tab/>
        <w:t xml:space="preserve">homeostatic model </w:t>
      </w:r>
      <w:r w:rsidR="00640465">
        <w:rPr>
          <w:rFonts w:cs="Times New Roman"/>
          <w:lang w:val="en-US"/>
        </w:rPr>
        <w:t xml:space="preserve">assessment </w:t>
      </w:r>
      <w:r>
        <w:rPr>
          <w:rFonts w:cs="Times New Roman"/>
          <w:lang w:val="en-US"/>
        </w:rPr>
        <w:t>of insulin resistance</w:t>
      </w:r>
    </w:p>
    <w:p w14:paraId="209CB7D5" w14:textId="37452339" w:rsidR="00DB4F02" w:rsidRDefault="00DB4F02" w:rsidP="001C66DE">
      <w:pPr>
        <w:rPr>
          <w:rFonts w:cs="Times New Roman"/>
          <w:lang w:val="en-US"/>
        </w:rPr>
      </w:pPr>
      <w:r>
        <w:rPr>
          <w:rFonts w:cs="Times New Roman"/>
          <w:lang w:val="en-US"/>
        </w:rPr>
        <w:t>HR</w:t>
      </w:r>
      <w:r>
        <w:rPr>
          <w:rFonts w:cs="Times New Roman"/>
          <w:lang w:val="en-US"/>
        </w:rPr>
        <w:tab/>
      </w:r>
      <w:r>
        <w:rPr>
          <w:rFonts w:cs="Times New Roman"/>
          <w:lang w:val="en-US"/>
        </w:rPr>
        <w:tab/>
        <w:t>heart rate</w:t>
      </w:r>
    </w:p>
    <w:p w14:paraId="2FEC72E8" w14:textId="1D00EA27" w:rsidR="00DB54F0" w:rsidRDefault="00DB54F0" w:rsidP="001C66DE">
      <w:pPr>
        <w:rPr>
          <w:rFonts w:cs="Times New Roman"/>
          <w:lang w:val="en-US"/>
        </w:rPr>
      </w:pPr>
      <w:r>
        <w:rPr>
          <w:rFonts w:cs="Times New Roman"/>
          <w:lang w:val="en-US"/>
        </w:rPr>
        <w:t>IAFM</w:t>
      </w:r>
      <w:r>
        <w:rPr>
          <w:rFonts w:cs="Times New Roman"/>
          <w:lang w:val="en-US"/>
        </w:rPr>
        <w:tab/>
      </w:r>
      <w:r>
        <w:rPr>
          <w:rFonts w:cs="Times New Roman"/>
          <w:lang w:val="en-US"/>
        </w:rPr>
        <w:tab/>
        <w:t>intra-abdominal fat mass</w:t>
      </w:r>
    </w:p>
    <w:p w14:paraId="7EF7FF1F" w14:textId="18AE4995" w:rsidR="00262FF3" w:rsidRDefault="00262FF3" w:rsidP="001C66DE">
      <w:pPr>
        <w:rPr>
          <w:rFonts w:cs="Times New Roman"/>
          <w:lang w:val="en-US"/>
        </w:rPr>
      </w:pPr>
      <w:r>
        <w:rPr>
          <w:rFonts w:cs="Times New Roman"/>
          <w:lang w:val="en-US"/>
        </w:rPr>
        <w:t>ISI</w:t>
      </w:r>
      <w:r>
        <w:rPr>
          <w:rFonts w:cs="Times New Roman"/>
          <w:lang w:val="en-US"/>
        </w:rPr>
        <w:tab/>
      </w:r>
      <w:r>
        <w:rPr>
          <w:rFonts w:cs="Times New Roman"/>
          <w:lang w:val="en-US"/>
        </w:rPr>
        <w:tab/>
        <w:t>insulin sensitivity index</w:t>
      </w:r>
    </w:p>
    <w:p w14:paraId="0F4EDFEB" w14:textId="38ADB1D5" w:rsidR="00262FF3" w:rsidRDefault="00262FF3" w:rsidP="001C66DE">
      <w:pPr>
        <w:rPr>
          <w:rFonts w:cs="Times New Roman"/>
          <w:lang w:val="en-US"/>
        </w:rPr>
      </w:pPr>
      <w:r>
        <w:rPr>
          <w:rFonts w:cs="Times New Roman"/>
          <w:lang w:val="en-US"/>
        </w:rPr>
        <w:t>ISO-MVC</w:t>
      </w:r>
      <w:r>
        <w:rPr>
          <w:rFonts w:cs="Times New Roman"/>
          <w:lang w:val="en-US"/>
        </w:rPr>
        <w:tab/>
        <w:t>isometric maximal voluntary contractions</w:t>
      </w:r>
    </w:p>
    <w:p w14:paraId="773E7F97" w14:textId="33B1BA9E" w:rsidR="009D64FB" w:rsidRDefault="009D64FB" w:rsidP="001C66DE">
      <w:pPr>
        <w:rPr>
          <w:rFonts w:cs="Times New Roman"/>
          <w:lang w:val="en-US"/>
        </w:rPr>
      </w:pPr>
      <w:r>
        <w:rPr>
          <w:rFonts w:cs="Times New Roman"/>
          <w:lang w:val="en-US"/>
        </w:rPr>
        <w:t>LM</w:t>
      </w:r>
      <w:r>
        <w:rPr>
          <w:rFonts w:cs="Times New Roman"/>
          <w:lang w:val="en-US"/>
        </w:rPr>
        <w:tab/>
      </w:r>
      <w:r>
        <w:rPr>
          <w:rFonts w:cs="Times New Roman"/>
          <w:lang w:val="en-US"/>
        </w:rPr>
        <w:tab/>
        <w:t>lean tissue mass</w:t>
      </w:r>
    </w:p>
    <w:p w14:paraId="7E4554FA" w14:textId="5FF0EC7F" w:rsidR="00262FF3" w:rsidRDefault="00262FF3" w:rsidP="001C66DE">
      <w:pPr>
        <w:rPr>
          <w:rFonts w:cs="Times New Roman"/>
          <w:lang w:val="en-US"/>
        </w:rPr>
      </w:pPr>
      <w:r>
        <w:rPr>
          <w:rFonts w:cs="Times New Roman"/>
          <w:lang w:val="en-US"/>
        </w:rPr>
        <w:t>MPB</w:t>
      </w:r>
      <w:r>
        <w:rPr>
          <w:rFonts w:cs="Times New Roman"/>
          <w:lang w:val="en-US"/>
        </w:rPr>
        <w:tab/>
      </w:r>
      <w:r>
        <w:rPr>
          <w:rFonts w:cs="Times New Roman"/>
          <w:lang w:val="en-US"/>
        </w:rPr>
        <w:tab/>
        <w:t>muscle protein breakdown</w:t>
      </w:r>
    </w:p>
    <w:p w14:paraId="44D9F3FB" w14:textId="77777777" w:rsidR="00262FF3" w:rsidRDefault="00262FF3" w:rsidP="001C66DE">
      <w:pPr>
        <w:rPr>
          <w:rFonts w:cs="Times New Roman"/>
          <w:lang w:val="en-US"/>
        </w:rPr>
      </w:pPr>
      <w:r>
        <w:rPr>
          <w:rFonts w:cs="Times New Roman"/>
          <w:lang w:val="en-US"/>
        </w:rPr>
        <w:t>MPS</w:t>
      </w:r>
      <w:r>
        <w:rPr>
          <w:rFonts w:cs="Times New Roman"/>
          <w:lang w:val="en-US"/>
        </w:rPr>
        <w:tab/>
      </w:r>
      <w:r>
        <w:rPr>
          <w:rFonts w:cs="Times New Roman"/>
          <w:lang w:val="en-US"/>
        </w:rPr>
        <w:tab/>
        <w:t>muscle protein synthesis</w:t>
      </w:r>
    </w:p>
    <w:p w14:paraId="472392AA" w14:textId="3ABE5BF3" w:rsidR="00DB54F0" w:rsidRDefault="00DB54F0" w:rsidP="001C66DE">
      <w:pPr>
        <w:rPr>
          <w:rFonts w:cs="Times New Roman"/>
          <w:lang w:val="en-US"/>
        </w:rPr>
      </w:pPr>
      <w:r>
        <w:rPr>
          <w:rFonts w:cs="Times New Roman"/>
          <w:lang w:val="en-US"/>
        </w:rPr>
        <w:t>MRI</w:t>
      </w:r>
      <w:r>
        <w:rPr>
          <w:rFonts w:cs="Times New Roman"/>
          <w:lang w:val="en-US"/>
        </w:rPr>
        <w:tab/>
      </w:r>
      <w:r>
        <w:rPr>
          <w:rFonts w:cs="Times New Roman"/>
          <w:lang w:val="en-US"/>
        </w:rPr>
        <w:tab/>
        <w:t>magnetic resonance imaging</w:t>
      </w:r>
    </w:p>
    <w:p w14:paraId="033CA0BA" w14:textId="47EEB6A4" w:rsidR="008D4936" w:rsidRDefault="008D4936" w:rsidP="001C66DE">
      <w:pPr>
        <w:rPr>
          <w:rFonts w:cs="Times New Roman"/>
          <w:lang w:val="en-US"/>
        </w:rPr>
      </w:pPr>
      <w:r>
        <w:rPr>
          <w:rFonts w:cs="Times New Roman"/>
          <w:lang w:val="en-US"/>
        </w:rPr>
        <w:t>NS</w:t>
      </w:r>
      <w:r>
        <w:rPr>
          <w:rFonts w:cs="Times New Roman"/>
          <w:lang w:val="en-US"/>
        </w:rPr>
        <w:tab/>
      </w:r>
      <w:r>
        <w:rPr>
          <w:rFonts w:cs="Times New Roman"/>
          <w:lang w:val="en-US"/>
        </w:rPr>
        <w:tab/>
        <w:t>non-significant</w:t>
      </w:r>
    </w:p>
    <w:p w14:paraId="7871B314" w14:textId="77777777" w:rsidR="00262FF3" w:rsidRDefault="00262FF3" w:rsidP="001C66DE">
      <w:pPr>
        <w:rPr>
          <w:rFonts w:cs="Times New Roman"/>
          <w:lang w:val="en-US"/>
        </w:rPr>
      </w:pPr>
      <w:r>
        <w:rPr>
          <w:rFonts w:cs="Times New Roman"/>
          <w:lang w:val="en-US"/>
        </w:rPr>
        <w:t>OGTT</w:t>
      </w:r>
      <w:r>
        <w:rPr>
          <w:rFonts w:cs="Times New Roman"/>
          <w:lang w:val="en-US"/>
        </w:rPr>
        <w:tab/>
      </w:r>
      <w:r>
        <w:rPr>
          <w:rFonts w:cs="Times New Roman"/>
          <w:lang w:val="en-US"/>
        </w:rPr>
        <w:tab/>
        <w:t>oral glucose tolerance test</w:t>
      </w:r>
    </w:p>
    <w:p w14:paraId="1060C6E5" w14:textId="6BBAEAF2" w:rsidR="00262FF3" w:rsidRDefault="00262FF3" w:rsidP="001C66DE">
      <w:pPr>
        <w:rPr>
          <w:rFonts w:cs="Times New Roman"/>
          <w:lang w:val="en-US"/>
        </w:rPr>
      </w:pPr>
      <w:r>
        <w:rPr>
          <w:rFonts w:cs="Times New Roman"/>
          <w:lang w:val="en-US"/>
        </w:rPr>
        <w:t>PA</w:t>
      </w:r>
      <w:r>
        <w:rPr>
          <w:rFonts w:cs="Times New Roman"/>
          <w:lang w:val="en-US"/>
        </w:rPr>
        <w:tab/>
      </w:r>
      <w:r>
        <w:rPr>
          <w:rFonts w:cs="Times New Roman"/>
          <w:lang w:val="en-US"/>
        </w:rPr>
        <w:tab/>
        <w:t>physical activity</w:t>
      </w:r>
    </w:p>
    <w:p w14:paraId="6DCCD9A7" w14:textId="66C6BBE0" w:rsidR="00835D2E" w:rsidRDefault="00835D2E" w:rsidP="001C66DE">
      <w:pPr>
        <w:rPr>
          <w:rFonts w:cs="Times New Roman"/>
          <w:lang w:val="en-US"/>
        </w:rPr>
      </w:pPr>
      <w:r>
        <w:rPr>
          <w:rFonts w:cs="Times New Roman"/>
          <w:lang w:val="en-US"/>
        </w:rPr>
        <w:t>PPG</w:t>
      </w:r>
      <w:r>
        <w:rPr>
          <w:rFonts w:cs="Times New Roman"/>
          <w:lang w:val="en-US"/>
        </w:rPr>
        <w:tab/>
      </w:r>
      <w:r>
        <w:rPr>
          <w:rFonts w:cs="Times New Roman"/>
          <w:lang w:val="en-US"/>
        </w:rPr>
        <w:tab/>
        <w:t>post-prandial glucose</w:t>
      </w:r>
    </w:p>
    <w:p w14:paraId="31A92C00" w14:textId="4209DC22" w:rsidR="00262FF3" w:rsidRDefault="00262FF3" w:rsidP="001C66DE">
      <w:pPr>
        <w:rPr>
          <w:rFonts w:cs="Times New Roman"/>
          <w:lang w:val="en-US"/>
        </w:rPr>
      </w:pPr>
      <w:r>
        <w:rPr>
          <w:rFonts w:cs="Times New Roman"/>
          <w:lang w:val="en-US"/>
        </w:rPr>
        <w:t>RTD</w:t>
      </w:r>
      <w:r>
        <w:rPr>
          <w:rFonts w:cs="Times New Roman"/>
          <w:lang w:val="en-US"/>
        </w:rPr>
        <w:tab/>
      </w:r>
      <w:r>
        <w:rPr>
          <w:rFonts w:cs="Times New Roman"/>
          <w:lang w:val="en-US"/>
        </w:rPr>
        <w:tab/>
        <w:t>rate of torque development</w:t>
      </w:r>
    </w:p>
    <w:p w14:paraId="4780A099" w14:textId="2C9DDC1C" w:rsidR="00DB4F02" w:rsidRDefault="00DB4F02" w:rsidP="001C66DE">
      <w:pPr>
        <w:rPr>
          <w:rFonts w:cs="Times New Roman"/>
          <w:lang w:val="en-US"/>
        </w:rPr>
      </w:pPr>
      <w:r>
        <w:rPr>
          <w:rFonts w:cs="Times New Roman"/>
          <w:lang w:val="en-US"/>
        </w:rPr>
        <w:t>RWT</w:t>
      </w:r>
      <w:r>
        <w:rPr>
          <w:rFonts w:cs="Times New Roman"/>
          <w:lang w:val="en-US"/>
        </w:rPr>
        <w:tab/>
      </w:r>
      <w:r>
        <w:rPr>
          <w:rFonts w:cs="Times New Roman"/>
          <w:lang w:val="en-US"/>
        </w:rPr>
        <w:tab/>
        <w:t>Rockport walk test</w:t>
      </w:r>
    </w:p>
    <w:p w14:paraId="3F270A62" w14:textId="57C61D6E" w:rsidR="00262FF3" w:rsidRDefault="00262FF3" w:rsidP="001C66DE">
      <w:pPr>
        <w:rPr>
          <w:rFonts w:cs="Times New Roman"/>
          <w:lang w:val="en-US"/>
        </w:rPr>
      </w:pPr>
      <w:r>
        <w:rPr>
          <w:rFonts w:cs="Times New Roman"/>
          <w:lang w:val="en-US"/>
        </w:rPr>
        <w:t>SR</w:t>
      </w:r>
      <w:r>
        <w:rPr>
          <w:rFonts w:cs="Times New Roman"/>
          <w:lang w:val="en-US"/>
        </w:rPr>
        <w:tab/>
      </w:r>
      <w:r>
        <w:rPr>
          <w:rFonts w:cs="Times New Roman"/>
          <w:lang w:val="en-US"/>
        </w:rPr>
        <w:tab/>
        <w:t>step-reduction</w:t>
      </w:r>
    </w:p>
    <w:p w14:paraId="60BEC98C" w14:textId="77777777" w:rsidR="00262FF3" w:rsidRDefault="00262FF3" w:rsidP="001C66DE">
      <w:pPr>
        <w:rPr>
          <w:rFonts w:cs="Times New Roman"/>
          <w:lang w:val="en-US"/>
        </w:rPr>
      </w:pPr>
      <w:r>
        <w:rPr>
          <w:rFonts w:cs="Times New Roman"/>
          <w:lang w:val="en-US"/>
        </w:rPr>
        <w:t>T2DM</w:t>
      </w:r>
      <w:r>
        <w:rPr>
          <w:rFonts w:cs="Times New Roman"/>
          <w:lang w:val="en-US"/>
        </w:rPr>
        <w:tab/>
      </w:r>
      <w:r>
        <w:rPr>
          <w:rFonts w:cs="Times New Roman"/>
          <w:lang w:val="en-US"/>
        </w:rPr>
        <w:tab/>
        <w:t>type 2 diabetes mellitus</w:t>
      </w:r>
    </w:p>
    <w:p w14:paraId="1246E41E" w14:textId="54E2B712" w:rsidR="00262FF3" w:rsidRDefault="00262FF3" w:rsidP="001C66DE">
      <w:pPr>
        <w:rPr>
          <w:rFonts w:cs="Times New Roman"/>
          <w:lang w:val="en-US"/>
        </w:rPr>
      </w:pPr>
      <w:r>
        <w:rPr>
          <w:rFonts w:cs="Times New Roman"/>
          <w:lang w:val="en-US"/>
        </w:rPr>
        <w:t>TUG</w:t>
      </w:r>
      <w:r>
        <w:rPr>
          <w:rFonts w:cs="Times New Roman"/>
          <w:lang w:val="en-US"/>
        </w:rPr>
        <w:tab/>
      </w:r>
      <w:r>
        <w:rPr>
          <w:rFonts w:cs="Times New Roman"/>
          <w:lang w:val="en-US"/>
        </w:rPr>
        <w:tab/>
        <w:t>timed up-and-go</w:t>
      </w:r>
    </w:p>
    <w:p w14:paraId="44AA07B9" w14:textId="749E6259" w:rsidR="00680FAD" w:rsidRDefault="00262FF3" w:rsidP="001C66DE">
      <w:pPr>
        <w:rPr>
          <w:rFonts w:cs="Times New Roman"/>
          <w:lang w:val="en-US"/>
        </w:rPr>
      </w:pPr>
      <w:r>
        <w:rPr>
          <w:rFonts w:cs="Times New Roman"/>
          <w:lang w:val="en-US"/>
        </w:rPr>
        <w:t>VAT</w:t>
      </w:r>
      <w:r>
        <w:rPr>
          <w:rFonts w:cs="Times New Roman"/>
          <w:lang w:val="en-US"/>
        </w:rPr>
        <w:tab/>
      </w:r>
      <w:r>
        <w:rPr>
          <w:rFonts w:cs="Times New Roman"/>
          <w:lang w:val="en-US"/>
        </w:rPr>
        <w:tab/>
        <w:t>visceral adipose tissue</w:t>
      </w:r>
    </w:p>
    <w:p w14:paraId="7626C998" w14:textId="77777777" w:rsidR="00047B79" w:rsidRDefault="00047B79" w:rsidP="001C66DE">
      <w:pPr>
        <w:rPr>
          <w:rFonts w:cs="Times New Roman"/>
          <w:b/>
          <w:lang w:val="en-US"/>
        </w:rPr>
      </w:pPr>
    </w:p>
    <w:p w14:paraId="4910BDE2" w14:textId="77777777" w:rsidR="00047B79" w:rsidRDefault="00047B79" w:rsidP="001C66DE">
      <w:pPr>
        <w:rPr>
          <w:rFonts w:cs="Times New Roman"/>
          <w:b/>
          <w:lang w:val="en-US"/>
        </w:rPr>
      </w:pPr>
    </w:p>
    <w:p w14:paraId="1864F882" w14:textId="0661EF52" w:rsidR="00262FF3" w:rsidRDefault="00680FAD" w:rsidP="001C66DE">
      <w:pPr>
        <w:rPr>
          <w:rFonts w:cs="Times New Roman"/>
          <w:lang w:val="en-US"/>
        </w:rPr>
      </w:pPr>
      <w:r w:rsidRPr="00680FAD">
        <w:rPr>
          <w:rFonts w:cs="Times New Roman"/>
          <w:b/>
          <w:lang w:val="en-US"/>
        </w:rPr>
        <w:t>DECLARATION OF ACADEMIC ACHIEVEMENT</w:t>
      </w:r>
    </w:p>
    <w:p w14:paraId="781795EE" w14:textId="77777777" w:rsidR="00680FAD" w:rsidRDefault="00680FAD" w:rsidP="001C66DE">
      <w:pPr>
        <w:rPr>
          <w:rFonts w:cs="Times New Roman"/>
          <w:lang w:val="en-US"/>
        </w:rPr>
      </w:pPr>
    </w:p>
    <w:p w14:paraId="61BE70BF" w14:textId="454F5642" w:rsidR="00880F30" w:rsidRPr="00680FAD" w:rsidRDefault="00680FAD" w:rsidP="00680FAD">
      <w:pPr>
        <w:spacing w:line="480" w:lineRule="auto"/>
        <w:rPr>
          <w:rFonts w:cs="Times New Roman"/>
          <w:lang w:val="en-US"/>
        </w:rPr>
        <w:sectPr w:rsidR="00880F30" w:rsidRPr="00680FAD" w:rsidSect="00577A35">
          <w:pgSz w:w="12240" w:h="15840"/>
          <w:pgMar w:top="2155" w:right="2155" w:bottom="1418" w:left="2155" w:header="708" w:footer="708" w:gutter="0"/>
          <w:pgNumType w:fmt="lowerRoman" w:start="1"/>
          <w:cols w:space="708"/>
        </w:sectPr>
      </w:pPr>
      <w:r>
        <w:rPr>
          <w:rFonts w:cs="Times New Roman"/>
          <w:lang w:val="en-US"/>
        </w:rPr>
        <w:t>MT von Allmen and SM Phillips were responsible for study design. MT von Allmen obtained ethical approval. MT von Allmen, C McGlory, T Stokes</w:t>
      </w:r>
      <w:r w:rsidR="00A84A6E">
        <w:rPr>
          <w:rFonts w:cs="Times New Roman"/>
          <w:lang w:val="en-US"/>
        </w:rPr>
        <w:t>,</w:t>
      </w:r>
      <w:r>
        <w:rPr>
          <w:rFonts w:cs="Times New Roman"/>
          <w:lang w:val="en-US"/>
        </w:rPr>
        <w:t xml:space="preserve"> and T Rerecich were responsible for participant recruitment. MT von Allmen, C McGlory, T Stokes, T Rerecich and SM Phillips were responsible for data collection. MT von Allmen analyzed </w:t>
      </w:r>
      <w:r w:rsidR="00A84A6E">
        <w:rPr>
          <w:rFonts w:cs="Times New Roman"/>
          <w:lang w:val="en-US"/>
        </w:rPr>
        <w:t xml:space="preserve">and </w:t>
      </w:r>
      <w:r>
        <w:rPr>
          <w:rFonts w:cs="Times New Roman"/>
          <w:lang w:val="en-US"/>
        </w:rPr>
        <w:t>collected research data.</w:t>
      </w:r>
    </w:p>
    <w:p w14:paraId="2CDFF092" w14:textId="34379B76" w:rsidR="005A1D98" w:rsidRDefault="005A1D98" w:rsidP="00C4357E">
      <w:pPr>
        <w:pStyle w:val="Heading1"/>
      </w:pPr>
      <w:bookmarkStart w:id="0" w:name="_Toc296814777"/>
      <w:bookmarkStart w:id="1" w:name="_Toc296932756"/>
      <w:r w:rsidRPr="00353776">
        <w:lastRenderedPageBreak/>
        <w:t>INTRODUCTION</w:t>
      </w:r>
      <w:bookmarkEnd w:id="0"/>
      <w:bookmarkEnd w:id="1"/>
    </w:p>
    <w:p w14:paraId="2F62D159" w14:textId="58745D10" w:rsidR="00652245" w:rsidRPr="00652245" w:rsidRDefault="005A1D98" w:rsidP="00652245">
      <w:pPr>
        <w:pStyle w:val="Heading2"/>
      </w:pPr>
      <w:bookmarkStart w:id="2" w:name="_Toc296814778"/>
      <w:bookmarkStart w:id="3" w:name="_Toc296932757"/>
      <w:r w:rsidRPr="00C4357E">
        <w:t>AGING AND CO-MORBID DISEASES</w:t>
      </w:r>
      <w:bookmarkEnd w:id="2"/>
      <w:bookmarkEnd w:id="3"/>
    </w:p>
    <w:p w14:paraId="358BDA6E" w14:textId="7374BE9E" w:rsidR="005A1D98" w:rsidRPr="00795B8F" w:rsidRDefault="005A1D98" w:rsidP="005A1D98">
      <w:pPr>
        <w:spacing w:line="480" w:lineRule="auto"/>
        <w:ind w:firstLine="720"/>
        <w:rPr>
          <w:rFonts w:cs="Times New Roman"/>
        </w:rPr>
      </w:pPr>
      <w:r w:rsidRPr="00795B8F">
        <w:rPr>
          <w:rFonts w:cs="Times New Roman"/>
        </w:rPr>
        <w:t>Older adults</w:t>
      </w:r>
      <w:r>
        <w:rPr>
          <w:rFonts w:cs="Times New Roman"/>
        </w:rPr>
        <w:t xml:space="preserve"> (&gt;65yr) currently</w:t>
      </w:r>
      <w:r w:rsidRPr="00795B8F">
        <w:rPr>
          <w:rFonts w:cs="Times New Roman"/>
        </w:rPr>
        <w:t xml:space="preserve"> </w:t>
      </w:r>
      <w:r w:rsidR="00250B31">
        <w:rPr>
          <w:rFonts w:cs="Times New Roman"/>
        </w:rPr>
        <w:t>comprise</w:t>
      </w:r>
      <w:r>
        <w:rPr>
          <w:rFonts w:cs="Times New Roman"/>
        </w:rPr>
        <w:t xml:space="preserve"> slightly</w:t>
      </w:r>
      <w:r w:rsidRPr="00795B8F">
        <w:rPr>
          <w:rFonts w:cs="Times New Roman"/>
        </w:rPr>
        <w:t xml:space="preserve"> </w:t>
      </w:r>
      <w:r w:rsidR="00250B31">
        <w:rPr>
          <w:rFonts w:cs="Times New Roman"/>
        </w:rPr>
        <w:t>more</w:t>
      </w:r>
      <w:r w:rsidRPr="00795B8F">
        <w:rPr>
          <w:rFonts w:cs="Times New Roman"/>
        </w:rPr>
        <w:t xml:space="preserve"> than 14% of the Canadian population, however</w:t>
      </w:r>
      <w:r>
        <w:rPr>
          <w:rFonts w:cs="Times New Roman"/>
        </w:rPr>
        <w:t>,</w:t>
      </w:r>
      <w:r w:rsidRPr="00795B8F">
        <w:rPr>
          <w:rFonts w:cs="Times New Roman"/>
        </w:rPr>
        <w:t xml:space="preserve"> they account for approximately 45% of </w:t>
      </w:r>
      <w:r>
        <w:rPr>
          <w:rFonts w:cs="Times New Roman"/>
        </w:rPr>
        <w:t xml:space="preserve">spending on </w:t>
      </w:r>
      <w:r w:rsidRPr="00795B8F">
        <w:rPr>
          <w:rFonts w:cs="Times New Roman"/>
        </w:rPr>
        <w:t>healthcare services</w:t>
      </w:r>
      <w:r w:rsidRPr="00795B8F">
        <w:rPr>
          <w:rFonts w:cs="Times New Roman"/>
        </w:rPr>
        <w:fldChar w:fldCharType="begin" w:fldLock="1"/>
      </w:r>
      <w:r w:rsidR="006670B1">
        <w:rPr>
          <w:rFonts w:cs="Times New Roman"/>
        </w:rPr>
        <w:instrText>ADDIN CSL_CITATION { "citationItems" : [ { "id" : "ITEM-1", "itemData" : { "ISBN" : "978-1-77109-227-2", "author" : [ { "dropping-particle" : "", "family" : "Canadian Institute for Health Information", "given" : "", "non-dropping-particle" : "", "parse-names" : false, "suffix" : "" } ], "id" : "ITEM-1", "issued" : { "date-parts" : [ [ "2013" ] ] }, "title" : "National Health Expenditure Trends , 1975 to 2013 (Executive Summary)", "type" : "report" }, "uris" : [ "http://www.mendeley.com/documents/?uuid=b34b34e3-ec41-4670-b140-5a6a54509954" ] } ], "mendeley" : { "formattedCitation" : "&lt;sup&gt;1&lt;/sup&gt;", "plainTextFormattedCitation" : "1", "previouslyFormattedCitation" : "&lt;sup&gt;1&lt;/sup&gt;"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1</w:t>
      </w:r>
      <w:r w:rsidRPr="00795B8F">
        <w:rPr>
          <w:rFonts w:cs="Times New Roman"/>
        </w:rPr>
        <w:fldChar w:fldCharType="end"/>
      </w:r>
      <w:r w:rsidRPr="00795B8F">
        <w:rPr>
          <w:rFonts w:cs="Times New Roman"/>
        </w:rPr>
        <w:t xml:space="preserve">. Current estimates project the world population of adults over the age of 65 </w:t>
      </w:r>
      <w:r>
        <w:rPr>
          <w:rFonts w:cs="Times New Roman"/>
        </w:rPr>
        <w:t>will</w:t>
      </w:r>
      <w:r w:rsidRPr="00795B8F">
        <w:rPr>
          <w:rFonts w:cs="Times New Roman"/>
        </w:rPr>
        <w:t xml:space="preserve"> triple, reaching </w:t>
      </w:r>
      <w:r>
        <w:rPr>
          <w:rFonts w:cs="Times New Roman"/>
        </w:rPr>
        <w:t>~</w:t>
      </w:r>
      <w:r w:rsidRPr="00795B8F">
        <w:rPr>
          <w:rFonts w:cs="Times New Roman"/>
        </w:rPr>
        <w:t>1.5 billion people by the year 2050</w:t>
      </w:r>
      <w:r w:rsidRPr="00795B8F">
        <w:rPr>
          <w:rFonts w:cs="Times New Roman"/>
        </w:rPr>
        <w:fldChar w:fldCharType="begin" w:fldLock="1"/>
      </w:r>
      <w:r w:rsidR="006670B1">
        <w:rPr>
          <w:rFonts w:cs="Times New Roman"/>
        </w:rPr>
        <w:instrText>ADDIN CSL_CITATION { "citationItems" : [ { "id" : "ITEM-1", "itemData" : { "author" : [ { "dropping-particle" : "", "family" : "World Health Organization", "given" : "", "non-dropping-particle" : "", "parse-names" : false, "suffix" : "" } ], "id" : "ITEM-1", "issued" : { "date-parts" : [ [ "2011" ] ] }, "title" : "Global health and aging", "type" : "report" }, "uris" : [ "http://www.mendeley.com/documents/?uuid=625cc55b-84f3-48d5-a238-f7368de23a08" ] } ], "mendeley" : { "formattedCitation" : "&lt;sup&gt;2&lt;/sup&gt;", "plainTextFormattedCitation" : "2", "previouslyFormattedCitation" : "&lt;sup&gt;2&lt;/sup&gt;"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2</w:t>
      </w:r>
      <w:r w:rsidRPr="00795B8F">
        <w:rPr>
          <w:rFonts w:cs="Times New Roman"/>
        </w:rPr>
        <w:fldChar w:fldCharType="end"/>
      </w:r>
      <w:r w:rsidRPr="00795B8F">
        <w:rPr>
          <w:rFonts w:cs="Times New Roman"/>
        </w:rPr>
        <w:t xml:space="preserve">. The impending </w:t>
      </w:r>
      <w:r>
        <w:rPr>
          <w:rFonts w:cs="Times New Roman"/>
        </w:rPr>
        <w:t>issues that</w:t>
      </w:r>
      <w:r w:rsidRPr="00795B8F">
        <w:rPr>
          <w:rFonts w:cs="Times New Roman"/>
        </w:rPr>
        <w:t xml:space="preserve"> this demographic shift poses for global healthcare </w:t>
      </w:r>
      <w:r w:rsidR="00250B31">
        <w:rPr>
          <w:rFonts w:cs="Times New Roman"/>
        </w:rPr>
        <w:t>are</w:t>
      </w:r>
      <w:r w:rsidRPr="00795B8F">
        <w:rPr>
          <w:rFonts w:cs="Times New Roman"/>
        </w:rPr>
        <w:t xml:space="preserve"> undeniable. Ultimately, increasingly prevalent </w:t>
      </w:r>
      <w:r>
        <w:rPr>
          <w:rFonts w:cs="Times New Roman"/>
        </w:rPr>
        <w:t xml:space="preserve">chronic </w:t>
      </w:r>
      <w:r w:rsidRPr="00795B8F">
        <w:rPr>
          <w:rFonts w:cs="Times New Roman"/>
        </w:rPr>
        <w:t xml:space="preserve">illnesses </w:t>
      </w:r>
      <w:r w:rsidR="00802053">
        <w:rPr>
          <w:rFonts w:cs="Times New Roman"/>
        </w:rPr>
        <w:t>in</w:t>
      </w:r>
      <w:r w:rsidRPr="00795B8F">
        <w:rPr>
          <w:rFonts w:cs="Times New Roman"/>
        </w:rPr>
        <w:t xml:space="preserve"> older adults such as cardiovascular disease (CVD), type 2 diabetes mellitus (T2DM), osteoporosis and fractures will demand extensive resources and </w:t>
      </w:r>
      <w:r>
        <w:rPr>
          <w:rFonts w:cs="Times New Roman"/>
        </w:rPr>
        <w:t xml:space="preserve">will come to </w:t>
      </w:r>
      <w:r w:rsidRPr="00795B8F">
        <w:rPr>
          <w:rFonts w:cs="Times New Roman"/>
        </w:rPr>
        <w:t>represent a disproportionate amount of healthcare spending</w:t>
      </w:r>
      <w:r w:rsidRPr="00795B8F">
        <w:rPr>
          <w:rFonts w:cs="Times New Roman"/>
        </w:rPr>
        <w:fldChar w:fldCharType="begin" w:fldLock="1"/>
      </w:r>
      <w:r w:rsidR="006670B1">
        <w:rPr>
          <w:rFonts w:cs="Times New Roman"/>
        </w:rPr>
        <w:instrText>ADDIN CSL_CITATION { "citationItems" : [ { "id" : "ITEM-1", "itemData" : { "ISBN" : "978-1-77109-227-2", "author" : [ { "dropping-particle" : "", "family" : "Canadian Institute for Health Information", "given" : "", "non-dropping-particle" : "", "parse-names" : false, "suffix" : "" } ], "id" : "ITEM-1", "issued" : { "date-parts" : [ [ "2013" ] ] }, "title" : "National Health Expenditure Trends , 1975 to 2013 (Executive Summary)", "type" : "report" }, "uris" : [ "http://www.mendeley.com/documents/?uuid=b34b34e3-ec41-4670-b140-5a6a54509954" ] } ], "mendeley" : { "formattedCitation" : "&lt;sup&gt;1&lt;/sup&gt;", "plainTextFormattedCitation" : "1", "previouslyFormattedCitation" : "&lt;sup&gt;1&lt;/sup&gt;"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1</w:t>
      </w:r>
      <w:r w:rsidRPr="00795B8F">
        <w:rPr>
          <w:rFonts w:cs="Times New Roman"/>
        </w:rPr>
        <w:fldChar w:fldCharType="end"/>
      </w:r>
      <w:r w:rsidRPr="00795B8F">
        <w:rPr>
          <w:rFonts w:cs="Times New Roman"/>
        </w:rPr>
        <w:t xml:space="preserve">. </w:t>
      </w:r>
      <w:r>
        <w:rPr>
          <w:rFonts w:cs="Times New Roman"/>
        </w:rPr>
        <w:t xml:space="preserve">All of the aforementioned </w:t>
      </w:r>
      <w:r w:rsidRPr="00795B8F">
        <w:rPr>
          <w:rFonts w:cs="Times New Roman"/>
        </w:rPr>
        <w:t>chronic conditions are exacerbated by many of the major underlying health risks of aging</w:t>
      </w:r>
      <w:r>
        <w:rPr>
          <w:rFonts w:cs="Times New Roman"/>
        </w:rPr>
        <w:t xml:space="preserve">; however, one of the more prominent contributors </w:t>
      </w:r>
      <w:r w:rsidR="00802053">
        <w:rPr>
          <w:rFonts w:cs="Times New Roman"/>
        </w:rPr>
        <w:t xml:space="preserve">to increasing chronic disease risk </w:t>
      </w:r>
      <w:r>
        <w:rPr>
          <w:rFonts w:cs="Times New Roman"/>
        </w:rPr>
        <w:t>is</w:t>
      </w:r>
      <w:r w:rsidRPr="00795B8F">
        <w:rPr>
          <w:rFonts w:cs="Times New Roman"/>
        </w:rPr>
        <w:t xml:space="preserve"> the </w:t>
      </w:r>
      <w:r w:rsidR="00802053">
        <w:rPr>
          <w:rFonts w:cs="Times New Roman"/>
        </w:rPr>
        <w:t xml:space="preserve">age-related </w:t>
      </w:r>
      <w:r w:rsidRPr="00795B8F">
        <w:rPr>
          <w:rFonts w:cs="Times New Roman"/>
        </w:rPr>
        <w:t>loss of muscle mass and strength</w:t>
      </w:r>
      <w:r w:rsidR="00802053">
        <w:rPr>
          <w:rFonts w:cs="Times New Roman"/>
        </w:rPr>
        <w:t xml:space="preserve"> – sarcopenia</w:t>
      </w:r>
      <w:r w:rsidRPr="00795B8F">
        <w:rPr>
          <w:rFonts w:cs="Times New Roman"/>
        </w:rPr>
        <w:t>.</w:t>
      </w:r>
    </w:p>
    <w:p w14:paraId="033E2EF3" w14:textId="039BD4BB" w:rsidR="00A34ABD" w:rsidRPr="00A34ABD" w:rsidRDefault="00A34ABD" w:rsidP="002E042C">
      <w:pPr>
        <w:pStyle w:val="Heading3"/>
        <w:numPr>
          <w:ilvl w:val="0"/>
          <w:numId w:val="10"/>
        </w:numPr>
        <w:ind w:left="993"/>
      </w:pPr>
      <w:bookmarkStart w:id="4" w:name="_Toc296814779"/>
      <w:bookmarkStart w:id="5" w:name="_Toc296932758"/>
      <w:r w:rsidRPr="00A34ABD">
        <w:t>Sarcopenia</w:t>
      </w:r>
      <w:bookmarkEnd w:id="4"/>
      <w:bookmarkEnd w:id="5"/>
    </w:p>
    <w:p w14:paraId="51477B23" w14:textId="14C37D65" w:rsidR="005A1D98" w:rsidRPr="00875699" w:rsidRDefault="00802053" w:rsidP="00875699">
      <w:pPr>
        <w:spacing w:line="480" w:lineRule="auto"/>
        <w:ind w:firstLine="709"/>
        <w:rPr>
          <w:rFonts w:cs="Times New Roman"/>
        </w:rPr>
      </w:pPr>
      <w:r w:rsidRPr="00875699">
        <w:rPr>
          <w:rFonts w:cs="Times New Roman"/>
        </w:rPr>
        <w:t xml:space="preserve">Sarcopenia was </w:t>
      </w:r>
      <w:r>
        <w:rPr>
          <w:rFonts w:cs="Times New Roman"/>
        </w:rPr>
        <w:t xml:space="preserve">a term </w:t>
      </w:r>
      <w:r w:rsidRPr="00875699">
        <w:rPr>
          <w:rFonts w:cs="Times New Roman"/>
        </w:rPr>
        <w:t>coined in 1989 by Irwin Rosenberg to draw attention to the issue of common and, oftentimes, severe muscle atrophy in aging adults</w:t>
      </w:r>
      <w:r w:rsidRPr="00875699">
        <w:rPr>
          <w:rFonts w:cs="Times New Roman"/>
        </w:rPr>
        <w:fldChar w:fldCharType="begin" w:fldLock="1"/>
      </w:r>
      <w:r w:rsidR="00225DB1">
        <w:rPr>
          <w:rFonts w:cs="Times New Roman"/>
        </w:rPr>
        <w:instrText>ADDIN CSL_CITATION { "citationItems" : [ { "id" : "ITEM-1", "itemData" : { "author" : [ { "dropping-particle" : "", "family" : "Rosenberg", "given" : "Irwin H", "non-dropping-particle" : "", "parse-names" : false, "suffix" : "" } ], "container-title" : "The American journal of clinical nutrition", "id" : "ITEM-1", "issued" : { "date-parts" : [ [ "1989" ] ] }, "page" : "1231-1233", "title" : "Summary comments", "type" : "article-journal", "volume" : "50" }, "uris" : [ "http://www.mendeley.com/documents/?uuid=9e2002a1-f010-4650-9373-47bd17376ab9" ] } ], "mendeley" : { "formattedCitation" : "&lt;sup&gt;3&lt;/sup&gt;", "plainTextFormattedCitation" : "3", "previouslyFormattedCitation" : "&lt;sup&gt;3&lt;/sup&gt;" }, "properties" : { "noteIndex" : 0 }, "schema" : "https://github.com/citation-style-language/schema/raw/master/csl-citation.json" }</w:instrText>
      </w:r>
      <w:r w:rsidRPr="00875699">
        <w:rPr>
          <w:rFonts w:cs="Times New Roman"/>
        </w:rPr>
        <w:fldChar w:fldCharType="separate"/>
      </w:r>
      <w:r w:rsidR="003605CC" w:rsidRPr="003605CC">
        <w:rPr>
          <w:rFonts w:cs="Times New Roman"/>
          <w:noProof/>
          <w:vertAlign w:val="superscript"/>
        </w:rPr>
        <w:t>3</w:t>
      </w:r>
      <w:r w:rsidRPr="00875699">
        <w:rPr>
          <w:rFonts w:cs="Times New Roman"/>
        </w:rPr>
        <w:fldChar w:fldCharType="end"/>
      </w:r>
      <w:r w:rsidRPr="00875699">
        <w:rPr>
          <w:rFonts w:cs="Times New Roman"/>
        </w:rPr>
        <w:t xml:space="preserve">, since which a wealth of research has been devoted to the epidemiology, physiology and clinical relevance of sarcopenic elderly. </w:t>
      </w:r>
      <w:r w:rsidR="005A1D98" w:rsidRPr="00875699">
        <w:rPr>
          <w:rFonts w:cs="Times New Roman"/>
        </w:rPr>
        <w:t xml:space="preserve">Sarcopenia encompasses the age-related loss of lean muscle mass, known as myopenia, and muscle function, known as dynapenia. Muscle mass is at its peak in the third decade of </w:t>
      </w:r>
      <w:r w:rsidR="005A1D98" w:rsidRPr="00875699">
        <w:rPr>
          <w:rFonts w:cs="Times New Roman"/>
        </w:rPr>
        <w:lastRenderedPageBreak/>
        <w:t>life, however, progressive muscle mass losses begin</w:t>
      </w:r>
      <w:r>
        <w:rPr>
          <w:rFonts w:cs="Times New Roman"/>
        </w:rPr>
        <w:t>,</w:t>
      </w:r>
      <w:r w:rsidR="005A1D98" w:rsidRPr="00875699">
        <w:rPr>
          <w:rFonts w:cs="Times New Roman"/>
        </w:rPr>
        <w:t xml:space="preserve"> for most</w:t>
      </w:r>
      <w:r>
        <w:rPr>
          <w:rFonts w:cs="Times New Roman"/>
        </w:rPr>
        <w:t>,</w:t>
      </w:r>
      <w:r w:rsidR="005A1D98" w:rsidRPr="00875699">
        <w:rPr>
          <w:rFonts w:cs="Times New Roman"/>
        </w:rPr>
        <w:t xml:space="preserve"> in the fifth decade of life</w:t>
      </w:r>
      <w:r>
        <w:rPr>
          <w:rFonts w:cs="Times New Roman"/>
        </w:rPr>
        <w:t xml:space="preserve"> and</w:t>
      </w:r>
      <w:r w:rsidR="005A1D98" w:rsidRPr="00875699">
        <w:rPr>
          <w:rFonts w:cs="Times New Roman"/>
        </w:rPr>
        <w:t xml:space="preserve"> proceed</w:t>
      </w:r>
      <w:r>
        <w:rPr>
          <w:rFonts w:cs="Times New Roman"/>
        </w:rPr>
        <w:t>s</w:t>
      </w:r>
      <w:r w:rsidR="005A1D98" w:rsidRPr="00875699">
        <w:rPr>
          <w:rFonts w:cs="Times New Roman"/>
        </w:rPr>
        <w:t xml:space="preserve"> at </w:t>
      </w:r>
      <w:r>
        <w:rPr>
          <w:rFonts w:cs="Times New Roman"/>
        </w:rPr>
        <w:t>~</w:t>
      </w:r>
      <w:r w:rsidR="005A1D98" w:rsidRPr="00875699">
        <w:rPr>
          <w:rFonts w:cs="Times New Roman"/>
        </w:rPr>
        <w:t>0.6-1.</w:t>
      </w:r>
      <w:r w:rsidR="00623F5A">
        <w:rPr>
          <w:rFonts w:cs="Times New Roman"/>
        </w:rPr>
        <w:t>2</w:t>
      </w:r>
      <w:r w:rsidR="005A1D98" w:rsidRPr="00875699">
        <w:rPr>
          <w:rFonts w:cs="Times New Roman"/>
        </w:rPr>
        <w:t>% annually</w:t>
      </w:r>
      <w:r>
        <w:rPr>
          <w:rFonts w:cs="Times New Roman"/>
        </w:rPr>
        <w:t xml:space="preserve">. Strength, in </w:t>
      </w:r>
      <w:r w:rsidR="007649BF">
        <w:rPr>
          <w:rFonts w:cs="Times New Roman"/>
        </w:rPr>
        <w:t>contrast drop</w:t>
      </w:r>
      <w:r w:rsidR="00AB3BAC">
        <w:rPr>
          <w:rFonts w:cs="Times New Roman"/>
        </w:rPr>
        <w:t>s</w:t>
      </w:r>
      <w:r w:rsidR="007649BF">
        <w:rPr>
          <w:rFonts w:cs="Times New Roman"/>
        </w:rPr>
        <w:t xml:space="preserve"> more rapidly</w:t>
      </w:r>
      <w:r>
        <w:rPr>
          <w:rFonts w:cs="Times New Roman"/>
        </w:rPr>
        <w:t xml:space="preserve"> at ~</w:t>
      </w:r>
      <w:r w:rsidR="005A1D98" w:rsidRPr="00875699">
        <w:rPr>
          <w:rFonts w:cs="Times New Roman"/>
        </w:rPr>
        <w:t>1.5-3.5% per year</w:t>
      </w:r>
      <w:r w:rsidR="00623F5A">
        <w:rPr>
          <w:rFonts w:cs="Times New Roman"/>
        </w:rPr>
        <w:t xml:space="preserve"> in adults up to 75 years of age</w:t>
      </w:r>
      <w:r w:rsidR="005A1D98" w:rsidRPr="00875699">
        <w:rPr>
          <w:rFonts w:cs="Times New Roman"/>
        </w:rPr>
        <w:t xml:space="preserve"> </w:t>
      </w:r>
      <w:r w:rsidR="005A1D98" w:rsidRPr="00875699">
        <w:rPr>
          <w:rFonts w:cs="Times New Roman"/>
        </w:rPr>
        <w:fldChar w:fldCharType="begin" w:fldLock="1"/>
      </w:r>
      <w:r w:rsidR="00225DB1">
        <w:rPr>
          <w:rFonts w:cs="Times New Roman"/>
        </w:rPr>
        <w:instrText>ADDIN CSL_CITATION { "citationItems" : [ { "id" : "ITEM-1", "itemData" : { "ISBN" : "1279-7707 (Print)", "ISSN" : "1279-7707", "PMID" : "16395513", "abstract" : "Skeletal muscle (SM) plays a central role in many biological functions, such as movement and metabolism, and alterations in SM mass and composition can have a marked influence on health and disease. The purpose of this review was to examine and characterize age-related changes in SM mass and composition and to link these changes to corresponding changes in metabolism and disease. It can be concluded from several studies that SM mass decreases with advancing age in both men and women. The age-related reduction in SM, also known as sarcopenia, is related to a corresponding reduction in SM strength, and if left untreated, sarcopenia may lead to functional impairment and physical disability. An emerging body of evidence also suggests that age-related changes in the composition of SM, particularly the accumulation of lipids within SM fibers, may lead to metabolic disorders such as insulin resistance.", "author" : [ { "dropping-particle" : "", "family" : "Janssen", "given" : "I", "non-dropping-particle" : "", "parse-names" : false, "suffix" : "" }, { "dropping-particle" : "", "family" : "Ross", "given" : "R", "non-dropping-particle" : "", "parse-names" : false, "suffix" : "" } ], "container-title" : "The journal of nutrition, health &amp; aging", "id" : "ITEM-1", "issue" : "6", "issued" : { "date-parts" : [ [ "2005" ] ] }, "page" : "408-419", "title" : "Linking age-related changes in skeletal muscle mass and composition with metabolism and disease.", "type" : "article-journal", "volume" : "9" }, "uris" : [ "http://www.mendeley.com/documents/?uuid=25d99620-9f69-41e9-b14e-977a5a9c877d" ] }, { "id" : "ITEM-2", "itemData" : { "DOI" : "10.1093/gerona/56.5.B209", "ISBN" : "1079-5006 (Print)", "ISSN" : "1079-5006", "PMID" : "11320101", "abstract" : "The longitudinal changes in isokinetic strength of knee and elbow extensors and flexors, muscle mass, physical activity, and health were examined in 120 subjects initially 46 to 78 years old. Sixty-eight women and 52 men were reexamined after 9.7 +/- 1.1 years. The rates of decline in isokinetic strength averaged 14% per decade for knee extensors and 16% per decade for knee flexors in men and women. Women demonstrated slower rates of decline in elbow extensors and flexors (2% per decade) than men (12% per decade). Older subjects demonstrated a greater rate of decline in strength. In men, longitudinal rates of decline of leg muscle strength were approximately 60% greater than estimates from a cross-sectional analysis in the same population. The change in leg strength was directly related to the change in muscle mass in both men and women, and it was inversely related to the change in medication use in men. Physical activity declined yet was not directly associated with strength changes. Although muscle mass changes influenced the magnitude of the strength changes over time, strength declines in spite of muscle mass maintenance or even gain emphasize the need to explore the contribution of other cellular, neural, or metabolic mediators of strength changes.", "author" : [ { "dropping-particle" : "", "family" : "Hughes", "given" : "V a", "non-dropping-particle" : "", "parse-names" : false, "suffix" : "" }, { "dropping-particle" : "", "family" : "Frontera", "given" : "W R", "non-dropping-particle" : "", "parse-names" : false, "suffix" : "" }, { "dropping-particle" : "", "family" : "Wood", "given" : "M", "non-dropping-particle" : "", "parse-names" : false, "suffix" : "" }, { "dropping-particle" : "", "family" : "Evans", "given" : "W J", "non-dropping-particle" : "", "parse-names" : false, "suffix" : "" }, { "dropping-particle" : "", "family" : "Dallal", "given" : "G E", "non-dropping-particle" : "", "parse-names" : false, "suffix" : "" }, { "dropping-particle" : "", "family" : "Roubenoff", "given" : "R", "non-dropping-particle" : "", "parse-names" : false, "suffix" : "" }, { "dropping-particle" : "", "family" : "Fiatarone Singh", "given" : "M a", "non-dropping-particle" : "", "parse-names" : false, "suffix" : "" } ], "container-title" : "The journals of gerontology. Series A, Biological sciences and medical sciences", "id" : "ITEM-2", "issue" : "5", "issued" : { "date-parts" : [ [ "2001", "5" ] ] }, "page" : "B209-B217", "title" : "Longitudinal muscle strength changes in older adults: influence of muscle mass, physical activity, and health.", "type" : "article-journal", "volume" : "56" }, "uris" : [ "http://www.mendeley.com/documents/?uuid=11a2dd09-0766-4ac4-a465-4690613e3416" ] }, { "id" : "ITEM-3", "itemData" : { "ISSN" : "1079-5006", "PMID" : "17077199", "abstract" : "BACKGROUND: The loss of muscle mass is considered to be a major determinant of strength loss in aging. However, large-scale longitudinal studies examining the association between the loss of mass and strength in older adults are lacking.\\n\\nMETHODS: Three-year changes in muscle mass and strength were determined in 1880 older adults in the Health, Aging and Body Composition Study. Knee extensor strength was measured by isokinetic dynamometry. Whole body and appendicular lean and fat mass were assessed by dual-energy x-ray absorptiometry and computed tomography.\\n\\nRESULTS: Both men and women lost strength, with men losing almost twice as much strength as women. Blacks lost about 28% more strength than did whites. Annualized rates of leg strength decline (3.4% in white men, 4.1% in black men, 2.6% in white women, and 3.0% in black women) were about three times greater than the rates of loss of leg lean mass ( approximately 1% per year). The loss of lean mass, as well as higher baseline strength, lower baseline leg lean mass, and older age, was independently associated with strength decline in both men and women. However, gain of lean mass was not accompanied by strength maintenance or gain (ss coefficients; men, -0.48 +/- 4.61, p =.92, women, -1.68 +/- 3.57, p =.64).\\n\\nCONCLUSIONS: Although the loss of muscle mass is associated with the decline in strength in older adults, this strength decline is much more rapid than the concomitant loss of muscle mass, suggesting a decline in muscle quality. Moreover, maintaining or gaining muscle mass does not prevent aging-associated declines in muscle strength.", "author" : [ { "dropping-particle" : "", "family" : "Goodpaster", "given" : "Bret H", "non-dropping-particle" : "", "parse-names" : false, "suffix" : "" }, { "dropping-particle" : "", "family" : "Park", "given" : "Seok Won", "non-dropping-particle" : "", "parse-names" : false, "suffix" : "" }, { "dropping-particle" : "", "family" : "Harris", "given" : "Tamara B", "non-dropping-particle" : "", "parse-names" : false, "suffix" : "" }, { "dropping-particle" : "", "family" : "Kritchevsky", "given" : "Steven B", "non-dropping-particle" : "", "parse-names" : false, "suffix" : "" }, { "dropping-particle" : "", "family" : "Nevitt", "given" : "Michael",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"Tylavsky", "given" : "Frances a", "non-dropping-particle" : "", "parse-names" : false, "suffix" : "" }, { "dropping-particle" : "", "family" : "Visser", "given" : "Marjolein", "non-dropping-particle" : "", "parse-names" : false, "suffix" : "" }, { "dropping-particle" : "", "family" : "Newman", "given" : "Anne B", "non-dropping-particle" : "", "parse-names" : false, "suffix" : "" }, { "dropping-particle" : "", "family" : "Abc", "given" : "Health", "non-dropping-particle" : "", "parse-names" : false, "suffix" : "" } ], "container-title" : "Journal of Gerontology", "id" : "ITEM-3", "issue" : "10", "issued" : { "date-parts" : [ [ "2006", "10" ] ] }, "page" : "1059-64", "title" : "The loss of skeletal muscle strength, mass, and quality in older adults: the health, aging and body composition study", "type" : "article-journal", "volume" : "61" }, "uris" : [ "http://www.mendeley.com/documents/?uuid=11286141-9f74-4e93-a87c-a365a55c5659" ] } ], "mendeley" : { "formattedCitation" : "&lt;sup&gt;4\u20136&lt;/sup&gt;", "plainTextFormattedCitation" : "4\u20136", "previouslyFormattedCitation" : "&lt;sup&gt;4\u20136&lt;/sup&gt;" }, "properties" : { "noteIndex" : 0 }, "schema" : "https://github.com/citation-style-language/schema/raw/master/csl-citation.json" }</w:instrText>
      </w:r>
      <w:r w:rsidR="005A1D98" w:rsidRPr="00875699">
        <w:rPr>
          <w:rFonts w:cs="Times New Roman"/>
        </w:rPr>
        <w:fldChar w:fldCharType="separate"/>
      </w:r>
      <w:r w:rsidR="003605CC" w:rsidRPr="003605CC">
        <w:rPr>
          <w:rFonts w:cs="Times New Roman"/>
          <w:noProof/>
          <w:vertAlign w:val="superscript"/>
        </w:rPr>
        <w:t>4–6</w:t>
      </w:r>
      <w:r w:rsidR="005A1D98" w:rsidRPr="00875699">
        <w:rPr>
          <w:rFonts w:cs="Times New Roman"/>
        </w:rPr>
        <w:fldChar w:fldCharType="end"/>
      </w:r>
      <w:r w:rsidR="005A1D98" w:rsidRPr="00875699">
        <w:rPr>
          <w:rFonts w:cs="Times New Roman"/>
        </w:rPr>
        <w:t>. It is important to understand that sarcopenia is a non-pathological condition and quite prevalent in otherwise healthy, community-dwelling older adults</w:t>
      </w:r>
      <w:r w:rsidR="005A1D98" w:rsidRPr="00875699">
        <w:rPr>
          <w:rFonts w:cs="Times New Roman"/>
        </w:rPr>
        <w:fldChar w:fldCharType="begin" w:fldLock="1"/>
      </w:r>
      <w:r w:rsidR="00225DB1">
        <w:rPr>
          <w:rFonts w:cs="Times New Roman"/>
        </w:rPr>
        <w:instrText>ADDIN CSL_CITATION { "citationItems" : [ { "id" : "ITEM-1", "itemData" : { "DOI" : "10.1186/1471-2318-7-5", "ISBN" : "0002-9262 (Print)", "ISSN" : "0002-9262", "PMID" : "9554417", "abstract" : "Muscle mass decreases with age, leading to \"sarcopenia,\" or low relative muscle mass, in elderly people. Sarcopenia is believed to be associated with metabolic, physiologic, and functional impairments and disability. Methods of estimating the prevalence of sarcopenia and its associated risks in elderly populations are lacking. Data from a population-based survey of 883 elderly Hispanic and non-Hispanic white men and women living in New Mexico (the New Mexico Elder Health Survey, 1993-1995) were analyzed to develop a method for estimating the prevalence of sarcopenia. An anthropometric equation for predicting appendicular skeletal muscle mass was developed from a random subsample (n = 199) of participants and was extended to the total sample. Sarcopenia was defined as appendicular skeletal muscle mass (kg)/height2 (m2) being less than two standard deviations below the mean of a young reference group. Prevalences increased from 13-24% in persons under 70 years of age to &gt;50% in persons over 80 years of age, and were slightly greater in Hispanics than in non-Hispanic whites. Sarcopenia was significantly associated with self-reported physical disability in both men and women, independent of ethnicity, age, morbidity, obesity, income, and health behaviors. This study provides some of the first estimates of the extent of the public health problem posed by sarcopenia.", "author" : [ { "dropping-particle" : "", "family" : "Baumgartner", "given" : "R N", "non-dropping-particle" : "", "parse-names" : false, "suffix" : "" }, { "dropping-particle" : "", "family" : "Koehler", "given" : "K M", "non-dropping-particle" : "", "parse-names" : false, "suffix" : "" }, { "dropping-particle" : "", "family" : "Gallagher", "given" : "D", "non-dropping-particle" : "", "parse-names" : false, "suffix" : "" }, { "dropping-particle" : "", "family" : "Romero", "given" : "L", "non-dropping-particle" : "", "parse-names" : false, "suffix" : "" }, { "dropping-particle" : "", "family" : "Heymsfield", "given" : "S B", "non-dropping-particle" : "", "parse-names" : false, "suffix" : "" }, { "dropping-particle" : "", "family" : "Ross", "given" : "R R", "non-dropping-particle" : "", "parse-names" : false, "suffix" : "" }, { "dropping-particle" : "", "family" : "Garry", "given" : "P J", "non-dropping-particle" : "", "parse-names" : false, "suffix" : "" }, { "dropping-particle" : "", "family" : "Lindeman", "given" : "R D", "non-dropping-particle" : "", "parse-names" : false, "suffix" : "" } ], "container-title" : "American journal of epidemiology", "id" : "ITEM-1", "issue" : "8", "issued" : { "date-parts" : [ [ "1998", "4", "15" ] ] }, "page" : "755-763", "title" : "Epidemiology of sarcopenia among the elderly in New Mexico.", "type" : "article-journal", "volume" : "147" }, "uris" : [ "http://www.mendeley.com/documents/?uuid=32c14857-dcbe-4114-8e60-6944b25f5c1f" ] }, { "id" : "ITEM-2", "itemData" : { "DOI" : "10.1093/gerona/57.12.M772", "ISBN" : "1079-5006 (Print)\r1079-5006 (Linking)", "ISSN" : "1079-5006", "PMID" : "12456735", "abstract" : "BACKGROUND: Sarcopenia refers to the loss of skeletal muscle mass with age. The objective of this study was to determine the prevalence of sarcopenia in a population of older, community-dwelling research volunteers. METHODS: Appendicular skeletal muscle mass was measured by dual x-ray absorptiometry in 195 women aged 64 to 93 years and 142 men aged 64 to 92 years. We defined sarcopenia as appendicular skeletal muscle mass/height(2) (square meters) less than 2 standard deviations below the mean for young, healthy reference populations. We used two different reference populations and compared prevalence in our population to that reported in previous studies. Body mass index (BMI) was calculated and physical activity and performance were measured with the Physical Activity Scale for the Elderly, the Short Physical Performance Battery, and the Physical Performance Test. We measured health-related quality of life by using the SF-36 general health survey. Serum estrone, estradiol, sex hormone-binding globulin, parathyroid hormone, and 25-hydroxy vitamin D were measured in all participants and bioavailable testosterone was measured only in men. Leg press strength and leg press power were determined in men. RESULTS: The prevalence of sarcopenia in our cohort was 22.6% in women and 26.8% in men. A subgroup analysis of women and men 80 years or older revealed prevalence rates of 31.0% and 52.9%, respectively. In women, skeletal muscle mass correlated significantly with BMI and levels of serum estrone, estradiol, and 25-hydroxy vitamin D; in men, it correlated significantly with BMI, single leg stance time, leg press strength, leg press power, SF-36 general health score, Physical Performance Test total score, and bioavailable testosterone levels. With the use of linear regression analysis, BMI was the only predictor of appendicular skeletal muscle mass in women, accounting for 47.9% of the variance (p &lt;.05). In men, BMI accounted for 50.1%, mean strength accounted for 10.3%, mean power accounted for 4.1%, and bioavailable testosterone accounted for 2.6% of the variance in appendicular skeletal muscle mass (p &lt;.05). CONCLUSIONS: Sarcopenia is common in adults over the age of 65 years and increases with age. BMI is a strong predictor of skeletal muscle mass in women and men. Strength, power, and bioavailable testosterone are further contributors in men. These data suggest that interventions to target nutrition, strength training, and testosterone replacement therapy\u2026", "author" : [ { "dropping-particle" : "", "family" : "Iannuzzi-Sucich", "given" : "Michele", "non-dropping-particle" : "", "parse-names" : false, "suffix" : "" }, { "dropping-particle" : "", "family" : "Prestwood", "given" : "Karen M", "non-dropping-particle" : "", "parse-names" : false, "suffix" : "" }, { "dropping-particle" : "", "family" : "Kenny", "given" : "Anne M", "non-dropping-particle" : "", "parse-names" : false, "suffix" : "" } ], "container-title" : "The journals of gerontology. Series A, Biological sciences and medical sciences", "id" : "ITEM-2", "issue" : "12", "issued" : { "date-parts" : [ [ "2002", "12" ] ] }, "page" : "M772-M777", "title" : "Prevalence of sarcopenia and predictors of skeletal muscle mass in healthy, older men and women.", "type" : "article-journal", "volume" : "57" }, "uris" : [ "http://www.mendeley.com/documents/?uuid=ec94d33f-33d9-484f-bf5a-af639f66d98f" ] }, { "id" : "ITEM-3", "itemData" : { "DOI" : "10.1053/meta.2002.28960", "ISBN" : "0026-0495 (Print)", "ISSN" : "00260495", "PMID" : "11782875", "abstract" : "Studies indicate that deficient skeletal muscle mass or sarcopenia is a major cause if disability and morbidity among the elderly. In part, due to the lack of generally applicable normal values, there is still insufficient epidemiologic data available on the frequency and severity of sarcopenia in health and under various disease-related conditions. The objectives of the present study were to (1) characterize the age- and menopause-related variations in appendicular lean tissue mass (LTM\n                        A), (2) provide young-normal means and estimate the age-specific prevalence of sarcopenia among healthy women. A total of 754 healthy women were included in the study of cross-sectional design. LTM\n                        A was estimated by dual-energy x-ray absorptiometry (DEXA). Physical characteristics and menopausal status were also registered. LTM\n                        A as well as height showed significant negative correlation with age with Pearson's r values of -0.43 and -0.06, respectively (P &lt; .05). Trend of finding lower mean values with advancing age remained even when LTM\n                        A was adjusted for height\n                        2 (ht\n                        2). Menopause did not seem to have any influence on LTM\n                        A. Young-normal means were obtained from 216 premenopausal women aged 18 to 39 years. Prevalence rates of sarcopenia in healthy women were determined with reference to a cut-off line corresponding to LTM\n                        A or LTM\n                        A/ht\n                        2 less than young-normal mean 2 SD and were found to be 40.2% and 12.3%, respectively, among the healthy elderly (&gt;70 years of age). Results of the present study provide further evidence that sarcopenia exists even among otherwise healthy women with increasing age-specific prevalence. Further studies are needed (1) to estimate the prevalence of sarcopenia under various health and disease-related conditions with reference to the hereby given cut-off values and (2) to find therapeutic strategies with beneficial effects in conserving skeletal muscle mass.", "author" : [ { "dropping-particle" : "", "family" : "Tank\u00f3", "given" : "L\u00e1szl\u00f3 B.", "non-dropping-particle" : "", "parse-names" : false, "suffix" : "" }, { "dropping-particle" : "", "family" : "Movsesyan", "given" : "Lusine", "non-dropping-particle" : "", "parse-names" : false, "suffix" : "" }, { "dropping-particle" : "", "family" : "Mouritzen", "given" : "Ulrik", "non-dropping-particle" : "", "parse-names" : false, "suffix" : "" }, { "dropping-particle" : "", "family" : "Christiansen", "given" : "Claus", "non-dropping-particle" : "", "parse-names" : false, "suffix" : "" }, { "dropping-particle" : "", "family" : "Svendsen", "given" : "Ole L.", "non-dropping-particle" : "", "parse-names" : false, "suffix" : "" } ], "container-title" : "Metabolism: Clinical and Experimental", "id" : "ITEM-3", "issue" : "1", "issued" : { "date-parts" : [ [ "2002", "1" ] ] }, "page" : "69-74", "title" : "Appendicular lean tissue mass and the prevalence of sarcopenia among healthy women", "type" : "article-journal", "volume" : "51" }, "uris" : [ "http://www.mendeley.com/documents/?uuid=424d7228-4c8c-4054-a95d-9618e9dd6fe3" ] }, { "id" : "ITEM-4", "itemData" : { "DOI" : "10.1093/aje/kwh058", "ISBN" : "0002-9262", "ISSN" : "00029262", "PMID" : "14769646", "abstract" : "The purpose of this study was to determine skeletal muscle cutpoints for identifying elevated physical disability risk in older adults. Subjects included 4,449 older (&gt; or = 60 years) participants from the Third National Health and Nutrition Examination Survey during 1988-1994. Physical disability was assessed by questionnaire, and bioimpedance was used to estimate skeletal muscle, which was normalized for height. Receiver operating characteristics were used to develop the skeletal muscle cutpoints associated with a high likelihood of physical disability. Odds for physical disability were compared in subjects whose measures fell above and below these cutpoints. Skeletal muscle cutpoints of 5.76-6.75 and &lt; or =5.75 kg/m2 were selected to denote moderate and high physical disability risk in women. The corresponding values in men were 8.51-10.75 and &lt; or =8.50 kg/m2. Compared with women with low-risk skeletal muscle values, women with moderate- and high-risk skeletal muscle values had odds for physical disability of 1.41 (95% confidence interval (CI): 0.97, 2.04) and 3.31 (95% CI: 1.91, 5.73), respectively. The corresponding odds in men were 3.65 (95% CI: 1.92, 6.94) and 4.71 (95% CI: 2.28, 9.74). This study presents skeletal muscle cutpoints for physical disability risk in older adults. Future applications of these cutpoints include the comparison of morbidity risk in older persons with normal muscle mass and those with sarcopenia, the determination and comparison of sarcopenia prevalences, and the estimation of health-care costs attributable to sarcopenia.", "author" : [ { "dropping-particle" : "", "family" : "Janssen", "given" : "Ian", "non-dropping-particle" : "", "parse-names" : false, "suffix" : "" }, { "dropping-particle" : "", "family" : "Baumgartner", "given" : "Richard N.", "non-dropping-particle" : "", "parse-names" : false, "suffix" : "" }, { "dropping-particle" : "", "family" : "Ross", "given" : "Robert", "non-dropping-particle" : "", "parse-names" : false, "suffix" : "" }, { "dropping-particle" : "", "family" : "Rosenberg", "given" : "Irwin H.", "non-dropping-particle" : "", "parse-names" : false, "suffix" : "" }, { "dropping-particle" : "", "family" : "Roubenoff", "given" : "Ronenn", "non-dropping-particle" : "", "parse-names" : false, "suffix" : "" } ], "container-title" : "American Journal of Epidemiology", "id" : "ITEM-4", "issue" : "4", "issued" : { "date-parts" : [ [ "2004", "2", "15" ] ] }, "page" : "413-421", "title" : "Skeletal Muscle Cutpoints Associated with Elevated Physical Disability Risk in Older Men and Women", "type" : "article-journal", "volume" : "159" }, "uris" : [ "http://www.mendeley.com/documents/?uuid=a48b8d64-cd67-4290-841b-e54d522e940a" ] } ], "mendeley" : { "formattedCitation" : "&lt;sup&gt;7\u201310&lt;/sup&gt;", "plainTextFormattedCitation" : "7\u201310", "previouslyFormattedCitation" : "&lt;sup&gt;7\u201310&lt;/sup&gt;" }, "properties" : { "noteIndex" : 0 }, "schema" : "https://github.com/citation-style-language/schema/raw/master/csl-citation.json" }</w:instrText>
      </w:r>
      <w:r w:rsidR="005A1D98" w:rsidRPr="00875699">
        <w:rPr>
          <w:rFonts w:cs="Times New Roman"/>
        </w:rPr>
        <w:fldChar w:fldCharType="separate"/>
      </w:r>
      <w:r w:rsidR="003605CC" w:rsidRPr="003605CC">
        <w:rPr>
          <w:rFonts w:cs="Times New Roman"/>
          <w:noProof/>
          <w:vertAlign w:val="superscript"/>
        </w:rPr>
        <w:t>7–10</w:t>
      </w:r>
      <w:r w:rsidR="005A1D98" w:rsidRPr="00875699">
        <w:rPr>
          <w:rFonts w:cs="Times New Roman"/>
        </w:rPr>
        <w:fldChar w:fldCharType="end"/>
      </w:r>
      <w:r>
        <w:rPr>
          <w:rFonts w:cs="Times New Roman"/>
        </w:rPr>
        <w:t>; however, beyond the functional role of muscle</w:t>
      </w:r>
      <w:r w:rsidR="00AB3BAC">
        <w:rPr>
          <w:rFonts w:cs="Times New Roman"/>
        </w:rPr>
        <w:t>,</w:t>
      </w:r>
      <w:r>
        <w:rPr>
          <w:rFonts w:cs="Times New Roman"/>
        </w:rPr>
        <w:t xml:space="preserve"> the metabolic roles mean a lower muscle mass is a predisposing factor for chronic disease.</w:t>
      </w:r>
      <w:r w:rsidR="005A1D98" w:rsidRPr="00875699">
        <w:rPr>
          <w:rFonts w:cs="Times New Roman"/>
        </w:rPr>
        <w:t xml:space="preserve"> Current estimates project that anywhere from 20-45% of elderly adults are sarcopenic based on </w:t>
      </w:r>
      <w:r>
        <w:rPr>
          <w:rFonts w:cs="Times New Roman"/>
        </w:rPr>
        <w:t>a</w:t>
      </w:r>
      <w:r w:rsidR="005A1D98" w:rsidRPr="00875699">
        <w:rPr>
          <w:rFonts w:cs="Times New Roman"/>
        </w:rPr>
        <w:t xml:space="preserve"> defini</w:t>
      </w:r>
      <w:r w:rsidR="00851834">
        <w:rPr>
          <w:rFonts w:cs="Times New Roman"/>
        </w:rPr>
        <w:t xml:space="preserve">tion </w:t>
      </w:r>
      <w:r>
        <w:rPr>
          <w:rFonts w:cs="Times New Roman"/>
        </w:rPr>
        <w:t xml:space="preserve">developed </w:t>
      </w:r>
      <w:r w:rsidR="00851834">
        <w:rPr>
          <w:rFonts w:cs="Times New Roman"/>
        </w:rPr>
        <w:t>by Baumgartner et al</w:t>
      </w:r>
      <w:r w:rsidR="00640465">
        <w:rPr>
          <w:rFonts w:cs="Times New Roman"/>
        </w:rPr>
        <w:t>.</w:t>
      </w:r>
      <w:r w:rsidR="00851834">
        <w:rPr>
          <w:rFonts w:cs="Times New Roman"/>
        </w:rPr>
        <w:fldChar w:fldCharType="begin" w:fldLock="1"/>
      </w:r>
      <w:r w:rsidR="00225DB1">
        <w:rPr>
          <w:rFonts w:cs="Times New Roman"/>
        </w:rPr>
        <w:instrText>ADDIN CSL_CITATION { "citationItems" : [ { "id" : "ITEM-1", "itemData" : { "DOI" : "10.1186/1471-2318-7-5", "ISBN" : "0002-9262 (Print)", "ISSN" : "0002-9262", "PMID" : "9554417", "abstract" : "Muscle mass decreases with age, leading to \"sarcopenia,\" or low relative muscle mass, in elderly people. Sarcopenia is believed to be associated with metabolic, physiologic, and functional impairments and disability. Methods of estimating the prevalence of sarcopenia and its associated risks in elderly populations are lacking. Data from a population-based survey of 883 elderly Hispanic and non-Hispanic white men and women living in New Mexico (the New Mexico Elder Health Survey, 1993-1995) were analyzed to develop a method for estimating the prevalence of sarcopenia. An anthropometric equation for predicting appendicular skeletal muscle mass was developed from a random subsample (n = 199) of participants and was extended to the total sample. Sarcopenia was defined as appendicular skeletal muscle mass (kg)/height2 (m2) being less than two standard deviations below the mean of a young reference group. Prevalences increased from 13-24% in persons under 70 years of age to &gt;50% in persons over 80 years of age, and were slightly greater in Hispanics than in non-Hispanic whites. Sarcopenia was significantly associated with self-reported physical disability in both men and women, independent of ethnicity, age, morbidity, obesity, income, and health behaviors. This study provides some of the first estimates of the extent of the public health problem posed by sarcopenia.", "author" : [ { "dropping-particle" : "", "family" : "Baumgartner", "given" : "R N", "non-dropping-particle" : "", "parse-names" : false, "suffix" : "" }, { "dropping-particle" : "", "family" : "Koehler", "given" : "K M", "non-dropping-particle" : "", "parse-names" : false, "suffix" : "" }, { "dropping-particle" : "", "family" : "Gallagher", "given" : "D", "non-dropping-particle" : "", "parse-names" : false, "suffix" : "" }, { "dropping-particle" : "", "family" : "Romero", "given" : "L", "non-dropping-particle" : "", "parse-names" : false, "suffix" : "" }, { "dropping-particle" : "", "family" : "Heymsfield", "given" : "S B", "non-dropping-particle" : "", "parse-names" : false, "suffix" : "" }, { "dropping-particle" : "", "family" : "Ross", "given" : "R R", "non-dropping-particle" : "", "parse-names" : false, "suffix" : "" }, { "dropping-particle" : "", "family" : "Garry", "given" : "P J", "non-dropping-particle" : "", "parse-names" : false, "suffix" : "" }, { "dropping-particle" : "", "family" : "Lindeman", "given" : "R D", "non-dropping-particle" : "", "parse-names" : false, "suffix" : "" } ], "container-title" : "American journal of epidemiology", "id" : "ITEM-1", "issue" : "8", "issued" : { "date-parts" : [ [ "1998", "4", "15" ] ] }, "page" : "755-763", "title" : "Epidemiology of sarcopenia among the elderly in New Mexico.", "type" : "article-journal", "volume" : "147" }, "uris" : [ "http://www.mendeley.com/documents/?uuid=32c14857-dcbe-4114-8e60-6944b25f5c1f" ] } ], "mendeley" : { "formattedCitation" : "&lt;sup&gt;7&lt;/sup&gt;", "plainTextFormattedCitation" : "7", "previouslyFormattedCitation" : "&lt;sup&gt;7&lt;/sup&gt;" }, "properties" : { "noteIndex" : 0 }, "schema" : "https://github.com/citation-style-language/schema/raw/master/csl-citation.json" }</w:instrText>
      </w:r>
      <w:r w:rsidR="00851834">
        <w:rPr>
          <w:rFonts w:cs="Times New Roman"/>
        </w:rPr>
        <w:fldChar w:fldCharType="separate"/>
      </w:r>
      <w:proofErr w:type="gramStart"/>
      <w:r w:rsidR="003605CC" w:rsidRPr="003605CC">
        <w:rPr>
          <w:rFonts w:cs="Times New Roman"/>
          <w:noProof/>
          <w:vertAlign w:val="superscript"/>
        </w:rPr>
        <w:t>7</w:t>
      </w:r>
      <w:r w:rsidR="00851834">
        <w:rPr>
          <w:rFonts w:cs="Times New Roman"/>
        </w:rPr>
        <w:fldChar w:fldCharType="end"/>
      </w:r>
      <w:r w:rsidR="005A1D98" w:rsidRPr="00875699">
        <w:rPr>
          <w:rFonts w:cs="Times New Roman"/>
        </w:rPr>
        <w:t xml:space="preserve">, </w:t>
      </w:r>
      <w:r>
        <w:rPr>
          <w:rFonts w:cs="Times New Roman"/>
        </w:rPr>
        <w:t xml:space="preserve">which is </w:t>
      </w:r>
      <w:r w:rsidR="005A1D98" w:rsidRPr="00875699">
        <w:rPr>
          <w:rFonts w:cs="Times New Roman"/>
        </w:rPr>
        <w:t>having a relative appendicular muscle mass divided by height less than two standard deviations below sex-matched younger counterparts</w:t>
      </w:r>
      <w:r>
        <w:rPr>
          <w:rFonts w:cs="Times New Roman"/>
        </w:rPr>
        <w:t>.</w:t>
      </w:r>
      <w:proofErr w:type="gramEnd"/>
      <w:r>
        <w:rPr>
          <w:rFonts w:cs="Times New Roman"/>
        </w:rPr>
        <w:t xml:space="preserve"> N</w:t>
      </w:r>
      <w:r w:rsidR="005A1D98" w:rsidRPr="00875699">
        <w:rPr>
          <w:rFonts w:cs="Times New Roman"/>
        </w:rPr>
        <w:t>early half of all adults over the age of 80 are considered sarcopenic</w:t>
      </w:r>
      <w:r w:rsidR="005A1D98" w:rsidRPr="00875699">
        <w:rPr>
          <w:rFonts w:cs="Times New Roman"/>
        </w:rPr>
        <w:fldChar w:fldCharType="begin" w:fldLock="1"/>
      </w:r>
      <w:r w:rsidR="00225DB1">
        <w:rPr>
          <w:rFonts w:cs="Times New Roman"/>
        </w:rPr>
        <w:instrText>ADDIN CSL_CITATION { "citationItems" : [ { "id" : "ITEM-1", "itemData" : { "DOI" : "10.1186/1471-2318-7-5", "ISBN" : "0002-9262 (Print)", "ISSN" : "0002-9262", "PMID" : "9554417", "abstract" : "Muscle mass decreases with age, leading to \"sarcopenia,\" or low relative muscle mass, in elderly people. Sarcopenia is believed to be associated with metabolic, physiologic, and functional impairments and disability. Methods of estimating the prevalence of sarcopenia and its associated risks in elderly populations are lacking. Data from a population-based survey of 883 elderly Hispanic and non-Hispanic white men and women living in New Mexico (the New Mexico Elder Health Survey, 1993-1995) were analyzed to develop a method for estimating the prevalence of sarcopenia. An anthropometric equation for predicting appendicular skeletal muscle mass was developed from a random subsample (n = 199) of participants and was extended to the total sample. Sarcopenia was defined as appendicular skeletal muscle mass (kg)/height2 (m2) being less than two standard deviations below the mean of a young reference group. Prevalences increased from 13-24% in persons under 70 years of age to &gt;50% in persons over 80 years of age, and were slightly greater in Hispanics than in non-Hispanic whites. Sarcopenia was significantly associated with self-reported physical disability in both men and women, independent of ethnicity, age, morbidity, obesity, income, and health behaviors. This study provides some of the first estimates of the extent of the public health problem posed by sarcopenia.", "author" : [ { "dropping-particle" : "", "family" : "Baumgartner", "given" : "R N", "non-dropping-particle" : "", "parse-names" : false, "suffix" : "" }, { "dropping-particle" : "", "family" : "Koehler", "given" : "K M", "non-dropping-particle" : "", "parse-names" : false, "suffix" : "" }, { "dropping-particle" : "", "family" : "Gallagher", "given" : "D", "non-dropping-particle" : "", "parse-names" : false, "suffix" : "" }, { "dropping-particle" : "", "family" : "Romero", "given" : "L", "non-dropping-particle" : "", "parse-names" : false, "suffix" : "" }, { "dropping-particle" : "", "family" : "Heymsfield", "given" : "S B", "non-dropping-particle" : "", "parse-names" : false, "suffix" : "" }, { "dropping-particle" : "", "family" : "Ross", "given" : "R R", "non-dropping-particle" : "", "parse-names" : false, "suffix" : "" }, { "dropping-particle" : "", "family" : "Garry", "given" : "P J", "non-dropping-particle" : "", "parse-names" : false, "suffix" : "" }, { "dropping-particle" : "", "family" : "Lindeman", "given" : "R D", "non-dropping-particle" : "", "parse-names" : false, "suffix" : "" } ], "container-title" : "American journal of epidemiology", "id" : "ITEM-1", "issue" : "8", "issued" : { "date-parts" : [ [ "1998", "4", "15" ] ] }, "page" : "755-763", "title" : "Epidemiology of sarcopenia among the elderly in New Mexico.", "type" : "article-journal", "volume" : "147" }, "uris" : [ "http://www.mendeley.com/documents/?uuid=32c14857-dcbe-4114-8e60-6944b25f5c1f" ] }, { "id" : "ITEM-2", "itemData" : { "DOI" : "10.1093/gerona/57.12.M772", "ISBN" : "1079-5006 (Print)\r1079-5006 (Linking)", "ISSN" : "1079-5006", "PMID" : "12456735", "abstract" : "BACKGROUND: Sarcopenia refers to the loss of skeletal muscle mass with age. The objective of this study was to determine the prevalence of sarcopenia in a population of older, community-dwelling research volunteers. METHODS: Appendicular skeletal muscle mass was measured by dual x-ray absorptiometry in 195 women aged 64 to 93 years and 142 men aged 64 to 92 years. We defined sarcopenia as appendicular skeletal muscle mass/height(2) (square meters) less than 2 standard deviations below the mean for young, healthy reference populations. We used two different reference populations and compared prevalence in our population to that reported in previous studies. Body mass index (BMI) was calculated and physical activity and performance were measured with the Physical Activity Scale for the Elderly, the Short Physical Performance Battery, and the Physical Performance Test. We measured health-related quality of life by using the SF-36 general health survey. Serum estrone, estradiol, sex hormone-binding globulin, parathyroid hormone, and 25-hydroxy vitamin D were measured in all participants and bioavailable testosterone was measured only in men. Leg press strength and leg press power were determined in men. RESULTS: The prevalence of sarcopenia in our cohort was 22.6% in women and 26.8% in men. A subgroup analysis of women and men 80 years or older revealed prevalence rates of 31.0% and 52.9%, respectively. In women, skeletal muscle mass correlated significantly with BMI and levels of serum estrone, estradiol, and 25-hydroxy vitamin D; in men, it correlated significantly with BMI, single leg stance time, leg press strength, leg press power, SF-36 general health score, Physical Performance Test total score, and bioavailable testosterone levels. With the use of linear regression analysis, BMI was the only predictor of appendicular skeletal muscle mass in women, accounting for 47.9% of the variance (p &lt;.05). In men, BMI accounted for 50.1%, mean strength accounted for 10.3%, mean power accounted for 4.1%, and bioavailable testosterone accounted for 2.6% of the variance in appendicular skeletal muscle mass (p &lt;.05). CONCLUSIONS: Sarcopenia is common in adults over the age of 65 years and increases with age. BMI is a strong predictor of skeletal muscle mass in women and men. Strength, power, and bioavailable testosterone are further contributors in men. These data suggest that interventions to target nutrition, strength training, and testosterone replacement therapy\u2026", "author" : [ { "dropping-particle" : "", "family" : "Iannuzzi-Sucich", "given" : "Michele", "non-dropping-particle" : "", "parse-names" : false, "suffix" : "" }, { "dropping-particle" : "", "family" : "Prestwood", "given" : "Karen M", "non-dropping-particle" : "", "parse-names" : false, "suffix" : "" }, { "dropping-particle" : "", "family" : "Kenny", "given" : "Anne M", "non-dropping-particle" : "", "parse-names" : false, "suffix" : "" } ], "container-title" : "The journals of gerontology. Series A, Biological sciences and medical sciences", "id" : "ITEM-2", "issue" : "12", "issued" : { "date-parts" : [ [ "2002", "12" ] ] }, "page" : "M772-M777", "title" : "Prevalence of sarcopenia and predictors of skeletal muscle mass in healthy, older men and women.", "type" : "article-journal", "volume" : "57" }, "uris" : [ "http://www.mendeley.com/documents/?uuid=ec94d33f-33d9-484f-bf5a-af639f66d98f" ] }, { "id" : "ITEM-3", "itemData" : { "DOI" : "10.1093/aje/kwh058", "ISBN" : "0002-9262", "ISSN" : "00029262", "PMID" : "14769646", "abstract" : "The purpose of this study was to determine skeletal muscle cutpoints for identifying elevated physical disability risk in older adults. Subjects included 4,449 older (&gt; or = 60 years) participants from the Third National Health and Nutrition Examination Survey during 1988-1994. Physical disability was assessed by questionnaire, and bioimpedance was used to estimate skeletal muscle, which was normalized for height. Receiver operating characteristics were used to develop the skeletal muscle cutpoints associated with a high likelihood of physical disability. Odds for physical disability were compared in subjects whose measures fell above and below these cutpoints. Skeletal muscle cutpoints of 5.76-6.75 and &lt; or =5.75 kg/m2 were selected to denote moderate and high physical disability risk in women. The corresponding values in men were 8.51-10.75 and &lt; or =8.50 kg/m2. Compared with women with low-risk skeletal muscle values, women with moderate- and high-risk skeletal muscle values had odds for physical disability of 1.41 (95% confidence interval (CI): 0.97, 2.04) and 3.31 (95% CI: 1.91, 5.73), respectively. The corresponding odds in men were 3.65 (95% CI: 1.92, 6.94) and 4.71 (95% CI: 2.28, 9.74). This study presents skeletal muscle cutpoints for physical disability risk in older adults. Future applications of these cutpoints include the comparison of morbidity risk in older persons with normal muscle mass and those with sarcopenia, the determination and comparison of sarcopenia prevalences, and the estimation of health-care costs attributable to sarcopenia.", "author" : [ { "dropping-particle" : "", "family" : "Janssen", "given" : "Ian", "non-dropping-particle" : "", "parse-names" : false, "suffix" : "" }, { "dropping-particle" : "", "family" : "Baumgartner", "given" : "Richard N.", "non-dropping-particle" : "", "parse-names" : false, "suffix" : "" }, { "dropping-particle" : "", "family" : "Ross", "given" : "Robert", "non-dropping-particle" : "", "parse-names" : false, "suffix" : "" }, { "dropping-particle" : "", "family" : "Rosenberg", "given" : "Irwin H.", "non-dropping-particle" : "", "parse-names" : false, "suffix" : "" }, { "dropping-particle" : "", "family" : "Roubenoff", "given" : "Ronenn", "non-dropping-particle" : "", "parse-names" : false, "suffix" : "" } ], "container-title" : "American Journal of Epidemiology", "id" : "ITEM-3", "issue" : "4", "issued" : { "date-parts" : [ [ "2004", "2", "15" ] ] }, "page" : "413-421", "title" : "Skeletal Muscle Cutpoints Associated with Elevated Physical Disability Risk in Older Men and Women", "type" : "article-journal", "volume" : "159" }, "uris" : [ "http://www.mendeley.com/documents/?uuid=a48b8d64-cd67-4290-841b-e54d522e940a" ] } ], "mendeley" : { "formattedCitation" : "&lt;sup&gt;7,8,10&lt;/sup&gt;", "plainTextFormattedCitation" : "7,8,10", "previouslyFormattedCitation" : "&lt;sup&gt;7,8,10&lt;/sup&gt;" }, "properties" : { "noteIndex" : 0 }, "schema" : "https://github.com/citation-style-language/schema/raw/master/csl-citation.json" }</w:instrText>
      </w:r>
      <w:r w:rsidR="005A1D98" w:rsidRPr="00875699">
        <w:rPr>
          <w:rFonts w:cs="Times New Roman"/>
        </w:rPr>
        <w:fldChar w:fldCharType="separate"/>
      </w:r>
      <w:r w:rsidR="003605CC" w:rsidRPr="003605CC">
        <w:rPr>
          <w:rFonts w:cs="Times New Roman"/>
          <w:noProof/>
          <w:vertAlign w:val="superscript"/>
        </w:rPr>
        <w:t>7,8,10</w:t>
      </w:r>
      <w:r w:rsidR="005A1D98" w:rsidRPr="00875699">
        <w:rPr>
          <w:rFonts w:cs="Times New Roman"/>
        </w:rPr>
        <w:fldChar w:fldCharType="end"/>
      </w:r>
      <w:r w:rsidR="005A1D98" w:rsidRPr="00875699">
        <w:rPr>
          <w:rFonts w:cs="Times New Roman"/>
        </w:rPr>
        <w:t xml:space="preserve">. </w:t>
      </w:r>
    </w:p>
    <w:p w14:paraId="3E4BCB00" w14:textId="0265BD4C" w:rsidR="005A1D98" w:rsidRPr="00795B8F" w:rsidRDefault="00875699" w:rsidP="002E042C">
      <w:pPr>
        <w:pStyle w:val="Heading3"/>
        <w:numPr>
          <w:ilvl w:val="0"/>
          <w:numId w:val="10"/>
        </w:numPr>
        <w:ind w:left="993"/>
      </w:pPr>
      <w:bookmarkStart w:id="6" w:name="_Toc296814780"/>
      <w:bookmarkStart w:id="7" w:name="_Toc296932759"/>
      <w:r>
        <w:t>Functional i</w:t>
      </w:r>
      <w:r w:rsidR="005A1D98" w:rsidRPr="00795B8F">
        <w:t>mpairments</w:t>
      </w:r>
      <w:bookmarkEnd w:id="6"/>
      <w:bookmarkEnd w:id="7"/>
    </w:p>
    <w:p w14:paraId="7CB79E4E" w14:textId="3E8841AE" w:rsidR="005A1D98" w:rsidRPr="00795B8F" w:rsidRDefault="005A1D98" w:rsidP="005A1D98">
      <w:pPr>
        <w:spacing w:line="480" w:lineRule="auto"/>
        <w:ind w:firstLine="720"/>
        <w:rPr>
          <w:rFonts w:cs="Times New Roman"/>
        </w:rPr>
      </w:pPr>
      <w:r w:rsidRPr="00795B8F">
        <w:rPr>
          <w:rFonts w:cs="Times New Roman"/>
        </w:rPr>
        <w:t>Functional impairments of elderly adults with sarcopenia have a considerable impact on the</w:t>
      </w:r>
      <w:r>
        <w:rPr>
          <w:rFonts w:cs="Times New Roman"/>
        </w:rPr>
        <w:t>ir</w:t>
      </w:r>
      <w:r w:rsidRPr="00795B8F">
        <w:rPr>
          <w:rFonts w:cs="Times New Roman"/>
        </w:rPr>
        <w:t xml:space="preserve"> health and quality of life. </w:t>
      </w:r>
      <w:r>
        <w:rPr>
          <w:rFonts w:cs="Times New Roman"/>
        </w:rPr>
        <w:t>The</w:t>
      </w:r>
      <w:r w:rsidRPr="00795B8F">
        <w:rPr>
          <w:rFonts w:cs="Times New Roman"/>
        </w:rPr>
        <w:t xml:space="preserve"> basic </w:t>
      </w:r>
      <w:r>
        <w:rPr>
          <w:rFonts w:cs="Times New Roman"/>
        </w:rPr>
        <w:t xml:space="preserve">function </w:t>
      </w:r>
      <w:r w:rsidRPr="00795B8F">
        <w:rPr>
          <w:rFonts w:cs="Times New Roman"/>
        </w:rPr>
        <w:t>of skeletal muscle is</w:t>
      </w:r>
      <w:r>
        <w:rPr>
          <w:rFonts w:cs="Times New Roman"/>
        </w:rPr>
        <w:t xml:space="preserve"> to produce</w:t>
      </w:r>
      <w:r w:rsidRPr="00795B8F">
        <w:rPr>
          <w:rFonts w:cs="Times New Roman"/>
        </w:rPr>
        <w:t xml:space="preserve"> force</w:t>
      </w:r>
      <w:r>
        <w:rPr>
          <w:rFonts w:cs="Times New Roman"/>
        </w:rPr>
        <w:t xml:space="preserve">, which under defined conditions </w:t>
      </w:r>
      <w:r w:rsidRPr="00795B8F">
        <w:rPr>
          <w:rFonts w:cs="Times New Roman"/>
        </w:rPr>
        <w:t xml:space="preserve">is proportional to </w:t>
      </w:r>
      <w:r>
        <w:rPr>
          <w:rFonts w:cs="Times New Roman"/>
        </w:rPr>
        <w:t xml:space="preserve">muscle </w:t>
      </w:r>
      <w:r w:rsidRPr="00795B8F">
        <w:rPr>
          <w:rFonts w:cs="Times New Roman"/>
        </w:rPr>
        <w:t>cross-sectional area</w:t>
      </w:r>
      <w:r w:rsidRPr="00795B8F">
        <w:rPr>
          <w:rFonts w:cs="Times New Roman"/>
        </w:rPr>
        <w:fldChar w:fldCharType="begin" w:fldLock="1"/>
      </w:r>
      <w:r w:rsidR="006670B1">
        <w:rPr>
          <w:rFonts w:cs="Times New Roman"/>
        </w:rPr>
        <w:instrText>ADDIN CSL_CITATION { "citationItems" : [ { "id" : "ITEM-1", "itemData" : { "DOI" : "10.1007/BF00696087", "ISBN" : "0020-9376; 0020-9376", "ISSN" : "14396319", "PMID" : "5700894", "abstract" : "Summary. By means of the ultrasonic photography of the cross-section of the acting muscle bundle, together with the measurement of the muscle strength developed by the subject with maximum effort, the strength per unit area of the muscle was calculated in 245 healthy human subjects, including 119 male and 126 female. The result was summarized as the following: 1. The ultrasonic method used in this work was possibly admitted as the best way to calculate the cross-sectional area of the muscle. 2. The arm strength was fairly proportional to the cross-sectional area of the flexor of the upper arm regardless of age and sex. 3. The strength per unit cross-sectional area of flexor of the upper arm was 6.3 kg/cm ~ in the average, standard deviation of 0.81 kg/cm e. When cross-sectional area of muscle was measured at extensive position of the forearm the strength per unit area was calculated to be 4.7 kg/cm 2 at flexed position of the forearm. 4. As to the individual variation, the strength per unit area was distributed in a range from 4 kg/cm ~ to 8 kg/cm% 5. The strength per unit cross-sectional area was almost the same in male and female regardless of age. In addition to that, there was not found any significant difference in ordinary and trained adult.", "author" : [ { "dropping-particle" : "", "family" : "Ikai", "given" : "Michio", "non-dropping-particle" : "", "parse-names" : false, "suffix" : "" }, { "dropping-particle" : "", "family" : "Fukunaga", "given" : "Tetsuo", "non-dropping-particle" : "", "parse-names" : false, "suffix" : "" } ], "container-title" : "Internationale Zeitschrift f\u00fcr Angewandte Physiologie Einschlie\u00dflich Arbeitsphysiologie", "id" : "ITEM-1", "issue" : "1", "issued" : { "date-parts" : [ [ "1968", "1" ] ] }, "note" : "From Duplicate 2 ( ", "page" : "26-32", "title" : "Calculation of muscle strength per unit cross-sectional area of human muscle by means of ultrasonic measurement", "type" : "article-journal", "volume" : "26" }, "uris" : [ "http://www.mendeley.com/documents/?uuid=72f916df-76b8-4767-ba40-b1cefd0e5758" ] } ], "mendeley" : { "formattedCitation" : "&lt;sup&gt;11&lt;/sup&gt;", "plainTextFormattedCitation" : "11", "previouslyFormattedCitation" : "&lt;sup&gt;11&lt;/sup&gt;"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11</w:t>
      </w:r>
      <w:r w:rsidRPr="00795B8F">
        <w:rPr>
          <w:rFonts w:cs="Times New Roman"/>
        </w:rPr>
        <w:fldChar w:fldCharType="end"/>
      </w:r>
      <w:r>
        <w:rPr>
          <w:rFonts w:cs="Times New Roman"/>
        </w:rPr>
        <w:t>.</w:t>
      </w:r>
      <w:r w:rsidRPr="00795B8F">
        <w:rPr>
          <w:rFonts w:cs="Times New Roman"/>
        </w:rPr>
        <w:t xml:space="preserve"> </w:t>
      </w:r>
      <w:r>
        <w:rPr>
          <w:rFonts w:cs="Times New Roman"/>
        </w:rPr>
        <w:t xml:space="preserve">Thus, </w:t>
      </w:r>
      <w:r w:rsidRPr="00795B8F">
        <w:rPr>
          <w:rFonts w:cs="Times New Roman"/>
        </w:rPr>
        <w:t>sarcopenic adults who have experienced significant declines in muscle mass while aging lose strength as well</w:t>
      </w:r>
      <w:r w:rsidRPr="00795B8F">
        <w:rPr>
          <w:rFonts w:cs="Times New Roman"/>
        </w:rPr>
        <w:fldChar w:fldCharType="begin" w:fldLock="1"/>
      </w:r>
      <w:r w:rsidR="00225DB1">
        <w:rPr>
          <w:rFonts w:cs="Times New Roman"/>
        </w:rPr>
        <w:instrText>ADDIN CSL_CITATION { "citationItems" : [ { "id" : "ITEM-1", "itemData" : { "ISBN" : "8750-7587 (Print)", "ISSN" : "8750-7587", "PMID" : "1938738", "abstract" : "The isokinetic strength of the elbow and knee extensors and flexors was measured in 200 healthy 45- to 78-yr-old men and women to examine the relationship between muscle strength, age, and body composition. Peak torque was measured at 60 and 240 degrees/s in the knee and at 60 and 180 degrees/s in the elbow by use of a Cybex II isokinetic dynamometer. Fat-free mass (FFM) was estimated by hydrostatic weighing in all subjects, and muscle mass (MM) was determined in 141 subjects from urinary creatinine excretion. FFM and MM were significantly lower (P less than 0.001) in the oldest group. Strength of all muscle groups at both testing speeds was significantly (P less than 0.006) lower (range 15.5-26.7%) in the 65- to 78- than in the 45- to 54-yr-old men and women. When strength was adjusted for FFM or MM, the age-related differences were not significant in all muscle groups except the knee extensors tested at 240 degrees/s. Absolute strength of the women ranged from 42.2 to 62.8% that of men. When strength was expressed per kilogram of MM, these gender differences were smaller and/or not present. These data suggest that MM is a major determinant of the age- and gender-related differences in skeletal muscle strength. Furthermore, this finding is, to a large extent, independent of muscle location (upper vs. lower extremities) and function (extension vs. flexion).", "author" : [ { "dropping-particle" : "", "family" : "Frontera", "given" : "W R", "non-dropping-particle" : "", "parse-names" : false, "suffix" : "" }, { "dropping-particle" : "", "family" : "Hughes", "given" : "V a", "non-dropping-particle" : "", "parse-names" : false, "suffix" : "" }, { "dropping-particle" : "", "family" : "Lutz", "given" : "K J", "non-dropping-particle" : "", "parse-names" : false, "suffix" : "" }, { "dropping-particle" : "", "family" : "Evans", "given" : "W J", "non-dropping-particle" : "", "parse-names" : false, "suffix" : "" } ], "container-title" : "Journal of applied physiology (Bethesda, Md. : 1985)", "id" : "ITEM-1", "issue" : "2", "issued" : { "date-parts" : [ [ "1991", "8" ] ] }, "page" : "644-650", "title" : "A cross-sectional study of muscle strength and mass in 45- to 78-yr-old men and women.", "type" : "article-journal", "volume" : "71" }, "uris" : [ "http://www.mendeley.com/documents/?uuid=1bd70a01-9d64-429f-bfd8-ae0a53832f3a" ] }, { "id" : "ITEM-2", "itemData" : { "ISSN" : "1079-5006", "PMID" : "17077199", "abstract" : "BACKGROUND: The loss of muscle mass is considered to be a major determinant of strength loss in aging. However, large-scale longitudinal studies examining the association between the loss of mass and strength in older adults are lacking.\\n\\nMETHODS: Three-year changes in muscle mass and strength were determined in 1880 older adults in the Health, Aging and Body Composition Study. Knee extensor strength was measured by isokinetic dynamometry. Whole body and appendicular lean and fat mass were assessed by dual-energy x-ray absorptiometry and computed tomography.\\n\\nRESULTS: Both men and women lost strength, with men losing almost twice as much strength as women. Blacks lost about 28% more strength than did whites. Annualized rates of leg strength decline (3.4% in white men, 4.1% in black men, 2.6% in white women, and 3.0% in black women) were about three times greater than the rates of loss of leg lean mass ( approximately 1% per year). The loss of lean mass, as well as higher baseline strength, lower baseline leg lean mass, and older age, was independently associated with strength decline in both men and women. However, gain of lean mass was not accompanied by strength maintenance or gain (ss coefficients; men, -0.48 +/- 4.61, p =.92, women, -1.68 +/- 3.57, p =.64).\\n\\nCONCLUSIONS: Although the loss of muscle mass is associated with the decline in strength in older adults, this strength decline is much more rapid than the concomitant loss of muscle mass, suggesting a decline in muscle quality. Moreover, maintaining or gaining muscle mass does not prevent aging-associated declines in muscle strength.", "author" : [ { "dropping-particle" : "", "family" : "Goodpaster", "given" : "Bret H", "non-dropping-particle" : "", "parse-names" : false, "suffix" : "" }, { "dropping-particle" : "", "family" : "Park", "given" : "Seok Won", "non-dropping-particle" : "", "parse-names" : false, "suffix" : "" }, { "dropping-particle" : "", "family" : "Harris", "given" : "Tamara B", "non-dropping-particle" : "", "parse-names" : false, "suffix" : "" }, { "dropping-particle" : "", "family" : "Kritchevsky", "given" : "Steven B", "non-dropping-particle" : "", "parse-names" : false, "suffix" : "" }, { "dropping-particle" : "", "family" : "Nevitt", "given" : "Michael",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"Tylavsky", "given" : "Frances a", "non-dropping-particle" : "", "parse-names" : false, "suffix" : "" }, { "dropping-particle" : "", "family" : "Visser", "given" : "Marjolein", "non-dropping-particle" : "", "parse-names" : false, "suffix" : "" }, { "dropping-particle" : "", "family" : "Newman", "given" : "Anne B", "non-dropping-particle" : "", "parse-names" : false, "suffix" : "" }, { "dropping-particle" : "", "family" : "Abc", "given" : "Health", "non-dropping-particle" : "", "parse-names" : false, "suffix" : "" } ], "container-title" : "Journal of Gerontology", "id" : "ITEM-2", "issue" : "10", "issued" : { "date-parts" : [ [ "2006", "10" ] ] }, "page" : "1059-64", "title" : "The loss of skeletal muscle strength, mass, and quality in older adults: the health, aging and body composition study", "type" : "article-journal", "volume" : "61" }, "uris" : [ "http://www.mendeley.com/documents/?uuid=11286141-9f74-4e93-a87c-a365a55c5659" ] } ], "mendeley" : { "formattedCitation" : "&lt;sup&gt;6,12&lt;/sup&gt;", "plainTextFormattedCitation" : "6,12", "previouslyFormattedCitation" : "&lt;sup&gt;6,12&lt;/sup&gt;"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6,12</w:t>
      </w:r>
      <w:r w:rsidRPr="00795B8F">
        <w:rPr>
          <w:rFonts w:cs="Times New Roman"/>
        </w:rPr>
        <w:fldChar w:fldCharType="end"/>
      </w:r>
      <w:r w:rsidRPr="00795B8F">
        <w:rPr>
          <w:rFonts w:cs="Times New Roman"/>
        </w:rPr>
        <w:t>. However, muscle strength is lost at an even more precipitous rate c</w:t>
      </w:r>
      <w:r>
        <w:rPr>
          <w:rFonts w:cs="Times New Roman"/>
        </w:rPr>
        <w:t>ompared to mass</w:t>
      </w:r>
      <w:r w:rsidRPr="00795B8F">
        <w:rPr>
          <w:rFonts w:cs="Times New Roman"/>
        </w:rPr>
        <w:t xml:space="preserve"> </w:t>
      </w:r>
      <w:r w:rsidRPr="00795B8F">
        <w:rPr>
          <w:rFonts w:cs="Times New Roman"/>
        </w:rPr>
        <w:fldChar w:fldCharType="begin" w:fldLock="1"/>
      </w:r>
      <w:r w:rsidR="00225DB1">
        <w:rPr>
          <w:rFonts w:cs="Times New Roman"/>
        </w:rPr>
        <w:instrText>ADDIN CSL_CITATION { "citationItems" : [ { "id" : "ITEM-1", "itemData" : { "ISSN" : "1079-5006", "PMID" : "17077199", "abstract" : "BACKGROUND: The loss of muscle mass is considered to be a major determinant of strength loss in aging. However, large-scale longitudinal studies examining the association between the loss of mass and strength in older adults are lacking.\\n\\nMETHODS: Three-year changes in muscle mass and strength were determined in 1880 older adults in the Health, Aging and Body Composition Study. Knee extensor strength was measured by isokinetic dynamometry. Whole body and appendicular lean and fat mass were assessed by dual-energy x-ray absorptiometry and computed tomography.\\n\\nRESULTS: Both men and women lost strength, with men losing almost twice as much strength as women. Blacks lost about 28% more strength than did whites. Annualized rates of leg strength decline (3.4% in white men, 4.1% in black men, 2.6% in white women, and 3.0% in black women) were about three times greater than the rates of loss of leg lean mass ( approximately 1% per year). The loss of lean mass, as well as higher baseline strength, lower baseline leg lean mass, and older age, was independently associated with strength decline in both men and women. However, gain of lean mass was not accompanied by strength maintenance or gain (ss coefficients; men, -0.48 +/- 4.61, p =.92, women, -1.68 +/- 3.57, p =.64).\\n\\nCONCLUSIONS: Although the loss of muscle mass is associated with the decline in strength in older adults, this strength decline is much more rapid than the concomitant loss of muscle mass, suggesting a decline in muscle quality. Moreover, maintaining or gaining muscle mass does not prevent aging-associated declines in muscle strength.", "author" : [ { "dropping-particle" : "", "family" : "Goodpaster", "given" : "Bret H", "non-dropping-particle" : "", "parse-names" : false, "suffix" : "" }, { "dropping-particle" : "", "family" : "Park", "given" : "Seok Won", "non-dropping-particle" : "", "parse-names" : false, "suffix" : "" }, { "dropping-particle" : "", "family" : "Harris", "given" : "Tamara B", "non-dropping-particle" : "", "parse-names" : false, "suffix" : "" }, { "dropping-particle" : "", "family" : "Kritchevsky", "given" : "Steven B", "non-dropping-particle" : "", "parse-names" : false, "suffix" : "" }, { "dropping-particle" : "", "family" : "Nevitt", "given" : "Michael",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"Tylavsky", "given" : "Frances a", "non-dropping-particle" : "", "parse-names" : false, "suffix" : "" }, { "dropping-particle" : "", "family" : "Visser", "given" : "Marjolein", "non-dropping-particle" : "", "parse-names" : false, "suffix" : "" }, { "dropping-particle" : "", "family" : "Newman", "given" : "Anne B", "non-dropping-particle" : "", "parse-names" : false, "suffix" : "" }, { "dropping-particle" : "", "family" : "Abc", "given" : "Health", "non-dropping-particle" : "", "parse-names" : false, "suffix" : "" } ], "container-title" : "Journal of Gerontology", "id" : "ITEM-1", "issue" : "10", "issued" : { "date-parts" : [ [ "2006", "10" ] ] }, "page" : "1059-64", "title" : "The loss of skeletal muscle strength, mass, and quality in older adults: the health, aging and body composition study", "type" : "article-journal", "volume" : "61" }, "uris" : [ "http://www.mendeley.com/documents/?uuid=11286141-9f74-4e93-a87c-a365a55c5659" ] }, { "id" : "ITEM-2", "itemData" : { "ISBN" : "1279-7707 (Print)", "ISSN" : "1279-7707", "PMID" : "16395513", "abstract" : "Skeletal muscle (SM) plays a central role in many biological functions, such as movement and metabolism, and alterations in SM mass and composition can have a marked influence on health and disease. The purpose of this review was to examine and characterize age-related changes in SM mass and composition and to link these changes to corresponding changes in metabolism and disease. It can be concluded from several studies that SM mass decreases with advancing age in both men and women. The age-related reduction in SM, also known as sarcopenia, is related to a corresponding reduction in SM strength, and if left untreated, sarcopenia may lead to functional impairment and physical disability. An emerging body of evidence also suggests that age-related changes in the composition of SM, particularly the accumulation of lipids within SM fibers, may lead to metabolic disorders such as insulin resistance.", "author" : [ { "dropping-particle" : "", "family" : "Janssen", "given" : "I", "non-dropping-particle" : "", "parse-names" : false, "suffix" : "" }, { "dropping-particle" : "", "family" : "Ross", "given" : "R", "non-dropping-particle" : "", "parse-names" : false, "suffix" : "" } ], "container-title" : "The journal of nutrition, health &amp; aging", "id" : "ITEM-2", "issue" : "6", "issued" : { "date-parts" : [ [ "2005" ] ] }, "page" : "408-419", "title" : "Linking age-related changes in skeletal muscle mass and composition with metabolism and disease.", "type" : "article-journal", "volume" : "9" }, "uris" : [ "http://www.mendeley.com/documents/?uuid=25d99620-9f69-41e9-b14e-977a5a9c877d" ] } ], "mendeley" : { "formattedCitation" : "&lt;sup&gt;4,6&lt;/sup&gt;", "plainTextFormattedCitation" : "4,6", "previouslyFormattedCitation" : "&lt;sup&gt;4,6&lt;/sup&gt;"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4,6</w:t>
      </w:r>
      <w:r w:rsidRPr="00795B8F">
        <w:rPr>
          <w:rFonts w:cs="Times New Roman"/>
        </w:rPr>
        <w:fldChar w:fldCharType="end"/>
      </w:r>
      <w:r w:rsidRPr="00795B8F">
        <w:rPr>
          <w:rFonts w:cs="Times New Roman"/>
        </w:rPr>
        <w:t xml:space="preserve">, implicating </w:t>
      </w:r>
      <w:r w:rsidR="007649BF">
        <w:rPr>
          <w:rFonts w:cs="Times New Roman"/>
        </w:rPr>
        <w:t xml:space="preserve">and age-related decline in </w:t>
      </w:r>
      <w:r w:rsidRPr="00795B8F">
        <w:rPr>
          <w:rFonts w:cs="Times New Roman"/>
        </w:rPr>
        <w:t xml:space="preserve">muscle quality (force per muscle area) as a process in aging. </w:t>
      </w:r>
      <w:r>
        <w:rPr>
          <w:rFonts w:cs="Times New Roman"/>
        </w:rPr>
        <w:t>In this regard, results from a</w:t>
      </w:r>
      <w:r w:rsidRPr="00795B8F">
        <w:rPr>
          <w:rFonts w:cs="Times New Roman"/>
        </w:rPr>
        <w:t xml:space="preserve"> large cross-sectional </w:t>
      </w:r>
      <w:r>
        <w:rPr>
          <w:rFonts w:cs="Times New Roman"/>
        </w:rPr>
        <w:t xml:space="preserve">study </w:t>
      </w:r>
      <w:r w:rsidRPr="00795B8F">
        <w:rPr>
          <w:rFonts w:cs="Times New Roman"/>
        </w:rPr>
        <w:t>s</w:t>
      </w:r>
      <w:r>
        <w:rPr>
          <w:rFonts w:cs="Times New Roman"/>
        </w:rPr>
        <w:t>howed that amongst 4505 older adults</w:t>
      </w:r>
      <w:r w:rsidRPr="00795B8F">
        <w:rPr>
          <w:rFonts w:cs="Times New Roman"/>
        </w:rPr>
        <w:t xml:space="preserve"> those deemed </w:t>
      </w:r>
      <w:r>
        <w:rPr>
          <w:rFonts w:cs="Times New Roman"/>
        </w:rPr>
        <w:t xml:space="preserve">to be </w:t>
      </w:r>
      <w:r w:rsidRPr="00795B8F">
        <w:rPr>
          <w:rFonts w:cs="Times New Roman"/>
        </w:rPr>
        <w:lastRenderedPageBreak/>
        <w:t>moderately and severely sarcopenic</w:t>
      </w:r>
      <w:r>
        <w:rPr>
          <w:rFonts w:cs="Times New Roman"/>
        </w:rPr>
        <w:t>,</w:t>
      </w:r>
      <w:r w:rsidRPr="00795B8F">
        <w:rPr>
          <w:rFonts w:cs="Times New Roman"/>
        </w:rPr>
        <w:t xml:space="preserve"> by lower levels of relative muscle mass</w:t>
      </w:r>
      <w:r>
        <w:rPr>
          <w:rFonts w:cs="Times New Roman"/>
        </w:rPr>
        <w:t>,</w:t>
      </w:r>
      <w:r w:rsidRPr="00795B8F">
        <w:rPr>
          <w:rFonts w:cs="Times New Roman"/>
        </w:rPr>
        <w:t xml:space="preserve"> more often reported difficulty crouching or kneeling, balancing or lifting and carrying 10 pounds, independent of age and race</w:t>
      </w:r>
      <w:r w:rsidRPr="00795B8F">
        <w:rPr>
          <w:rFonts w:cs="Times New Roman"/>
        </w:rPr>
        <w:fldChar w:fldCharType="begin" w:fldLock="1"/>
      </w:r>
      <w:r w:rsidR="005C68EA">
        <w:rPr>
          <w:rFonts w:cs="Times New Roman"/>
        </w:rPr>
        <w:instrText>ADDIN CSL_CITATION { "citationItems" : [ { "id" : "ITEM-1", "itemData" : { "author" : [ { "dropping-particle" : "", "family" : "Janssen", "given" : "Ian", "non-dropping-particle" : "", "parse-names" : false, "suffix" : "" }, { "dropping-particle" : "", "family" : "Heymsfield", "given" : "Steven B", "non-dropping-particle" : "", "parse-names" : false, "suffix" : "" }, { "dropping-particle" : "", "family" : "Ross", "given" : "Robert", "non-dropping-particle" : "", "parse-names" : false, "suffix" : "" } ], "container-title" : "Journal of the American Geriatrics Society", "id" : "ITEM-1", "issued" : { "date-parts" : [ [ "2002" ] ] }, "page" : "889-896", "title" : "Low Relative Skeletal Muscle Mass(Sarcopenia) in older persons is assoaciated with Functional Impairment an Physical Disability.", "type" : "article-journal" }, "uris" : [ "http://www.mendeley.com/documents/?uuid=5e489b88-9b8e-456d-8bbb-1af92bfe1684" ] } ], "mendeley" : { "formattedCitation" : "&lt;sup&gt;13&lt;/sup&gt;", "plainTextFormattedCitation" : "13", "previouslyFormattedCitation" : "&lt;sup&gt;13&lt;/sup&gt;"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13</w:t>
      </w:r>
      <w:r w:rsidRPr="00795B8F">
        <w:rPr>
          <w:rFonts w:cs="Times New Roman"/>
        </w:rPr>
        <w:fldChar w:fldCharType="end"/>
      </w:r>
      <w:r w:rsidRPr="00795B8F">
        <w:rPr>
          <w:rFonts w:cs="Times New Roman"/>
        </w:rPr>
        <w:t>. Despite the results of specific tests in this study</w:t>
      </w:r>
      <w:r w:rsidRPr="00795B8F">
        <w:rPr>
          <w:rFonts w:cs="Times New Roman"/>
        </w:rPr>
        <w:fldChar w:fldCharType="begin" w:fldLock="1"/>
      </w:r>
      <w:r w:rsidR="005C68EA">
        <w:rPr>
          <w:rFonts w:cs="Times New Roman"/>
        </w:rPr>
        <w:instrText>ADDIN CSL_CITATION { "citationItems" : [ { "id" : "ITEM-1", "itemData" : { "author" : [ { "dropping-particle" : "", "family" : "Janssen", "given" : "Ian", "non-dropping-particle" : "", "parse-names" : false, "suffix" : "" }, { "dropping-particle" : "", "family" : "Heymsfield", "given" : "Steven B", "non-dropping-particle" : "", "parse-names" : false, "suffix" : "" }, { "dropping-particle" : "", "family" : "Ross", "given" : "Robert", "non-dropping-particle" : "", "parse-names" : false, "suffix" : "" } ], "container-title" : "Journal of the American Geriatrics Society", "id" : "ITEM-1", "issued" : { "date-parts" : [ [ "2002" ] ] }, "page" : "889-896", "title" : "Low Relative Skeletal Muscle Mass(Sarcopenia) in older persons is assoaciated with Functional Impairment an Physical Disability.", "type" : "article-journal" }, "uris" : [ "http://www.mendeley.com/documents/?uuid=5e489b88-9b8e-456d-8bbb-1af92bfe1684" ] } ], "mendeley" : { "formattedCitation" : "&lt;sup&gt;13&lt;/sup&gt;", "plainTextFormattedCitation" : "13", "previouslyFormattedCitation" : "&lt;sup&gt;13&lt;/sup&gt;"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13</w:t>
      </w:r>
      <w:r w:rsidRPr="00795B8F">
        <w:rPr>
          <w:rFonts w:cs="Times New Roman"/>
        </w:rPr>
        <w:fldChar w:fldCharType="end"/>
      </w:r>
      <w:r w:rsidRPr="00795B8F">
        <w:rPr>
          <w:rFonts w:cs="Times New Roman"/>
        </w:rPr>
        <w:t>, a</w:t>
      </w:r>
      <w:r w:rsidR="007649BF">
        <w:rPr>
          <w:rFonts w:cs="Times New Roman"/>
        </w:rPr>
        <w:t xml:space="preserve"> </w:t>
      </w:r>
      <w:r w:rsidRPr="00795B8F">
        <w:rPr>
          <w:rFonts w:cs="Times New Roman"/>
        </w:rPr>
        <w:t xml:space="preserve">relationship between functional impairment and disability was only found for those considered </w:t>
      </w:r>
      <w:r>
        <w:rPr>
          <w:rFonts w:cs="Times New Roman"/>
        </w:rPr>
        <w:t xml:space="preserve">to be </w:t>
      </w:r>
      <w:r w:rsidRPr="00795B8F">
        <w:rPr>
          <w:rFonts w:cs="Times New Roman"/>
        </w:rPr>
        <w:t>severely sarcopenic (having 30%</w:t>
      </w:r>
      <w:r>
        <w:rPr>
          <w:rFonts w:cs="Times New Roman"/>
        </w:rPr>
        <w:t xml:space="preserve"> lower</w:t>
      </w:r>
      <w:r w:rsidRPr="00795B8F">
        <w:rPr>
          <w:rFonts w:cs="Times New Roman"/>
        </w:rPr>
        <w:t xml:space="preserve"> muscle mass compared to normal younger reference populations)</w:t>
      </w:r>
      <w:r>
        <w:rPr>
          <w:rFonts w:cs="Times New Roman"/>
        </w:rPr>
        <w:t>; h</w:t>
      </w:r>
      <w:r w:rsidRPr="00795B8F">
        <w:rPr>
          <w:rFonts w:cs="Times New Roman"/>
        </w:rPr>
        <w:t xml:space="preserve">owever, once muscle loss progressed this far, 7% </w:t>
      </w:r>
      <w:r>
        <w:rPr>
          <w:rFonts w:cs="Times New Roman"/>
        </w:rPr>
        <w:t xml:space="preserve">of older men </w:t>
      </w:r>
      <w:r w:rsidRPr="00795B8F">
        <w:rPr>
          <w:rFonts w:cs="Times New Roman"/>
        </w:rPr>
        <w:t xml:space="preserve">and 10% of </w:t>
      </w:r>
      <w:r>
        <w:rPr>
          <w:rFonts w:cs="Times New Roman"/>
        </w:rPr>
        <w:t xml:space="preserve">older women who were </w:t>
      </w:r>
      <w:r w:rsidRPr="00795B8F">
        <w:rPr>
          <w:rFonts w:cs="Times New Roman"/>
        </w:rPr>
        <w:t>severely sarcopenic had a 2-3-fold greater likelihood of experiencing functional declines and disability.</w:t>
      </w:r>
      <w:r>
        <w:rPr>
          <w:rFonts w:cs="Times New Roman"/>
        </w:rPr>
        <w:t xml:space="preserve"> </w:t>
      </w:r>
      <w:r w:rsidRPr="00795B8F">
        <w:rPr>
          <w:rFonts w:cs="Times New Roman"/>
        </w:rPr>
        <w:t xml:space="preserve">Therefore, </w:t>
      </w:r>
      <w:r>
        <w:rPr>
          <w:rFonts w:cs="Times New Roman"/>
        </w:rPr>
        <w:t>a significant number of</w:t>
      </w:r>
      <w:r w:rsidRPr="00795B8F">
        <w:rPr>
          <w:rFonts w:cs="Times New Roman"/>
        </w:rPr>
        <w:t xml:space="preserve"> sarcopenic older adults often suffer from disability and impairments in completion of activities of daily living (ADL) </w:t>
      </w:r>
      <w:r w:rsidRPr="00795B8F">
        <w:rPr>
          <w:rFonts w:cs="Times New Roman"/>
        </w:rPr>
        <w:fldChar w:fldCharType="begin" w:fldLock="1"/>
      </w:r>
      <w:r w:rsidR="00225DB1">
        <w:rPr>
          <w:rFonts w:cs="Times New Roman"/>
        </w:rPr>
        <w:instrText>ADDIN CSL_CITATION { "citationItems" : [ { "id" : "ITEM-1", "itemData" : { "DOI" : "10.1186/1471-2318-7-5", "ISBN" : "0002-9262 (Print)", "ISSN" : "0002-9262", "PMID" : "9554417", "abstract" : "Muscle mass decreases with age, leading to \"sarcopenia,\" or low relative muscle mass, in elderly people. Sarcopenia is believed to be associated with metabolic, physiologic, and functional impairments and disability. Methods of estimating the prevalence of sarcopenia and its associated risks in elderly populations are lacking. Data from a population-based survey of 883 elderly Hispanic and non-Hispanic white men and women living in New Mexico (the New Mexico Elder Health Survey, 1993-1995) were analyzed to develop a method for estimating the prevalence of sarcopenia. An anthropometric equation for predicting appendicular skeletal muscle mass was developed from a random subsample (n = 199) of participants and was extended to the total sample. Sarcopenia was defined as appendicular skeletal muscle mass (kg)/height2 (m2) being less than two standard deviations below the mean of a young reference group. Prevalences increased from 13-24% in persons under 70 years of age to &gt;50% in persons over 80 years of age, and were slightly greater in Hispanics than in non-Hispanic whites. Sarcopenia was significantly associated with self-reported physical disability in both men and women, independent of ethnicity, age, morbidity, obesity, income, and health behaviors. This study provides some of the first estimates of the extent of the public health problem posed by sarcopenia.", "author" : [ { "dropping-particle" : "", "family" : "Baumgartner", "given" : "R N", "non-dropping-particle" : "", "parse-names" : false, "suffix" : "" }, { "dropping-particle" : "", "family" : "Koehler", "given" : "K M", "non-dropping-particle" : "", "parse-names" : false, "suffix" : "" }, { "dropping-particle" : "", "family" : "Gallagher", "given" : "D", "non-dropping-particle" : "", "parse-names" : false, "suffix" : "" }, { "dropping-particle" : "", "family" : "Romero", "given" : "L", "non-dropping-particle" : "", "parse-names" : false, "suffix" : "" }, { "dropping-particle" : "", "family" : "Heymsfield", "given" : "S B", "non-dropping-particle" : "", "parse-names" : false, "suffix" : "" }, { "dropping-particle" : "", "family" : "Ross", "given" : "R R", "non-dropping-particle" : "", "parse-names" : false, "suffix" : "" }, { "dropping-particle" : "", "family" : "Garry", "given" : "P J", "non-dropping-particle" : "", "parse-names" : false, "suffix" : "" }, { "dropping-particle" : "", "family" : "Lindeman", "given" : "R D", "non-dropping-particle" : "", "parse-names" : false, "suffix" : "" } ], "container-title" : "American journal of epidemiology", "id" : "ITEM-1", "issue" : "8", "issued" : { "date-parts" : [ [ "1998", "4", "15" ] ] }, "page" : "755-763", "title" : "Epidemiology of sarcopenia among the elderly in New Mexico.", "type" : "article-journal", "volume" : "147" }, "uris" : [ "http://www.mendeley.com/documents/?uuid=32c14857-dcbe-4114-8e60-6944b25f5c1f" ] }, { "id" : "ITEM-2", "itemData" : { "DOI" : "10.1093/gerona/gls109", "ISBN" : "1758-535X (Electronic)\r1079-5006 (Linking)", "ISSN" : "10795006", "PMID" : "22503991", "abstract" : "BACKGROUND: Sarcopenia defined by lean mass has been inconsistently associated with disability in elders. Studies suggest that definitions should consider body size and additional influences of high fat mass (FM; sarcopenic-obesity). We examined sarcopenia accounting for body size, and sarcopenic-obesity, in relation to mobility limitations among 767 elderly men and women (mean age 79 years) from the Framingham Study.\\n\\nMETHODS: Whole-body dual-energy x-ray absorptiometry measured appendicular lean mass (ALM) and total FM in 1992-1995. Sarcopenia was defined in two ways: ALM/height squared (ALM/ht(2)) and ALM adjusted for height and FM (residuals). Sarcopenic-obesity categories (referent, obese, sarcopenic, and sarcopenic-obese) were defined by cross-classifying ALM/ht(2) and obesity (% body fat: more than 30 for men and more than 40 for women). Mobility limitation was defined as self-reported inability to walk one-half mile, climb stairs, or perform heavy housework. Sex-specific logistic regression calculated odds ratios (OR) and 95% confidence intervals (CI) for mobility limitation, adjusting for covariates.\\n\\nRESULTS: Sixteen percent of men and 30% of women had mobility limitation. Among men, both ALM/ht(2) (OR = 6.3, 95% CI = 2.5-16.1) and residuals (OR = 4.6, 95% CI = 2.0-10.5) sarcopenia were associated with increased limitation. For sarcopenic-obesity, odds of limitation was higher in sarcopenic (OR = 6.1, 95% CI = 2.2-16.9) and sarcopenic-obese categories (OR = 3.5, 95% CI = 1.0-12.7) but suggested no synergistic effect. In women, only residuals sarcopenia was associated with higher odds of limitation (OR = 1.8, 95% CI = 1.2-2.9).\\n\\nCONCLUSIONS: Low lean mass is associated with mobility limitations after accounting for body size and fat, and lean and FM have independent effects on mobility in elders. These findings support previous reports that sarcopenia definitions should consider body size and fat.", "author" : [ { "dropping-particle" : "", "family" : "Dufour", "given" : "Alyssa B.", "non-dropping-particle" : "", "parse-names" : false, "suffix" : "" }, { "dropping-particle" : "", "family" : "Hannan", "given" : "Marian T.", "non-dropping-particle" : "", "parse-names" : false, "suffix" : "" }, { "dropping-particle" : "", "family" : "Murabito", "given" : "Joanne M.", "non-dropping-particle" : "", "parse-names" : false, "suffix" : "" }, { "dropping-particle" : "", "family" : "Kiel", "given" : "Douglas P.", "non-dropping-particle" : "", "parse-names" : false, "suffix" : "" }, { "dropping-particle" : "", "family" : "McLean", "given" : "Robert R.", "non-dropping-particle" : "", "parse-names" : false, "suffix" : "" } ], "container-title" : "Journals of Gerontology - Series A Biological Sciences and Medical Sciences", "id" : "ITEM-2", "issue" : "2", "issued" : { "date-parts" : [ [ "2013", "3" ] ] }, "page" : "168-174", "title" : "Sarcopenia definitions considering body size and fat mass are associated with mobility limitations: The framingham study", "type" : "article-journal", "volume" : "68" }, "uris" : [ "http://www.mendeley.com/documents/?uuid=c5190452-e3c3-402b-9b67-5e61aaf21a01" ] }, { "id" : "ITEM-3", "itemData" : { "DOI" : "10.1111/j.1532-5415.2010.03145.x", "ISBN" : "1532-5415 (Electronic)\\r0002-8614 (Linking)", "ISSN" : "00028614", "PMID" : "21054284", "abstract" : "To determine the association between loss of muscle strength, mass, and quality and functional limitation and physical disability in older men.", "author" : [ { "dropping-particle" : "", "family" : "Hairi", "given" : "Noran N.", "non-dropping-particle" : "", "parse-names" : false, "suffix" : "" }, { "dropping-particle" : "", "family" : "Cumming", "given" : "Robert G.", "non-dropping-particle" : "", "parse-names" : false, "suffix" : "" }, { "dropping-particle" : "", "family" : "Naganathan", "given" : "Vasi", "non-dropping-particle" : "", "parse-names" : false, "suffix" : "" }, { "dropping-particle" : "", "family" : "Handelsman", "given" : "David J.", "non-dropping-particle" : "", "parse-names" : false, "suffix" : "" }, { "dropping-particle" : "", "family" : "Couteur", "given" : "David G.", "non-dropping-particle" : "Le", "parse-names" : false, "suffix" : "" }, { "dropping-particle" : "", "family" : "Creasey", "given" : "Helen", "non-dropping-particle" : "", "parse-names" : false, "suffix" : "" }, { "dropping-particle" : "", "family" : "Waite", "given" : "Louise M.", "non-dropping-particle" : "", "parse-names" : false, "suffix" : "" }, { "dropping-particle" : "", "family" : "Seibel", "given" : "Markus J.", "non-dropping-particle" : "", "parse-names" : false, "suffix" : "" }, { "dropping-particle" : "", "family" : "Sambrook", "given" : "Philip N.", "non-dropping-particle" : "", "parse-names" : false, "suffix" : "" } ], "container-title" : "Journal of the American Geriatrics Society", "id" : "ITEM-3", "issue" : "11", "issued" : { "date-parts" : [ [ "2010", "11" ] ] }, "page" : "2055-2062", "title" : "Loss of muscle strength, mass (sarcopenia), and quality (specific force) and its relationship with functional limitation and physical disability: The concord health and ageing in men project", "type" : "article-journal", "volume" : "58" }, "uris" : [ "http://www.mendeley.com/documents/?uuid=58ea76a1-5593-4d0a-ab12-f2da8efe0dce" ] }, { "id" : "ITEM-4", "itemData" : { "DOI" : "10.1093/aje/kwh058", "ISBN" : "0002-9262", "ISSN" : "00029262", "PMID" : "14769646", "abstract" : "The purpose of this study was to determine skeletal muscle cutpoints for identifying elevated physical disability risk in older adults. Subjects included 4,449 older (&gt; or = 60 years) participants from the Third National Health and Nutrition Examination Survey during 1988-1994. Physical disability was assessed by questionnaire, and bioimpedance was used to estimate skeletal muscle, which was normalized for height. Receiver operating characteristics were used to develop the skeletal muscle cutpoints associated with a high likelihood of physical disability. Odds for physical disability were compared in subjects whose measures fell above and below these cutpoints. Skeletal muscle cutpoints of 5.76-6.75 and &lt; or =5.75 kg/m2 were selected to denote moderate and high physical disability risk in women. The corresponding values in men were 8.51-10.75 and &lt; or =8.50 kg/m2. Compared with women with low-risk skeletal muscle values, women with moderate- and high-risk skeletal muscle values had odds for physical disability of 1.41 (95% confidence interval (CI): 0.97, 2.04) and 3.31 (95% CI: 1.91, 5.73), respectively. The corresponding odds in men were 3.65 (95% CI: 1.92, 6.94) and 4.71 (95% CI: 2.28, 9.74). This study presents skeletal muscle cutpoints for physical disability risk in older adults. Future applications of these cutpoints include the comparison of morbidity risk in older persons with normal muscle mass and those with sarcopenia, the determination and comparison of sarcopenia prevalences, and the estimation of health-care costs attributable to sarcopenia.", "author" : [ { "dropping-particle" : "", "family" : "Janssen", "given" : "Ian", "non-dropping-particle" : "", "parse-names" : false, "suffix" : "" }, { "dropping-particle" : "", "family" : "Baumgartner", "given" : "Richard N.", "non-dropping-particle" : "", "parse-names" : false, "suffix" : "" }, { "dropping-particle" : "", "family" : "Ross", "given" : "Robert", "non-dropping-particle" : "", "parse-names" : false, "suffix" : "" }, { "dropping-particle" : "", "family" : "Rosenberg", "given" : "Irwin H.", "non-dropping-particle" : "", "parse-names" : false, "suffix" : "" }, { "dropping-particle" : "", "family" : "Roubenoff", "given" : "Ronenn", "non-dropping-particle" : "", "parse-names" : false, "suffix" : "" } ], "container-title" : "American Journal of Epidemiology", "id" : "ITEM-4", "issue" : "4", "issued" : { "date-parts" : [ [ "2004", "2", "15" ] ] }, "page" : "413-421", "title" : "Skeletal Muscle Cutpoints Associated with Elevated Physical Disability Risk in Older Men and Women", "type" : "article-journal", "volume" : "159" }, "uris" : [ "http://www.mendeley.com/documents/?uuid=a48b8d64-cd67-4290-841b-e54d522e940a" ] }, { "id" : "ITEM-5", "itemData" : { "author" : [ { "dropping-particle" : "", "family" : "Janssen", "given" : "Ian", "non-dropping-particle" : "", "parse-names" : false, "suffix" : "" }, { "dropping-particle" : "", "family" : "Heymsfield", "given" : "Steven B", "non-dropping-particle" : "", "parse-names" : false, "suffix" : "" }, { "dropping-particle" : "", "family" : "Ross", "given" : "Robert", "non-dropping-particle" : "", "parse-names" : false, "suffix" : "" } ], "container-title" : "Journal of the American Geriatrics Society", "id" : "ITEM-5", "issued" : { "date-parts" : [ [ "2002" ] ] }, "page" : "889-896", "title" : "Low Relative Skeletal Muscle Mass(Sarcopenia) in older persons is assoaciated with Functional Impairment an Physical Disability.", "type" : "article-journal" }, "uris" : [ "http://www.mendeley.com/documents/?uuid=5e489b88-9b8e-456d-8bbb-1af92bfe1684" ] } ], "mendeley" : { "formattedCitation" : "&lt;sup&gt;7,10,13\u201315&lt;/sup&gt;", "plainTextFormattedCitation" : "7,10,13\u201315", "previouslyFormattedCitation" : "&lt;sup&gt;7,10,13\u201315&lt;/sup&gt;"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7,10,13–15</w:t>
      </w:r>
      <w:r w:rsidRPr="00795B8F">
        <w:rPr>
          <w:rFonts w:cs="Times New Roman"/>
        </w:rPr>
        <w:fldChar w:fldCharType="end"/>
      </w:r>
      <w:r w:rsidRPr="00795B8F">
        <w:rPr>
          <w:rFonts w:cs="Times New Roman"/>
        </w:rPr>
        <w:t xml:space="preserve">. This physical inability translates into </w:t>
      </w:r>
      <w:r w:rsidR="007649BF">
        <w:rPr>
          <w:rFonts w:cs="Times New Roman"/>
        </w:rPr>
        <w:t xml:space="preserve">poor </w:t>
      </w:r>
      <w:r w:rsidRPr="00795B8F">
        <w:rPr>
          <w:rFonts w:cs="Times New Roman"/>
        </w:rPr>
        <w:t>mobility and manifests as impairments in basic skills</w:t>
      </w:r>
      <w:r w:rsidR="00EA587B">
        <w:rPr>
          <w:rFonts w:cs="Times New Roman"/>
        </w:rPr>
        <w:t xml:space="preserve"> important for</w:t>
      </w:r>
      <w:r w:rsidR="008A5CDF">
        <w:rPr>
          <w:rFonts w:cs="Times New Roman"/>
        </w:rPr>
        <w:t xml:space="preserve"> everyday activities</w:t>
      </w:r>
      <w:r w:rsidR="007649BF">
        <w:rPr>
          <w:rFonts w:cs="Times New Roman"/>
        </w:rPr>
        <w:t>. The result is an in</w:t>
      </w:r>
      <w:r>
        <w:rPr>
          <w:rFonts w:cs="Times New Roman"/>
        </w:rPr>
        <w:t>ability</w:t>
      </w:r>
      <w:r w:rsidRPr="00795B8F">
        <w:rPr>
          <w:rFonts w:cs="Times New Roman"/>
        </w:rPr>
        <w:t xml:space="preserve"> to</w:t>
      </w:r>
      <w:r>
        <w:rPr>
          <w:rFonts w:cs="Times New Roman"/>
        </w:rPr>
        <w:t>, for example,</w:t>
      </w:r>
      <w:r w:rsidRPr="00795B8F">
        <w:rPr>
          <w:rFonts w:cs="Times New Roman"/>
        </w:rPr>
        <w:t xml:space="preserve"> use the bathroom or shop</w:t>
      </w:r>
      <w:r>
        <w:rPr>
          <w:rFonts w:cs="Times New Roman"/>
        </w:rPr>
        <w:t xml:space="preserve"> independently,</w:t>
      </w:r>
      <w:r w:rsidRPr="00795B8F">
        <w:rPr>
          <w:rFonts w:cs="Times New Roman"/>
        </w:rPr>
        <w:t xml:space="preserve"> and thus</w:t>
      </w:r>
      <w:r w:rsidR="007649BF">
        <w:rPr>
          <w:rFonts w:cs="Times New Roman"/>
        </w:rPr>
        <w:t xml:space="preserve"> a</w:t>
      </w:r>
      <w:r w:rsidRPr="00795B8F">
        <w:rPr>
          <w:rFonts w:cs="Times New Roman"/>
        </w:rPr>
        <w:t xml:space="preserve"> diminish</w:t>
      </w:r>
      <w:r>
        <w:rPr>
          <w:rFonts w:cs="Times New Roman"/>
        </w:rPr>
        <w:t>ing</w:t>
      </w:r>
      <w:r w:rsidRPr="00795B8F">
        <w:rPr>
          <w:rFonts w:cs="Times New Roman"/>
        </w:rPr>
        <w:t xml:space="preserve"> quality of life for older adults.</w:t>
      </w:r>
    </w:p>
    <w:p w14:paraId="2B411857" w14:textId="1D03BCE7" w:rsidR="005A1D98" w:rsidRPr="00795B8F" w:rsidRDefault="005A1D98" w:rsidP="005A1D98">
      <w:pPr>
        <w:spacing w:line="480" w:lineRule="auto"/>
        <w:ind w:firstLine="720"/>
        <w:rPr>
          <w:rFonts w:cs="Times New Roman"/>
        </w:rPr>
      </w:pPr>
      <w:r w:rsidRPr="00795B8F">
        <w:rPr>
          <w:rFonts w:cs="Times New Roman"/>
        </w:rPr>
        <w:t xml:space="preserve">Dynapenia </w:t>
      </w:r>
      <w:r>
        <w:rPr>
          <w:rFonts w:cs="Times New Roman"/>
        </w:rPr>
        <w:t xml:space="preserve">can </w:t>
      </w:r>
      <w:r w:rsidRPr="00795B8F">
        <w:rPr>
          <w:rFonts w:cs="Times New Roman"/>
        </w:rPr>
        <w:t xml:space="preserve">ultimately result in a loss of independence, mobility and quality of life for older adults, </w:t>
      </w:r>
      <w:r>
        <w:rPr>
          <w:rFonts w:cs="Times New Roman"/>
        </w:rPr>
        <w:t xml:space="preserve">however, </w:t>
      </w:r>
      <w:r w:rsidRPr="00795B8F">
        <w:rPr>
          <w:rFonts w:cs="Times New Roman"/>
        </w:rPr>
        <w:t>it has also been identified as a</w:t>
      </w:r>
      <w:r>
        <w:rPr>
          <w:rFonts w:cs="Times New Roman"/>
        </w:rPr>
        <w:t>n independent risk</w:t>
      </w:r>
      <w:r w:rsidRPr="00795B8F">
        <w:rPr>
          <w:rFonts w:cs="Times New Roman"/>
        </w:rPr>
        <w:t xml:space="preserve"> factor </w:t>
      </w:r>
      <w:r>
        <w:rPr>
          <w:rFonts w:cs="Times New Roman"/>
        </w:rPr>
        <w:t>for</w:t>
      </w:r>
      <w:r w:rsidRPr="00795B8F">
        <w:rPr>
          <w:rFonts w:cs="Times New Roman"/>
        </w:rPr>
        <w:t xml:space="preserve"> mortality where</w:t>
      </w:r>
      <w:r>
        <w:rPr>
          <w:rFonts w:cs="Times New Roman"/>
        </w:rPr>
        <w:t>as</w:t>
      </w:r>
      <w:r w:rsidRPr="00795B8F">
        <w:rPr>
          <w:rFonts w:cs="Times New Roman"/>
        </w:rPr>
        <w:t xml:space="preserve"> </w:t>
      </w:r>
      <w:r w:rsidR="00AB3BAC">
        <w:rPr>
          <w:rFonts w:cs="Times New Roman"/>
        </w:rPr>
        <w:t xml:space="preserve">reductions in </w:t>
      </w:r>
      <w:r w:rsidRPr="00795B8F">
        <w:rPr>
          <w:rFonts w:cs="Times New Roman"/>
        </w:rPr>
        <w:t>relative muscle mass alone ha</w:t>
      </w:r>
      <w:r w:rsidR="00AB3BAC">
        <w:rPr>
          <w:rFonts w:cs="Times New Roman"/>
        </w:rPr>
        <w:t>ve</w:t>
      </w:r>
      <w:r w:rsidRPr="00795B8F">
        <w:rPr>
          <w:rFonts w:cs="Times New Roman"/>
        </w:rPr>
        <w:t xml:space="preserve"> not</w:t>
      </w:r>
      <w:r w:rsidRPr="00795B8F">
        <w:rPr>
          <w:rFonts w:cs="Times New Roman"/>
        </w:rPr>
        <w:fldChar w:fldCharType="begin" w:fldLock="1"/>
      </w:r>
      <w:r w:rsidR="006670B1">
        <w:rPr>
          <w:rFonts w:cs="Times New Roman"/>
        </w:rPr>
        <w:instrText>ADDIN CSL_CITATION { "citationItems" : [ { "id" : "ITEM-1", "itemData" : { "DOI" : "10.1093/gerona/61.1.72", "ISBN" : "1079-5006", "ISSN" : "1079-5006", "PMID" : "16456196", "abstract" : "BACKGROUND: Although muscle strength and mass are highly correlated, the relationship between direct measures of low muscle mass (sarcopenia) and strength in association with mortality has not been examined. METHODS: Total mortality rates were examined in the Health, Aging and Body Composition (Health ABC) Study in 2292 participants (aged 70-79 years, 51.6% women, and 38.8% black). Knee extension strength was measured with isokinetic dynamometry, grip strength with isometric dynamometry. Thigh muscle area was measured by computed tomography (CT) scan, and leg and arm lean soft tissue mass were determined by dual energy x-ray absorptiometry (DXA). Both strength and muscle size were assessed as in gender-specific Cox proportional hazards models, with age, race, comorbidities, smoking status, level of physical activity, fat area by CT or fat mass by DXA, height, and markers of inflammation, including interleukin-6, C-reactive protein, and tumor necrosis factor-alpha considered as potential confounders. RESULTS: There were 286 deaths over an average of 4.9 (standard deviation = 0.9) years of follow-up. Both quadriceps and grip strength were strongly related to mortality. For quadriceps strength (per standard deviation of 38 Nm), the crude hazard ratio for men was 1.51 (95% confidence interval, 1.28-1.79) and 1.65 (95% confidence interval, 1.19-2.30) for women. Muscle size, determined by either CT area or DXA regional lean mass, was not strongly related to mortality. In the models of quadriceps strength and mortality, adjustment for muscle area or regional lean mass only slightly attenuated the associations. Further adjustment for other factors also had minimal effect on the association of quadriceps strength with mortality. Associations of grip strength with mortality were similar. CONCLUSION: Low muscle mass did not explain the strong association of strength with mortality, demonstrating that muscle strength as a marker of muscle quality is more important than quantity in estimating mortality risk. Grip strength provided risk estimates similar to those of quadriceps strength.", "author" : [ { "dropping-particle" : "", "family" : "Newman", "given" : "Anne B", "non-dropping-particle" : "", "parse-names" : false, "suffix" : "" }, { "dropping-particle" : "", "family" : "Kupelian", "given" : "Varant", "non-dropping-particle" : "", "parse-names" : false, "suffix" : "" }, { "dropping-particle" : "", "family" : "Visser", "given" : "Marjolein", "non-dropping-particle" : "", "parse-names" : false, "suffix" : "" }, { "dropping-particle" : "", "family" : "Simonsick", "given" : "Eleanor M", "non-dropping-particle" : "", "parse-names" : false, "suffix" : "" }, { "dropping-particle" : "", "family" : "Goodpaster", "given" : "Bret H", "non-dropping-particle" : "", "parse-names" : false, "suffix" : "" }, { "dropping-particle" : "", "family" : "Kritchevsky", "given" : "Stephen B", "non-dropping-particle" : "", "parse-names" : false, "suffix" : "" }, { "dropping-particle" : "", "family" : "Tylavsky", "given" : "Frances a", "non-dropping-particle" : "", "parse-names" : false, "suffix" : "" }, { "dropping-particle" : "", "family" : "Rubin", "given" : "Susan M", "non-dropping-particle" : "", "parse-names" : false, "suffix" : "" }, { "dropping-particle" : "", "family" : "Harris", "given" : "Tamara B", "non-dropping-particle" : "", "parse-names" : false, "suffix" : "" } ], "container-title" : "The journals of gerontology. Series A, Biological sciences and medical sciences", "id" : "ITEM-1", "issue" : "1", "issued" : { "date-parts" : [ [ "2006", "1" ] ] }, "page" : "72-77", "title" : "Strength, but not muscle mass, is associated with mortality in the health, aging and body composition study cohort.", "type" : "article-journal", "volume" : "61" }, "uris" : [ "http://www.mendeley.com/documents/?uuid=b37b80ae-c6c3-406a-8265-64e921ff29de" ] } ], "mendeley" : { "formattedCitation" : "&lt;sup&gt;16&lt;/sup&gt;", "plainTextFormattedCitation" : "16", "previouslyFormattedCitation" : "&lt;sup&gt;16&lt;/sup&gt;"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16</w:t>
      </w:r>
      <w:r w:rsidRPr="00795B8F">
        <w:rPr>
          <w:rFonts w:cs="Times New Roman"/>
        </w:rPr>
        <w:fldChar w:fldCharType="end"/>
      </w:r>
      <w:r w:rsidR="00851834">
        <w:rPr>
          <w:rFonts w:cs="Times New Roman"/>
        </w:rPr>
        <w:t>. Newman et al.</w:t>
      </w:r>
      <w:r w:rsidR="00851834">
        <w:rPr>
          <w:rFonts w:cs="Times New Roman"/>
        </w:rPr>
        <w:fldChar w:fldCharType="begin" w:fldLock="1"/>
      </w:r>
      <w:r w:rsidR="003605CC">
        <w:rPr>
          <w:rFonts w:cs="Times New Roman"/>
        </w:rPr>
        <w:instrText>ADDIN CSL_CITATION { "citationItems" : [ { "id" : "ITEM-1", "itemData" : { "DOI" : "10.1093/gerona/61.1.72", "ISBN" : "1079-5006", "ISSN" : "1079-5006", "PMID" : "16456196", "abstract" : "BACKGROUND: Although muscle strength and mass are highly correlated, the relationship between direct measures of low muscle mass (sarcopenia) and strength in association with mortality has not been examined. METHODS: Total mortality rates were examined in the Health, Aging and Body Composition (Health ABC) Study in 2292 participants (aged 70-79 years, 51.6% women, and 38.8% black). Knee extension strength was measured with isokinetic dynamometry, grip strength with isometric dynamometry. Thigh muscle area was measured by computed tomography (CT) scan, and leg and arm lean soft tissue mass were determined by dual energy x-ray absorptiometry (DXA). Both strength and muscle size were assessed as in gender-specific Cox proportional hazards models, with age, race, comorbidities, smoking status, level of physical activity, fat area by CT or fat mass by DXA, height, and markers of inflammation, including interleukin-6, C-reactive protein, and tumor necrosis factor-alpha considered as potential confounders. RESULTS: There were 286 deaths over an average of 4.9 (standard deviation = 0.9) years of follow-up. Both quadriceps and grip strength were strongly related to mortality. For quadriceps strength (per standard deviation of 38 Nm), the crude hazard ratio for men was 1.51 (95% confidence interval, 1.28-1.79) and 1.65 (95% confidence interval, 1.19-2.30) for women. Muscle size, determined by either CT area or DXA regional lean mass, was not strongly related to mortality. In the models of quadriceps strength and mortality, adjustment for muscle area or regional lean mass only slightly attenuated the associations. Further adjustment for other factors also had minimal effect on the association of quadriceps strength with mortality. Associations of grip strength with mortality were similar. CONCLUSION: Low muscle mass did not explain the strong association of strength with mortality, demonstrating that muscle strength as a marker of muscle quality is more important than quantity in estimating mortality risk. Grip strength provided risk estimates similar to those of quadriceps strength.", "author" : [ { "dropping-particle" : "", "family" : "Newman", "given" : "Anne B", "non-dropping-particle" : "", "parse-names" : false, "suffix" : "" }, { "dropping-particle" : "", "family" : "Kupelian", "given" : "Varant", "non-dropping-particle" : "", "parse-names" : false, "suffix" : "" }, { "dropping-particle" : "", "family" : "Visser", "given" : "Marjolein", "non-dropping-particle" : "", "parse-names" : false, "suffix" : "" }, { "dropping-particle" : "", "family" : "Simonsick", "given" : "Eleanor M", "non-dropping-particle" : "", "parse-names" : false, "suffix" : "" }, { "dropping-particle" : "", "family" : "Goodpaster", "given" : "Bret H", "non-dropping-particle" : "", "parse-names" : false, "suffix" : "" }, { "dropping-particle" : "", "family" : "Kritchevsky", "given" : "Stephen B", "non-dropping-particle" : "", "parse-names" : false, "suffix" : "" }, { "dropping-particle" : "", "family" : "Tylavsky", "given" : "Frances a", "non-dropping-particle" : "", "parse-names" : false, "suffix" : "" }, { "dropping-particle" : "", "family" : "Rubin", "given" : "Susan M", "non-dropping-particle" : "", "parse-names" : false, "suffix" : "" }, { "dropping-particle" : "", "family" : "Harris", "given" : "Tamara B", "non-dropping-particle" : "", "parse-names" : false, "suffix" : "" } ], "container-title" : "The journals of gerontology. Series A, Biological sciences and medical sciences", "id" : "ITEM-1", "issue" : "1", "issued" : { "date-parts" : [ [ "2006", "1" ] ] }, "page" : "72-77", "title" : "Strength, but not muscle mass, is associated with mortality in the health, aging and body composition study cohort.", "type" : "article-journal", "volume" : "61" }, "uris" : [ "http://www.mendeley.com/documents/?uuid=b37b80ae-c6c3-406a-8265-64e921ff29de" ] } ], "mendeley" : { "formattedCitation" : "&lt;sup&gt;16&lt;/sup&gt;", "plainTextFormattedCitation" : "16", "previouslyFormattedCitation" : "&lt;sup&gt;16&lt;/sup&gt;" }, "properties" : { "noteIndex" : 0 }, "schema" : "https://github.com/citation-style-language/schema/raw/master/csl-citation.json" }</w:instrText>
      </w:r>
      <w:r w:rsidR="00851834">
        <w:rPr>
          <w:rFonts w:cs="Times New Roman"/>
        </w:rPr>
        <w:fldChar w:fldCharType="separate"/>
      </w:r>
      <w:r w:rsidR="00851834" w:rsidRPr="00851834">
        <w:rPr>
          <w:rFonts w:cs="Times New Roman"/>
          <w:noProof/>
          <w:vertAlign w:val="superscript"/>
        </w:rPr>
        <w:t>16</w:t>
      </w:r>
      <w:r w:rsidR="00851834">
        <w:rPr>
          <w:rFonts w:cs="Times New Roman"/>
        </w:rPr>
        <w:fldChar w:fldCharType="end"/>
      </w:r>
      <w:r w:rsidRPr="00795B8F">
        <w:rPr>
          <w:rFonts w:cs="Times New Roman"/>
        </w:rPr>
        <w:t xml:space="preserve"> examined the mortality rates of 2292 older adults over six years and found</w:t>
      </w:r>
      <w:r w:rsidR="007649BF">
        <w:rPr>
          <w:rFonts w:cs="Times New Roman"/>
        </w:rPr>
        <w:t xml:space="preserve"> robust </w:t>
      </w:r>
      <w:r w:rsidRPr="00795B8F">
        <w:rPr>
          <w:rFonts w:cs="Times New Roman"/>
        </w:rPr>
        <w:t>correlation</w:t>
      </w:r>
      <w:r w:rsidR="008A5CDF">
        <w:rPr>
          <w:rFonts w:cs="Times New Roman"/>
        </w:rPr>
        <w:t>s</w:t>
      </w:r>
      <w:r>
        <w:rPr>
          <w:rFonts w:cs="Times New Roman"/>
        </w:rPr>
        <w:t xml:space="preserve"> between</w:t>
      </w:r>
      <w:r w:rsidRPr="00795B8F">
        <w:rPr>
          <w:rFonts w:cs="Times New Roman"/>
        </w:rPr>
        <w:t xml:space="preserve"> grip and quadriceps strength and </w:t>
      </w:r>
      <w:r>
        <w:rPr>
          <w:rFonts w:cs="Times New Roman"/>
        </w:rPr>
        <w:t>risk of mortality.</w:t>
      </w:r>
      <w:r w:rsidRPr="00795B8F">
        <w:rPr>
          <w:rFonts w:cs="Times New Roman"/>
        </w:rPr>
        <w:t xml:space="preserve"> Longitudinal studies following aging adults and assessing the sarcopenic elderly have now begun monitoring cut-points of functional capacity based on strength varia</w:t>
      </w:r>
      <w:r>
        <w:rPr>
          <w:rFonts w:cs="Times New Roman"/>
        </w:rPr>
        <w:t>tion</w:t>
      </w:r>
      <w:r w:rsidRPr="00795B8F">
        <w:rPr>
          <w:rFonts w:cs="Times New Roman"/>
        </w:rPr>
        <w:t xml:space="preserve"> across cohorts of older adults</w:t>
      </w:r>
      <w:r w:rsidRPr="00795B8F">
        <w:rPr>
          <w:rFonts w:cs="Times New Roman"/>
        </w:rPr>
        <w:fldChar w:fldCharType="begin" w:fldLock="1"/>
      </w:r>
      <w:r w:rsidR="006670B1">
        <w:rPr>
          <w:rFonts w:cs="Times New Roman"/>
        </w:rPr>
        <w:instrText>ADDIN CSL_CITATION { "citationItems" : [ { "id" : "ITEM-1", "itemData" : { "author" : [ { "dropping-particle" : "", "family" : "Avlund", "given" : "K", "non-dropping-particle" : "", "parse-names" : false, "suffix" : "" }, { "dropping-particle" : "", "family" : "Schroll", "given" : "M", "non-dropping-particle" : "", "parse-names" : false, "suffix" : "" }, { "dropping-particle" : "", "family" : "Davidsen", "given" : "M", "non-dropping-particle" : "", "parse-names" : false, "suffix" : "" }, { "dropping-particle" : "", "family" : "Loveborg", "given" : "B", "non-dropping-particle" : "", "parse-names" : false, "suffix" : "" }, { "dropping-particle" : "", "family" : "Rantanen", "given" : "T", "non-dropping-particle" : "", "parse-names" : false, "suffix" : "" } ], "container-title" : "Scand J Med Sci Sports", "id" : "ITEM-1", "issued" : { "date-parts" : [ [ "1994" ] ] }, "page" : "9", "title" : "Maximal  isometric  muscle  strength  and functional ability in daily activities among 75-year-older-men and women", "type" : "article-journal", "volume" : "4" }, "uris" : [ "http://www.mendeley.com/documents/?uuid=c6d506db-0b72-46e7-bd39-9da28f8df093" ] }, { "id" : "ITEM-2", "itemData" : { "DOI" : "10.1093/gerona/61.1.72", "ISBN" : "1079-5006", "ISSN" : "1079-5006", "PMID" : "16456196", "abstract" : "BACKGROUND: Although muscle strength and mass are highly correlated, the relationship between direct measures of low muscle mass (sarcopenia) and strength in association with mortality has not been examined. METHODS: Total mortality rates were examined in the Health, Aging and Body Composition (Health ABC) Study in 2292 participants (aged 70-79 years, 51.6% women, and 38.8% black). Knee extension strength was measured with isokinetic dynamometry, grip strength with isometric dynamometry. Thigh muscle area was measured by computed tomography (CT) scan, and leg and arm lean soft tissue mass were determined by dual energy x-ray absorptiometry (DXA). Both strength and muscle size were assessed as in gender-specific Cox proportional hazards models, with age, race, comorbidities, smoking status, level of physical activity, fat area by CT or fat mass by DXA, height, and markers of inflammation, including interleukin-6, C-reactive protein, and tumor necrosis factor-alpha considered as potential confounders. RESULTS: There were 286 deaths over an average of 4.9 (standard deviation = 0.9) years of follow-up. Both quadriceps and grip strength were strongly related to mortality. For quadriceps strength (per standard deviation of 38 Nm), the crude hazard ratio for men was 1.51 (95% confidence interval, 1.28-1.79) and 1.65 (95% confidence interval, 1.19-2.30) for women. Muscle size, determined by either CT area or DXA regional lean mass, was not strongly related to mortality. In the models of quadriceps strength and mortality, adjustment for muscle area or regional lean mass only slightly attenuated the associations. Further adjustment for other factors also had minimal effect on the association of quadriceps strength with mortality. Associations of grip strength with mortality were similar. CONCLUSION: Low muscle mass did not explain the strong association of strength with mortality, demonstrating that muscle strength as a marker of muscle quality is more important than quantity in estimating mortality risk. Grip strength provided risk estimates similar to those of quadriceps strength.", "author" : [ { "dropping-particle" : "", "family" : "Newman", "given" : "Anne B", "non-dropping-particle" : "", "parse-names" : false, "suffix" : "" }, { "dropping-particle" : "", "family" : "Kupelian", "given" : "Varant", "non-dropping-particle" : "", "parse-names" : false, "suffix" : "" }, { "dropping-particle" : "", "family" : "Visser", "given" : "Marjolein", "non-dropping-particle" : "", "parse-names" : false, "suffix" : "" }, { "dropping-particle" : "", "family" : "Simonsick", "given" : "Eleanor M", "non-dropping-particle" : "", "parse-names" : false, "suffix" : "" }, { "dropping-particle" : "", "family" : "Goodpaster", "given" : "Bret H", "non-dropping-particle" : "", "parse-names" : false, "suffix" : "" }, { "dropping-particle" : "", "family" : "Kritchevsky", "given" : "Stephen B", "non-dropping-particle" : "", "parse-names" : false, "suffix" : "" }, { "dropping-particle" : "", "family" : "Tylavsky", "given" : "Frances a", "non-dropping-particle" : "", "parse-names" : false, "suffix" : "" }, { "dropping-particle" : "", "family" : "Rubin", "given" : "Susan M", "non-dropping-particle" : "", "parse-names" : false, "suffix" : "" }, { "dropping-particle" : "", "family" : "Harris", "given" : "Tamara B", "non-dropping-particle" : "", "parse-names" : false, "suffix" : "" } ], "container-title" : "The journals of gerontology. Series A, Biological sciences and medical sciences", "id" : "ITEM-2", "issue" : "1", "issued" : { "date-parts" : [ [ "2006", "1" ] ] }, "page" : "72-77", "title" : "Strength, but not muscle mass, is associated with mortality in the health, aging and body composition study cohort.", "type" : "article-journal", "volume" : "61" }, "uris" : [ "http://www.mendeley.com/documents/?uuid=b37b80ae-c6c3-406a-8265-64e921ff29de" ] }, { "id" : "ITEM-3", "itemData" : { "DOI" : "10.1111/j.1532-5415.2007.01087.x", "ISBN" : "1532-5415", "ISSN" : "00028614", "PMID" : "17341251", "abstract" : "OBJECTIVES: To identify levels of knee extensor strength that are associated with high and low risk of incident severe mobility limitation (SML) in initially well-functioning older adults. DESIGN: Prospective cohort study. SETTING: University clinic center. PARTICIPANTS: One thousand three hundred fifty-five men and 1,429 women (aged 73.6+/-2.85) who reported no mobility limitation. MEASUREMENTS: Unilateral knee extensor isokinetic strength of participants was obtained. Participants were followed over a median of 5.90 years for the onset of SML, defined as two consecutive reports of a lot of difficulty or inability to walk one-quarter of a mile or climb 10 steps. Deciles of knee extension strength relative to body weight were evaluated to identify cutpoints most predictive of incident SML. Cutpoints were then compared with prevalence of having slow gait speed (&lt;1.22 m/s) and mortality. RESULTS: Two sex-specific knee extension strength cutpoints were found. High and low risk of SML corresponded to less than 1.13 newton-meters (Nm)/kg (1st decile) and more than 1.71 Nm/kg (6th decile) in men and less than 1.01 Nm/kg (3rd decile) and more than 1.34 Nm/kg (7th decile) in women, respectively. Moderate risk was defined as being between the low- and high-risk cutpoints. Individuals with knee extension strength in the high- and moderate-risk categories were more likely to have a gait speed less than 1.22 m/s (hazard ratio (HR)=7.00, 95% confidence interval (CI)=5.47-8.96 and HR=2.14 7.00, 95% CI=1.73-2.64, respectively) and had a higher risk of death (HR=1.77, 95% CI=1.41-2.23 and HR=1.51, 95% CI=1.24-1.84, respectively) than individuals in the low-risk category. Adjustment for demographic factors, health behaviors, and medical conditions did not alter these associations. CONCLUSION: Knee extensor strength cutpoints provide objective markers to identify initially well-functioning older adults at high and low risk of future mobility limitation.", "author" : [ { "dropping-particle" : "", "family" : "Manini", "given" : "Todd M.", "non-dropping-particle" : "", "parse-names" : false, "suffix" : "" }, { "dropping-particle" : "", "family" : "Visser", "given" : "Marjolein", "non-dropping-particle" : "", "parse-names" : false, "suffix" : "" }, { "dropping-particle" : "", "family" : "Won-Park", "given" : "Seok", "non-dropping-particle" : "", "parse-names" : false, "suffix" : "" }, { "dropping-particle" : "V.", "family" : "Patel", "given" : "Kushang", "non-dropping-particle" : "", "parse-names" : false, "suffix" : "" }, { "dropping-particle" : "", "family" : "Strotmeyer", "given" : "Elsa S.", "non-dropping-particle" : "", "parse-names" : false, "suffix" : "" }, { "dropping-particle" : "", "family" : "Chen", "given" : "Hepei", "non-dropping-particle" : "", "parse-names" : false, "suffix" : "" }, { "dropping-particle" : "", "family" : "Goodpaster", "given" : "Bret", "non-dropping-particle" : "", "parse-names" : false, "suffix" : "" }, { "dropping-particle" : "", "family" : "Rekeneire", "given" : "Nathalie", "non-dropping-particle" : "De", "parse-names" : false, "suffix" : "" }, { "dropping-particle" : "", "family" : "Newman", "given" : "Anne B.", "non-dropping-particle" : "", "parse-names" : false, "suffix" : "" }, { "dropping-particle" : "", "family" : "Simonsick", "given" : "Eleanor M.", "non-dropping-particle" : "", "parse-names" : false, "suffix" : "" }, { "dropping-particle" : "", "family" : "Kritchevsky", "given" : "Stephen B.", "non-dropping-particle" : "", "parse-names" : false, "suffix" : "" }, { "dropping-particle" : "", "family" : "Ryder", "given" : "Kathy", "non-dropping-particle" : "", "parse-names" : false, "suffix" : "" }, { "dropping-particle" : "V.", "family" : "Schwartz", "given" : "Ann", "non-dropping-particle" : "", "parse-names" : false, "suffix" : "" }, { "dropping-particle" : "", "family" : "Harris", "given" : "Tamara B.", "non-dropping-particle" : "", "parse-names" : false, "suffix" : "" } ], "container-title" : "Journal of the American Geriatrics Society", "id" : "ITEM-3", "issue" : "3", "issued" : { "date-parts" : [ [ "2007", "3" ] ] }, "page" : "451-457", "title" : "Knee extension strength cutpoints for maintaining mobility", "type" : "article-journal", "volume" : "55" }, "uris" : [ "http://www.mendeley.com/documents/?uuid=786f6047-ea38-436d-9007-43849f258b47" ] }, { "id" : "ITEM-4", "itemData" : { "DOI" : "10.1007/s12603-010-0047-4", "ISBN" : "1760-4788 (Electronic)\\n1279-7707 (Linking)", "ISSN" : "12797707", "PMID" : "20191251", "abstract" : "This cross-sectional study proposes two relative strength indexes in order to evaluate the risks of lower mobility in healthy older adults: 1) handgrip strength on body mass index and 2) quadriceps strength on body weight. Nine hundred and four men and women aged between 67-84 years old were tested for body composition, muscle strength and mobility function. Individuals in the lowest and middle tertiles of relative handgrip strength were respectively 2.2 (1.3-3.7) and 4.4 (2.6-7.6) more likely to have a lower mobility score. As for relative quadriceps strength, odd ratios for lowest and middle tertiles were respectively 2.8 (1.6-4.9) and 6.9 (3.9-12.1). Relative strength indexes, either using handgrip strength or quadriceps strength, are convenient to use in large scale studies and clinical practice.", "author" : [ { "dropping-particle" : "", "family" : "Choquette", "given" : "S.", "non-dropping-particle" : "", "parse-names" : false, "suffix" : "" }, { "dropping-particle" : "", "family" : "Bouchard", "given" : "D. R.", "non-dropping-particle" : "", "parse-names" : false, "suffix" : "" }, { "dropping-particle" : "", "family" : "Doyon", "given" : "C. Y.", "non-dropping-particle" : "", "parse-names" : false, "suffix" : "" }, { "dropping-particle" : "", "family" : "S\u00e9n\u00e9chal", "given" : "M.", "non-dropping-particle" : "", "parse-names" : false, "suffix" : "" }, { "dropping-particle" : "", "family" : "Brochu", "given" : "M.", "non-dropping-particle" : "", "parse-names" : false, "suffix" : "" }, { "dropping-particle" : "", "family" : "Dionne", "given" : "I. J.", "non-dropping-particle" : "", "parse-names" : false, "suffix" : "" } ], "container-title" : "Journal of Nutrition, Health and Aging", "id" : "ITEM-4", "issue" : "3", "issued" : { "date-parts" : [ [ "2010", "3" ] ] }, "page" : "190-195", "title" : "Relative strength as a determinant of mobility in elders 67-84 years of age. A nuage study: Nutrition as a determinant of successful aging", "type" : "article-journal", "volume" : "14" }, "uris" : [ "http://www.mendeley.com/documents/?uuid=db6f1225-83c9-46c8-a220-1c3455587ccf" ] } ], "mendeley" : { "formattedCitation" : "&lt;sup&gt;16\u201319&lt;/sup&gt;", "plainTextFormattedCitation" : "16\u201319", "previouslyFormattedCitation" : "&lt;sup&gt;16\u201319&lt;/sup&gt;"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16–19</w:t>
      </w:r>
      <w:r w:rsidRPr="00795B8F">
        <w:rPr>
          <w:rFonts w:cs="Times New Roman"/>
        </w:rPr>
        <w:fldChar w:fldCharType="end"/>
      </w:r>
      <w:r w:rsidRPr="00795B8F">
        <w:rPr>
          <w:rFonts w:cs="Times New Roman"/>
        </w:rPr>
        <w:t xml:space="preserve">. </w:t>
      </w:r>
      <w:r w:rsidRPr="00795B8F">
        <w:rPr>
          <w:rFonts w:cs="Times New Roman"/>
        </w:rPr>
        <w:lastRenderedPageBreak/>
        <w:t>Although there is currently no evidence to sugges</w:t>
      </w:r>
      <w:r>
        <w:rPr>
          <w:rFonts w:cs="Times New Roman"/>
        </w:rPr>
        <w:t>t threshold levels of skeletal muscle strength in the elderly that would predict functional decline</w:t>
      </w:r>
      <w:r w:rsidRPr="00795B8F">
        <w:rPr>
          <w:rFonts w:cs="Times New Roman"/>
        </w:rPr>
        <w:t xml:space="preserve">, </w:t>
      </w:r>
      <w:r>
        <w:rPr>
          <w:rFonts w:cs="Times New Roman"/>
        </w:rPr>
        <w:t xml:space="preserve">consequences such as </w:t>
      </w:r>
      <w:r w:rsidRPr="00795B8F">
        <w:rPr>
          <w:rFonts w:cs="Times New Roman"/>
        </w:rPr>
        <w:t xml:space="preserve">functional impairment, </w:t>
      </w:r>
      <w:r>
        <w:rPr>
          <w:rFonts w:cs="Times New Roman"/>
        </w:rPr>
        <w:t>in</w:t>
      </w:r>
      <w:r w:rsidRPr="00795B8F">
        <w:rPr>
          <w:rFonts w:cs="Times New Roman"/>
        </w:rPr>
        <w:t xml:space="preserve">ability to complete ADL, mobility </w:t>
      </w:r>
      <w:r>
        <w:rPr>
          <w:rFonts w:cs="Times New Roman"/>
        </w:rPr>
        <w:t>dependence</w:t>
      </w:r>
      <w:r w:rsidRPr="00795B8F">
        <w:rPr>
          <w:rFonts w:cs="Times New Roman"/>
        </w:rPr>
        <w:t xml:space="preserve"> and mortality</w:t>
      </w:r>
      <w:r>
        <w:rPr>
          <w:rFonts w:cs="Times New Roman"/>
        </w:rPr>
        <w:t xml:space="preserve"> all emphasize the importance of understanding sarcopenia. In order to create clinically relevant interventions for age-related muscle loss, the underlying causes of sarcopenia and declining strength warrant investigation.</w:t>
      </w:r>
    </w:p>
    <w:p w14:paraId="7B4F7AC6" w14:textId="7684BDCC" w:rsidR="005A1D98" w:rsidRPr="00795B8F" w:rsidRDefault="00875699" w:rsidP="002E042C">
      <w:pPr>
        <w:pStyle w:val="Heading3"/>
        <w:numPr>
          <w:ilvl w:val="0"/>
          <w:numId w:val="10"/>
        </w:numPr>
        <w:ind w:left="993"/>
      </w:pPr>
      <w:bookmarkStart w:id="8" w:name="_Toc296814781"/>
      <w:bookmarkStart w:id="9" w:name="_Toc296932760"/>
      <w:r>
        <w:t>Metabolic i</w:t>
      </w:r>
      <w:r w:rsidR="005A1D98" w:rsidRPr="00795B8F">
        <w:t>mpairments</w:t>
      </w:r>
      <w:bookmarkEnd w:id="8"/>
      <w:bookmarkEnd w:id="9"/>
    </w:p>
    <w:p w14:paraId="3325EE79" w14:textId="7897D35A" w:rsidR="005A1D98" w:rsidRDefault="005A1D98" w:rsidP="005A1D98">
      <w:pPr>
        <w:spacing w:line="480" w:lineRule="auto"/>
        <w:ind w:firstLine="720"/>
        <w:rPr>
          <w:rFonts w:cs="Times New Roman"/>
        </w:rPr>
      </w:pPr>
      <w:r w:rsidRPr="00795B8F">
        <w:rPr>
          <w:rFonts w:cs="Times New Roman"/>
        </w:rPr>
        <w:t>It is well understood that maintaining muscle mass</w:t>
      </w:r>
      <w:r>
        <w:rPr>
          <w:rFonts w:cs="Times New Roman"/>
        </w:rPr>
        <w:t xml:space="preserve"> with good oxidative capacity</w:t>
      </w:r>
      <w:r w:rsidRPr="00795B8F">
        <w:rPr>
          <w:rFonts w:cs="Times New Roman"/>
        </w:rPr>
        <w:t xml:space="preserve"> is critical to preserve metabolic skeletal muscle function as a site for glucose disposal</w:t>
      </w:r>
      <w:r w:rsidRPr="00795B8F">
        <w:rPr>
          <w:rFonts w:cs="Times New Roman"/>
        </w:rPr>
        <w:fldChar w:fldCharType="begin" w:fldLock="1"/>
      </w:r>
      <w:r w:rsidR="006670B1">
        <w:rPr>
          <w:rFonts w:cs="Times New Roman"/>
        </w:rPr>
        <w:instrText>ADDIN CSL_CITATION { "citationItems" : [ { "id" : "ITEM-1", "itemData" : { "DOI" : "10.1152/japplphysiol.00123.2005", "ISBN" : "8750-7587 (Print)\\n0161-7567 (Linking)", "ISSN" : "8750-7587", "PMID" : "16036907", "abstract" : "Exercise/muscle contraction activates glucose transport. The increase in muscle glucose transport induced by exercise is independent of insulin. As the acute effect of exercise on glucose transport wears off, it is replaced by an increase in insulin sensitivity. An increase in insulin sensitivity results in a shift in the insulin dose-response curve to the left, with a decrease in the concentration of insulin needed to induce 50% of the maximal response. This phenomenon, which plays a major role in rapid muscle glycogen accumulation after exercise, is not mediated by amplification of the insulin signal. Development of the increase in insulin sensitivity after contractions does not require protein synthesis or activation of p38 MAPK. It does require the presence of a serum protein during the period of contractile activity. The effect of exercise on muscle insulin sensitivity is mimicked by hypoxia and by treatment of muscles with 5-aminoimidazole-4-carboxamide-1-beta-D-ribofuranoside to activate AMP-activated protein kinase. The postexercise increase in sensitivity of muscle glucose transport to activation is not specific for insulin but also involves an increased susceptibility to activation by a submaximal contraction/hypoxia stimulus. The increase in insulin sensitivity is mediated by translocation of more GLUT4 glucose transporters to the cell surface in response to a submaximal insulin stimulus. Although the postexercise increase in muscle insulin sensitivity has been characterized in considerable detail, the basic mechanisms underlying this phenomenon remain a mystery.", "author" : [ { "dropping-particle" : "", "family" : "Holloszy", "given" : "John O", "non-dropping-particle" : "", "parse-names" : false, "suffix" : "" } ], "container-title" : "Journal of applied physiology (Bethesda, Md. : 1985)", "id" : "ITEM-1", "issue" : "1", "issued" : { "date-parts" : [ [ "2005" ] ] }, "page" : "338-343", "title" : "Exercise-induced increase in muscle insulin sensitivity.", "type" : "article-journal", "volume" : "99" }, "uris" : [ "http://www.mendeley.com/documents/?uuid=3abdb35b-c115-43b5-ac2c-18c52a9d6130" ] } ], "mendeley" : { "formattedCitation" : "&lt;sup&gt;20&lt;/sup&gt;", "plainTextFormattedCitation" : "20", "previouslyFormattedCitation" : "&lt;sup&gt;20&lt;/sup&gt;"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20</w:t>
      </w:r>
      <w:r w:rsidRPr="00795B8F">
        <w:rPr>
          <w:rFonts w:cs="Times New Roman"/>
        </w:rPr>
        <w:fldChar w:fldCharType="end"/>
      </w:r>
      <w:r w:rsidRPr="00795B8F">
        <w:rPr>
          <w:rFonts w:cs="Times New Roman"/>
        </w:rPr>
        <w:t>,</w:t>
      </w:r>
      <w:r w:rsidR="00AB3BAC">
        <w:rPr>
          <w:rFonts w:cs="Times New Roman"/>
        </w:rPr>
        <w:t xml:space="preserve"> and </w:t>
      </w:r>
      <w:r w:rsidRPr="00795B8F">
        <w:rPr>
          <w:rFonts w:cs="Times New Roman"/>
        </w:rPr>
        <w:t>lipid oxidation</w:t>
      </w:r>
      <w:r w:rsidRPr="00795B8F">
        <w:rPr>
          <w:rFonts w:cs="Times New Roman"/>
        </w:rPr>
        <w:fldChar w:fldCharType="begin" w:fldLock="1"/>
      </w:r>
      <w:r w:rsidR="006670B1">
        <w:rPr>
          <w:rFonts w:cs="Times New Roman"/>
        </w:rPr>
        <w:instrText>ADDIN CSL_CITATION { "citationItems" : [ { "id" : "ITEM-1", "itemData" : { "DOI" : "10.1007/s00421-006-0220-y", "ISSN" : "1439-6319", "PMID" : "16767439", "abstract" : "During exercise, triacylglycerol (TG) is recruited in skeletal muscles. We hypothesized that both muscle hormone-sensitive lipase (HSL) activity and TG recruitment would be higher in trained than in untrained subjects in response to prolonged exercise. Healthy male subjects (26 +/- 1 years, body moss index 23.3 +/- 0.5 kg m(-2)), either untrained (N = 8, VO(2max) 3.8 +/- 0.2 l min(-1)) or trained (N = 8, VO(2max) 5.1 +/- 0.1 l min(-1)), were studied. Before and after 3-h exercise (58 +/- 1% VO(2max)), a biopsy was taken. Muscle citrate synthase (32 +/- 2 vs. 47 +/- 6 mumol g(-1) min(-1) d.w.) and beta-hydroxy-acyl-CoA-dehydrogenase (38 +/- 3 vs. 52 +/- 5 mumol g(-1) min(-1) d.w.) activities were lower in untrained than in trained subjects (p &lt; 0.05). Throughout the exercise, fat oxidation was higher in trained than in untrained subjects (p &lt; 0.05). Muscle HSL activity was similar at rest (0.72 +/- 0.08 and 0.74 +/- 0.03 mU mg(-1) protein) and after exercise (0.71 +/- 0.1 and 0.68 +/- 0.03 mU mg(-1) protein) in untrained and trained subjects. At rest, the chemically determined muscle TG content (37 +/- 8 and 26 +/- 5 mmol g(-1) d.w.) was similar (p &gt; 0.05), and after exercise it was unchanged in untrained and lower (p &lt; 0.05) in trained subjects (41 +/- 9 and 10 +/- 2 mmol g((1) d.w.). Determined histochemically, TG was decreased (p &lt; 0.05) after exercise in type I and II fibres. Depletion of TG was not different between fibre types in untrained, but tended to be higher (p = 0.07) in type I compared with type II fibres in trained muscles. In conclusion, HSL activity is similar in untrained and trained skeletal muscles both before and after prolonged exercise. However, the tendency to higher muscle TG recruitment during exercise in the trained subjects suggests a difference in the regulation of HSL or other lipases during exercise in trained compared with untrained subjects.", "author" : [ { "dropping-particle" : "", "family" : "Wul", "given" : "J\u00f8rn", "non-dropping-particle" : "", "parse-names" : false, "suffix" : "" }, { "dropping-particle" : "", "family" : "Taus", "given" : "V Helge", "non-dropping-particle" : "", "parse-names" : false, "suffix" : "" }, { "dropping-particle" : "", "family" : "Henrik", "given" : "O Biba", "non-dropping-particle" : "", "parse-names" : false, "suffix" : "" }, { "dropping-particle" : "", "family" : "Helge", "given" : "J\u00f8rn Wulff", "non-dropping-particle" : "", "parse-names" : false, "suffix" : "" }, { "dropping-particle" : "", "family" : "Biba", "given" : "Taus O", "non-dropping-particle" : "", "parse-names" : false, "suffix" : "" }, { "dropping-particle" : "", "family" : "Galbo", "given" : "Henrik", "non-dropping-particle" : "", "parse-names" : false, "suffix" : "" }, { "dropping-particle" : "", "family" : "Gaster", "given" : "Michael", "non-dropping-particle" : "", "parse-names" : false, "suffix" : "" }, { "dropping-particle" : "", "family" : "Donsmark", "given" : "Morten", "non-dropping-particle" : "", "parse-names" : false, "suffix" : "" } ], "container-title" : "European journal of applied physiology", "id" : "ITEM-1", "issue" : "5", "issued" : { "date-parts" : [ [ "2006", "7" ] ] }, "page" : "566-72", "title" : "Muscle triacylglycerol and hormone-sensitive lipase activity in untrained and trained human muscles.", "type" : "article-journal", "volume" : "97" }, "uris" : [ "http://www.mendeley.com/documents/?uuid=e2efe1b0-4430-4a31-872a-3cf9f1497217" ] } ], "mendeley" : { "formattedCitation" : "&lt;sup&gt;21&lt;/sup&gt;", "plainTextFormattedCitation" : "21", "previouslyFormattedCitation" : "&lt;sup&gt;21&lt;/sup&gt;"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21</w:t>
      </w:r>
      <w:r w:rsidRPr="00795B8F">
        <w:rPr>
          <w:rFonts w:cs="Times New Roman"/>
        </w:rPr>
        <w:fldChar w:fldCharType="end"/>
      </w:r>
      <w:r w:rsidRPr="00795B8F">
        <w:rPr>
          <w:rFonts w:cs="Times New Roman"/>
        </w:rPr>
        <w:t xml:space="preserve"> as well as </w:t>
      </w:r>
      <w:r>
        <w:rPr>
          <w:rFonts w:cs="Times New Roman"/>
        </w:rPr>
        <w:t xml:space="preserve">the tissue </w:t>
      </w:r>
      <w:r w:rsidRPr="00795B8F">
        <w:rPr>
          <w:rFonts w:cs="Times New Roman"/>
        </w:rPr>
        <w:t>a</w:t>
      </w:r>
      <w:r>
        <w:rPr>
          <w:rFonts w:cs="Times New Roman"/>
        </w:rPr>
        <w:t>s a whole being a</w:t>
      </w:r>
      <w:r w:rsidRPr="00795B8F">
        <w:rPr>
          <w:rFonts w:cs="Times New Roman"/>
        </w:rPr>
        <w:t xml:space="preserve"> major contributor to basal metabolic rate</w:t>
      </w:r>
      <w:r w:rsidRPr="00795B8F">
        <w:rPr>
          <w:rFonts w:cs="Times New Roman"/>
        </w:rPr>
        <w:fldChar w:fldCharType="begin" w:fldLock="1"/>
      </w:r>
      <w:r w:rsidR="006670B1">
        <w:rPr>
          <w:rFonts w:cs="Times New Roman"/>
        </w:rPr>
        <w:instrText>ADDIN CSL_CITATION { "citationItems" : [ { "id" : "ITEM-1", "itemData" : { "ISBN" : "0193-1849 (Print)\\n0193-1849 (Linking)", "ISSN" : "16600347", "PMID" : "15806910", "abstract" : "Magnetic resonance imaging (MRI) can be used to assess metabolically active components of FFM. MRI-derived organ mass (OM) explains part of the interindividual variance in REE. It may also add to our understanding of malnutrition- and obesity-related variance in REE. There is need for (i) standardisation of MRI technology in body composition research, (ii) reference data on detailed body composition including also more recent autopsy data, (iii) reducing the number of assumptions in model-based predictions and (iv) a combination of imaging technologies with in vivo measurements of individual OM respiration (e.g. by positron emission tomography).", "author" : [ { "dropping-particle" : "", "family" : "M\u00fcller", "given" : "Manfred J", "non-dropping-particle" : "", "parse-names" : false, "suffix" : "" }, { "dropping-particle" : "", "family" : "Bosy-Westphal", "given" : "Anja", "non-dropping-particle" : "", "parse-names" : false, "suffix" : "" }, { "dropping-particle" : "", "family" : "Kutzner", "given" : "Doris", "non-dropping-particle" : "", "parse-names" : false, "suffix" : "" }, { "dropping-particle" : "", "family" : "Heller", "given" : "Martin", "non-dropping-particle" : "", "parse-names" : false, "suffix" : "" } ], "container-title" : "Forum of nutrition", "id" : "ITEM-1", "issued" : { "date-parts" : [ [ "2003" ] ] }, "page" : "301-303", "title" : "Metabolically active components of fat free mass (FFM) and resting energy expenditure (REE) in humans.", "type" : "article-journal", "volume" : "56" }, "uris" : [ "http://www.mendeley.com/documents/?uuid=9818d317-4ac3-45e3-b453-e2dc81ceab83" ] } ], "mendeley" : { "formattedCitation" : "&lt;sup&gt;22&lt;/sup&gt;", "plainTextFormattedCitation" : "22", "previouslyFormattedCitation" : "&lt;sup&gt;22&lt;/sup&gt;"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22</w:t>
      </w:r>
      <w:r w:rsidRPr="00795B8F">
        <w:rPr>
          <w:rFonts w:cs="Times New Roman"/>
        </w:rPr>
        <w:fldChar w:fldCharType="end"/>
      </w:r>
      <w:r w:rsidRPr="00795B8F">
        <w:rPr>
          <w:rFonts w:cs="Times New Roman"/>
        </w:rPr>
        <w:t xml:space="preserve">. As a result, maintaining sufficient </w:t>
      </w:r>
      <w:r>
        <w:rPr>
          <w:rFonts w:cs="Times New Roman"/>
        </w:rPr>
        <w:t>muscle</w:t>
      </w:r>
      <w:r w:rsidRPr="00795B8F">
        <w:rPr>
          <w:rFonts w:cs="Times New Roman"/>
        </w:rPr>
        <w:t xml:space="preserve"> mass </w:t>
      </w:r>
      <w:r>
        <w:rPr>
          <w:rFonts w:cs="Times New Roman"/>
        </w:rPr>
        <w:t xml:space="preserve">with aging is of primary concern as declines in muscle mass are often </w:t>
      </w:r>
      <w:r w:rsidRPr="00795B8F">
        <w:rPr>
          <w:rFonts w:cs="Times New Roman"/>
        </w:rPr>
        <w:t>associated with chronic</w:t>
      </w:r>
      <w:r>
        <w:rPr>
          <w:rFonts w:cs="Times New Roman"/>
        </w:rPr>
        <w:t xml:space="preserve"> diseases</w:t>
      </w:r>
      <w:r w:rsidRPr="00795B8F">
        <w:rPr>
          <w:rFonts w:cs="Times New Roman"/>
        </w:rPr>
        <w:t xml:space="preserve"> such as obesity</w:t>
      </w:r>
      <w:r w:rsidR="00462AE4">
        <w:rPr>
          <w:rFonts w:cs="Times New Roman"/>
        </w:rPr>
        <w:t>, T2DM</w:t>
      </w:r>
      <w:r w:rsidRPr="00795B8F">
        <w:rPr>
          <w:rFonts w:cs="Times New Roman"/>
        </w:rPr>
        <w:t xml:space="preserve">, osteoporosis, </w:t>
      </w:r>
      <w:r w:rsidR="00462AE4">
        <w:rPr>
          <w:rFonts w:cs="Times New Roman"/>
        </w:rPr>
        <w:t>CVD</w:t>
      </w:r>
      <w:r w:rsidR="008A5CDF">
        <w:rPr>
          <w:rFonts w:cs="Times New Roman"/>
        </w:rPr>
        <w:t xml:space="preserve"> </w:t>
      </w:r>
      <w:r>
        <w:rPr>
          <w:rFonts w:cs="Times New Roman"/>
        </w:rPr>
        <w:t>and cancer</w:t>
      </w:r>
      <w:r w:rsidRPr="00795B8F">
        <w:rPr>
          <w:rFonts w:cs="Times New Roman"/>
        </w:rPr>
        <w:fldChar w:fldCharType="begin" w:fldLock="1"/>
      </w:r>
      <w:r w:rsidR="005C68EA">
        <w:rPr>
          <w:rFonts w:cs="Times New Roman"/>
        </w:rPr>
        <w:instrText>ADDIN CSL_CITATION { "citationItems" : [ { "id" : "ITEM-1", "itemData" : { "author" : [ { "dropping-particle" : "", "family" : "Wolfe", "given" : "Robert R", "non-dropping-particle" : "", "parse-names" : false, "suffix" : "" } ], "container-title" : "The American journal of clinical nutrition", "id" : "ITEM-1", "issued" : { "date-parts" : [ [ "2006" ] ] }, "page" : "475-482", "title" : "The underappreciated role of muscle in health and disease", "type" : "article-journal" }, "uris" : [ "http://www.mendeley.com/documents/?uuid=3b8841db-2d82-4317-afd9-0b673907dbbd" ] }, { "id" : "ITEM-2", "itemData" : { "DOI" : "10.1016/S0070-2153(05)68005-2", "ISBN" : "0121531686", "ISSN" : "00702153", "PMID" : "16124998", "abstract" : "Sarcopenia contributes significantly to the morbidity, decrease in quality of life, and health care costs in the elderly. It is characterized by a decrease in muscle mass and strength, starting as early as the fourth decade of life in humans. Distinct muscle changes include a decrease in type 2 muscle fibers and a decrease in myosin heavy chains IIa and IIx mRNA levels. In addition, a decrease in whole body protein turnover, mixed muscle protein synthesis, myosin heavy chain synthesis, and mitochondrial protein synthesis have been reported. Different tissues and organs display different responses to aging, with more oxidative tissue generally having more age-related changes. Exercise has been shown to increase strength, aerobic capacity, and muscle protein synthesis, as well as to increase muscle mitochondrial enzyme activity in both young and older people; however, exercise does not reverse all age-related changes. The metabolic effects of sarcopenia include a decrease in resting metabolic rate secondary to decreased fat-free mass and decreased physical activity, leading to a higher prevalence of insulin resistance, type 2 diabetes mellitus, dyslipidemia, and hypertension. The way in which age-related changes in hormone levels affect muscle remains to be fully understood. The effect of replacing those hormones on sarcopenia has led to some conflicting results, but further investigations are ongoing. ?? 2005 Elsevier Inc. All rights reserved.", "author" : [ { "dropping-particle" : "", "family" : "Karakelides", "given" : "Helen", "non-dropping-particle" : "", "parse-names" : false, "suffix" : "" }, { "dropping-particle" : "", "family" : "Nair", "given" : "K. Sreekumaran", "non-dropping-particle" : "", "parse-names" : false, "suffix" : "" } ], "container-title" : "Current Topics in Developmental Biology", "id" : "ITEM-2", "issued" : { "date-parts" : [ [ "2005", "1" ] ] }, "page" : "123-148", "title" : "Sarcopenia of Aging and Its Metabolic Impact", "type" : "article-journal", "volume" : "68" }, "uris" : [ "http://www.mendeley.com/documents/?uuid=37fd1afa-7b3f-480d-9422-a78976e20c78" ] }, { "id" : "ITEM-3", "itemData" : { "DOI" : "10.1016/j.cger.2011.03.005", "ISBN" : "1760-4788", "ISSN" : "07490690", "PMID" : "21824553", "abstract" : "The etiology of sarcopenia is multifactorial but still poorly understood, and the sequelae of this phenomenon represent a major public health issue. Age-related loss of muscle mass can be counteracted by adequate metabolic interventions including nutritional intake and exercise training. Other strategies including changes in daily protein pattern, the speed of protein digestion, or specific amino acid supplementation may be beneficial to improve short-term muscle anabolic response in elderly people. A multimodal approach combining nutrition, exercise, hormones, and specific anabolic drugs may be an innovative treatment for limiting the development of sarcopenia with aging. \u00a9 2011 Elsevier Inc.", "author" : [ { "dropping-particle" : "", "family" : "Walrand", "given" : "St\u00e9phane", "non-dropping-particle" : "", "parse-names" : false, "suffix" : "" }, { "dropping-particle" : "", "family" : "Guillet", "given" : "Christelle", "non-dropping-particle" : "", "parse-names" : false, "suffix" : "" }, { "dropping-particle" : "", "family" : "Salles", "given" : "J\u00e9rome", "non-dropping-particle" : "", "parse-names" : false, "suffix" : "" }, { "dropping-particle" : "", "family" : "Cano", "given" : "No\u00ebl", "non-dropping-particle" : "", "parse-names" : false, "suffix" : "" }, { "dropping-particle" : "", "family" : "Boirie", "given" : "Yves", "non-dropping-particle" : "", "parse-names" : false, "suffix" : "" } ], "container-title" : "Clinics in Geriatric Medicine", "id" : "ITEM-3", "issue" : "3", "issued" : { "date-parts" : [ [ "2011", "8" ] ] }, "page" : "365-385", "title" : "Physiopathological mechanism of sarcopenia", "type" : "article-journal", "volume" : "27" }, "uris" : [ "http://www.mendeley.com/documents/?uuid=dbcfbf26-9a5a-430d-80f5-970b8ec9607f" ] } ], "mendeley" : { "formattedCitation" : "&lt;sup&gt;23\u201325&lt;/sup&gt;", "plainTextFormattedCitation" : "23\u201325", "previouslyFormattedCitation" : "&lt;sup&gt;23\u201325&lt;/sup&gt;"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23–25</w:t>
      </w:r>
      <w:r w:rsidRPr="00795B8F">
        <w:rPr>
          <w:rFonts w:cs="Times New Roman"/>
        </w:rPr>
        <w:fldChar w:fldCharType="end"/>
      </w:r>
      <w:r w:rsidRPr="00795B8F">
        <w:rPr>
          <w:rFonts w:cs="Times New Roman"/>
        </w:rPr>
        <w:t xml:space="preserve">. Despite </w:t>
      </w:r>
      <w:r>
        <w:rPr>
          <w:rFonts w:cs="Times New Roman"/>
        </w:rPr>
        <w:t xml:space="preserve">this </w:t>
      </w:r>
      <w:r w:rsidRPr="00795B8F">
        <w:rPr>
          <w:rFonts w:cs="Times New Roman"/>
        </w:rPr>
        <w:t xml:space="preserve">theoretical link between aging, sarcopenia and </w:t>
      </w:r>
      <w:r>
        <w:rPr>
          <w:rFonts w:cs="Times New Roman"/>
        </w:rPr>
        <w:t>chronic disease</w:t>
      </w:r>
      <w:r w:rsidRPr="00795B8F">
        <w:rPr>
          <w:rFonts w:cs="Times New Roman"/>
        </w:rPr>
        <w:t xml:space="preserve">, studies of sarcopenic populations provide conflicting evidence for age-related losses in lean mass and the prevalence of chronic </w:t>
      </w:r>
      <w:r>
        <w:rPr>
          <w:rFonts w:cs="Times New Roman"/>
        </w:rPr>
        <w:t>illness</w:t>
      </w:r>
      <w:r w:rsidRPr="00795B8F">
        <w:rPr>
          <w:rFonts w:cs="Times New Roman"/>
        </w:rPr>
        <w:t xml:space="preserve">. For example, </w:t>
      </w:r>
      <w:r>
        <w:rPr>
          <w:rFonts w:cs="Times New Roman"/>
        </w:rPr>
        <w:t xml:space="preserve">reductions in </w:t>
      </w:r>
      <w:r w:rsidRPr="00795B8F">
        <w:rPr>
          <w:rFonts w:cs="Times New Roman"/>
        </w:rPr>
        <w:t>resting metabolic rate were seen with aging in institutionalized elderly adults</w:t>
      </w:r>
      <w:r w:rsidRPr="00795B8F">
        <w:rPr>
          <w:rFonts w:cs="Times New Roman"/>
        </w:rPr>
        <w:fldChar w:fldCharType="begin" w:fldLock="1"/>
      </w:r>
      <w:r w:rsidR="006670B1">
        <w:rPr>
          <w:rFonts w:cs="Times New Roman"/>
        </w:rPr>
        <w:instrText>ADDIN CSL_CITATION { "citationItems" : [ { "id" : "ITEM-1", "itemData" : { "ISSN" : "1279-7707", "PMID" : "16886096", "abstract" : "BACKGROUND: In the diseased elderly weight loss and malnutrition are common. It is unclear to what degree this is caused by an elevated resting metabolic rate (RMR), a decreased energy intake or a combination of the two. OBJECTIVE: To measure RMR and nutrient induced thermogenesis (NIT) in chronically diseased elderly living in a nursing home and test for a correlation with fat free mass (FFM), age, energy intake and activities of daily living (ADL). DESIGN: Explorative study performed in the residents' own apartments. RMR was measured by indirect calorimetry, and NIT was tested by giving the subjects an oral fluid test meal, then measuring metabolic rate again one hour later. Body composition was measured anthropometrically and FFM was calculated. Energy intake was calculated from a five-day record of weighed food. BMR was calculated using four different prediction equations and compared with measured RMR. Results: RMR was 1,174 kcal/d (29.3 kcal/kg FFM/d). The variation in RMR was significantly related to FFM (p &lt; 0.0001). Energy intake was 1,474 kcal/d, (36.5 kcal/kg FFM/d). The energy intake/RMR ratio, was 1.27, and NIT was 15% (0-33%). NIT was not correlated to any of the parameters tested. The equation of Harris and Benedict underestimated BMR by 4%; the WHO/FAO overestimated BMR by 7%; Schofield and an estimate of 20 kcal/kg/d did not significantly differ from the measured mean. CONCLUSION: RMR was closely correlated to FFM. Variations in NIT could not be explained by any tested parameters. Predicted BMR differed from measured RMR by less than 8% in all methods, but individual variations were large.", "author" : [ { "dropping-particle" : "", "family" : "Lammes", "given" : "E", "non-dropping-particle" : "", "parse-names" : false, "suffix" : "" }, { "dropping-particle" : "", "family" : "Akner", "given" : "G", "non-dropping-particle" : "", "parse-names" : false, "suffix" : "" } ], "container-title" : "The journal of nutrition, health &amp; aging", "id" : "ITEM-1", "issue" : "4", "issued" : { "date-parts" : [ [ "2006" ] ] }, "page" : "263-270", "title" : "Resting metabolic rate in elderly nursing home patients with multiple diagnoses.", "type" : "article-journal", "volume" : "10" }, "uris" : [ "http://www.mendeley.com/documents/?uuid=ea2f3e76-c858-40df-95ff-832642fe7128" ] } ], "mendeley" : { "formattedCitation" : "&lt;sup&gt;26&lt;/sup&gt;", "plainTextFormattedCitation" : "26", "previouslyFormattedCitation" : "&lt;sup&gt;26&lt;/sup&gt;"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26</w:t>
      </w:r>
      <w:r w:rsidRPr="00795B8F">
        <w:rPr>
          <w:rFonts w:cs="Times New Roman"/>
        </w:rPr>
        <w:fldChar w:fldCharType="end"/>
      </w:r>
      <w:r w:rsidR="007649BF">
        <w:rPr>
          <w:rFonts w:cs="Times New Roman"/>
        </w:rPr>
        <w:t xml:space="preserve">. </w:t>
      </w:r>
      <w:r w:rsidRPr="00795B8F">
        <w:rPr>
          <w:rFonts w:cs="Times New Roman"/>
        </w:rPr>
        <w:t xml:space="preserve"> </w:t>
      </w:r>
      <w:r w:rsidR="007649BF">
        <w:rPr>
          <w:rFonts w:cs="Times New Roman"/>
        </w:rPr>
        <w:t>Nonetheless, a</w:t>
      </w:r>
      <w:r w:rsidRPr="00795B8F">
        <w:rPr>
          <w:rFonts w:cs="Times New Roman"/>
        </w:rPr>
        <w:t>n 8-year longitudinal study of older adults found no link between sarcopenia and the development of cardiovascular disease</w:t>
      </w:r>
      <w:r w:rsidRPr="00795B8F">
        <w:rPr>
          <w:rFonts w:cs="Times New Roman"/>
        </w:rPr>
        <w:fldChar w:fldCharType="begin" w:fldLock="1"/>
      </w:r>
      <w:r w:rsidR="006670B1">
        <w:rPr>
          <w:rFonts w:cs="Times New Roman"/>
        </w:rPr>
        <w:instrText>ADDIN CSL_CITATION { "citationItems" : [ { "id" : "ITEM-1", "itemData" : { "ISSN" : "1279-7707", "PMID" : "19390754", "abstract" : "OBJECTIVES: To determine: 1) whether sarcopenic-obesity is a stronger predictor of cardiovascular disease (CVD) than either sarcopenia or obesity alone in the elderly, and 2) whether muscle mass or muscular strength is a stronger marker of CVD risk. DESIGN: Prospective cohort study. PARTICIPANTS: Participants included 3366 community-dwelling older (&gt;or= 65 years) men and women who were free of CVD at baseline. MEASUREMENTS: Waist circumference (WC), bioimpedance analysis, and grip strength were used to measure abdominal obesity, whole-body muscle mass, and muscular strength, respectively. Subjects were classified as normal, sarcopenic, obese, or sarcopenic-obese based on measures of WC and either muscle mass or strength. Participants were followed for 8 years for CVD development and proportional hazard regression models were used to compare risk estimates for CVD in the four groups after adjusting for age, sex, race, income, smoking, alcohol, and cognitive status. RESULTS: Compared with the normal group, CVD risk was not significantly elevated within the obese, sarcopenic, or sarcopenic-obese groups as determined by WC and muscle mass. When determined by WC and muscle strength, CVD risk was not significantly increased in the sarcopenic or obese groups, but was increased by 23% (95% confidence interval: 0.99-1.54, P=0.06) within the sarcopenic-obese group. CONCLUSION: Sarcopenia and obesity alone were not sufficient to increase CVD risk. Sarcopenic-obesity, based on muscle strength but not muscle mass, was modestly associated with increased CVD risk. These findings imply that strength may be more important than muscle mass for CVD protection in old age.", "author" : [ { "dropping-particle" : "", "family" : "Stephen", "given" : "W C", "non-dropping-particle" : "", "parse-names" : false, "suffix" : "" }, { "dropping-particle" : "", "family" : "Janssen", "given" : "I", "non-dropping-particle" : "", "parse-names" : false, "suffix" : "" } ], "container-title" : "The journal of nutrition, health &amp; aging", "id" : "ITEM-1", "issue" : "5", "issued" : { "date-parts" : [ [ "2009", "5" ] ] }, "page" : "460-466", "title" : "Sarcopenic-obesity and cardiovascular disease risk in the elderly.", "type" : "article-journal", "volume" : "13" }, "uris" : [ "http://www.mendeley.com/documents/?uuid=1df45040-9763-4dea-979b-2feb18e44d49" ] } ], "mendeley" : { "formattedCitation" : "&lt;sup&gt;27&lt;/sup&gt;", "plainTextFormattedCitation" : "27", "previouslyFormattedCitation" : "&lt;sup&gt;27&lt;/sup&gt;"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27</w:t>
      </w:r>
      <w:r w:rsidRPr="00795B8F">
        <w:rPr>
          <w:rFonts w:cs="Times New Roman"/>
        </w:rPr>
        <w:fldChar w:fldCharType="end"/>
      </w:r>
      <w:r w:rsidRPr="00795B8F">
        <w:rPr>
          <w:rFonts w:cs="Times New Roman"/>
        </w:rPr>
        <w:t xml:space="preserve">. A growing body of work provides </w:t>
      </w:r>
      <w:r>
        <w:rPr>
          <w:rFonts w:cs="Times New Roman"/>
        </w:rPr>
        <w:t>contrasting</w:t>
      </w:r>
      <w:r w:rsidRPr="00795B8F">
        <w:rPr>
          <w:rFonts w:cs="Times New Roman"/>
        </w:rPr>
        <w:t xml:space="preserve"> evidence for </w:t>
      </w:r>
      <w:r w:rsidR="007649BF">
        <w:rPr>
          <w:rFonts w:cs="Times New Roman"/>
        </w:rPr>
        <w:t>a</w:t>
      </w:r>
      <w:r w:rsidRPr="00795B8F">
        <w:rPr>
          <w:rFonts w:cs="Times New Roman"/>
        </w:rPr>
        <w:t xml:space="preserve"> relationship </w:t>
      </w:r>
      <w:r w:rsidR="007649BF">
        <w:rPr>
          <w:rFonts w:cs="Times New Roman"/>
        </w:rPr>
        <w:t xml:space="preserve">between </w:t>
      </w:r>
      <w:r w:rsidRPr="00795B8F">
        <w:rPr>
          <w:rFonts w:cs="Times New Roman"/>
        </w:rPr>
        <w:t>declining muscle mass with age and mortality</w:t>
      </w:r>
      <w:r>
        <w:rPr>
          <w:rFonts w:cs="Times New Roman"/>
        </w:rPr>
        <w:t xml:space="preserve"> risk</w:t>
      </w:r>
      <w:r w:rsidRPr="00795B8F">
        <w:rPr>
          <w:rFonts w:cs="Times New Roman"/>
        </w:rPr>
        <w:fldChar w:fldCharType="begin" w:fldLock="1"/>
      </w:r>
      <w:r w:rsidR="006670B1">
        <w:rPr>
          <w:rFonts w:cs="Times New Roman"/>
        </w:rPr>
        <w:instrText>ADDIN CSL_CITATION { "citationItems" : [ { "id" : "ITEM-1", "itemData" : { "DOI" : "10.1093/gerona/61.1.72", "ISBN" : "1079-5006", "ISSN" : "1079-5006", "PMID" : "16456196", "abstract" : "BACKGROUND: Although muscle strength and mass are highly correlated, the relationship between direct measures of low muscle mass (sarcopenia) and strength in association with mortality has not been examined. METHODS: Total mortality rates were examined in the Health, Aging and Body Composition (Health ABC) Study in 2292 participants (aged 70-79 years, 51.6% women, and 38.8% black). Knee extension strength was measured with isokinetic dynamometry, grip strength with isometric dynamometry. Thigh muscle area was measured by computed tomography (CT) scan, and leg and arm lean soft tissue mass were determined by dual energy x-ray absorptiometry (DXA). Both strength and muscle size were assessed as in gender-specific Cox proportional hazards models, with age, race, comorbidities, smoking status, level of physical activity, fat area by CT or fat mass by DXA, height, and markers of inflammation, including interleukin-6, C-reactive protein, and tumor necrosis factor-alpha considered as potential confounders. RESULTS: There were 286 deaths over an average of 4.9 (standard deviation = 0.9) years of follow-up. Both quadriceps and grip strength were strongly related to mortality. For quadriceps strength (per standard deviation of 38 Nm), the crude hazard ratio for men was 1.51 (95% confidence interval, 1.28-1.79) and 1.65 (95% confidence interval, 1.19-2.30) for women. Muscle size, determined by either CT area or DXA regional lean mass, was not strongly related to mortality. In the models of quadriceps strength and mortality, adjustment for muscle area or regional lean mass only slightly attenuated the associations. Further adjustment for other factors also had minimal effect on the association of quadriceps strength with mortality. Associations of grip strength with mortality were similar. CONCLUSION: Low muscle mass did not explain the strong association of strength with mortality, demonstrating that muscle strength as a marker of muscle quality is more important than quantity in estimating mortality risk. Grip strength provided risk estimates similar to those of quadriceps strength.", "author" : [ { "dropping-particle" : "", "family" : "Newman", "given" : "Anne B", "non-dropping-particle" : "", "parse-names" : false, "suffix" : "" }, { "dropping-particle" : "", "family" : "Kupelian", "given" : "Varant", "non-dropping-particle" : "", "parse-names" : false, "suffix" : "" }, { "dropping-particle" : "", "family" : "Visser", "given" : "Marjolein", "non-dropping-particle" : "", "parse-names" : false, "suffix" : "" }, { "dropping-particle" : "", "family" : "Simonsick", "given" : "Eleanor M", "non-dropping-particle" : "", "parse-names" : false, "suffix" : "" }, { "dropping-particle" : "", "family" : "Goodpaster", "given" : "Bret H", "non-dropping-particle" : "", "parse-names" : false, "suffix" : "" }, { "dropping-particle" : "", "family" : "Kritchevsky", "given" : "Stephen B", "non-dropping-particle" : "", "parse-names" : false, "suffix" : "" }, { "dropping-particle" : "", "family" : "Tylavsky", "given" : "Frances a", "non-dropping-particle" : "", "parse-names" : false, "suffix" : "" }, { "dropping-particle" : "", "family" : "Rubin", "given" : "Susan M", "non-dropping-particle" : "", "parse-names" : false, "suffix" : "" }, { "dropping-particle" : "", "family" : "Harris", "given" : "Tamara B", "non-dropping-particle" : "", "parse-names" : false, "suffix" : "" } ], "container-title" : "The journals of gerontology. Series A, Biological sciences and medical sciences", "id" : "ITEM-1", "issue" : "1", "issued" : { "date-parts" : [ [ "2006", "1" ] ] }, "page" : "72-77", "title" : "Strength, but not muscle mass, is associated with mortality in the health, aging and body composition study cohort.", "type" : "article-journal", "volume" : "61" }, "uris" : [ "http://www.mendeley.com/documents/?uuid=b37b80ae-c6c3-406a-8265-64e921ff29de" ] }, { "id" : "ITEM-2", "itemData" : { "DOI" : "10.1046/j.1532-5415.2002.50316.x", "ISBN" : "1532-5415", "ISSN" : "00028614", "PMID" : "12133024", "abstract" : "OBJECTIVES: Older people are at risk of undernutrition because of a number of physiological conditions and lifestyle factors. The purpose of this study was to explore the predictive relationship of corrected arm muscle area (CAMA) with 8-year mortality in a representative sample of older Australians. DESIGN: Prospective cohort study: The Australian Longitudinal Study of Ageing. SETTING: Community. PARTICIPANTS: One thousand three hundred ninety-six participants aged 70 and older. MEASUREMENTS: Trained observers measured baseline weight, height, mid upper arm circumference, and triceps skinfold thickness using standard techniques. Body mass index (BMI) and CAMA were calculated. Baseline BMI and CAMA measurements were categorized according to cutoff values proposed by Garrow et al. and Friedman et al., respectively. Subsequent analyses were undertaken using Cox proportional hazards regression. RESULTS: After adjustment for potential confounders (baseline age, gender, marital status, smoking, self-rated health, ability to conduct activities of daily living, comorbidity, cognition performance, and presence of depression), those older Australians with a low CAMA (&lt;or=21.4 cm2 for men and &lt;or=21.6 cm2 for women) had an increased risk of mortality at 8-year follow-up (hazard ratio=1.94, 95% confidence interval=1.25-3.00, P=.003). There was no increased risk in 8-year mortality identified for those with a high or low BMI. CONCLUSION: CAMA is a useful assessment of undernutrition in older adults that has better prognostic value than BMI in predicting death in older, community-living Australians.", "author" : [ { "dropping-particle" : "", "family" : "Miller", "given" : "Michelle D.", "non-dropping-particle" : "", "parse-names" : false, "suffix" : "" }, { "dropping-particle" : "", "family" : "Crotty", "given" : "Maria", "non-dropping-particle" : "", "parse-names" : false, "suffix" : "" }, { "dropping-particle" : "", "family" : "Giles", "given" : "Lynne C.", "non-dropping-particle" : "", "parse-names" : false, "suffix" : "" }, { "dropping-particle" : "", "family" : "Bannerman", "given" : "Elaine", "non-dropping-particle" : "", "parse-names" : false, "suffix" : "" }, { "dropping-particle" : "", "family" : "Whitehead", "given" : "Craig", "non-dropping-particle" : "", "parse-names" : false, "suffix" : "" }, { "dropping-particle" : "", "family" : "Cobiac", "given" : "Lynne", "non-dropping-particle" : "", "parse-names" : false, "suffix" : "" }, { "dropping-particle" : "", "family" : "Daniels", "given" : "Lynne a.", "non-dropping-particle" : "", "parse-names" : false, "suffix" : "" }, { "dropping-particle" : "", "family" : "Andrews", "given" : "Gary", "non-dropping-particle" : "", "parse-names" : false, "suffix" : "" } ], "container-title" : "Journal of the American Geriatrics Society", "id" : "ITEM-2", "issue" : "7", "issued" : { "date-parts" : [ [ "2002", "7" ] ] }, "page" : "1272-1277", "title" : "Corrected arm muscle area: An independent predictor of long-term mortality in community-dwelling older adults?", "type" : "article-journal", "volume" : "50" }, "uris" : [ "http://www.mendeley.com/documents/?uuid=211ffacc-a25e-4d89-94d7-ee6e5363d1ea" ] }, { "id" : "ITEM-3", "itemData" : { "DOI" : "10.1159/000213659", "ISBN" : "0304-324X", "ISSN" : "0304-324X", "PMID" : "7737531", "abstract" : "The measurements obtained on 103 male and female subjects, 60-103 years of age, who were participants in a community nutrition program, included weight, height, knee height, body mass index, triceps skinfold, midarm circumference, midarm muscle area, total body fat, total body water, and lean body mass. Over the 43-year range of this cross-sectional study, 78% of body weight loss in men and 51% in women was attributable to lean tissue, while fat tissue accounted for 22% of weight loss in men and 53% in women. Analysis of variance of the measured values over the age interval showed trends that were not statistically significant among males, but females showed significant decreases in weight, body mass index, triceps skinfold, midarm muscle area, total body fat (% and lb), total body water (l), and lean body mass; also, a significant increase in total body water (%) was observed in females. Ethnic differences among the parameters included higher triceps skinfold in white than in black males and larger knee height and midarm circumference in white than in black females. Comparison of parameters by gender within each ethnic group showed larger body weight and midarm muscle area in white males than in white females; triceps skinfold was larger in black females than in black males. t tests indicated that subjects who received home-delivered meals had significantly smaller mean body weight, body mass index, triceps skinfold, midarm circumference and total body fat (% and lb) than those who came to a senior center for the noon meal. Elderly who lived alone had a higher total body fat (%) than those who lived with other(s). In females, significant correlation coefficients (r) were shown by weight, total body water (l), and lean body mass with all parameters. The weakest r values in females were those for height and for triceps skinfold with other parameters. In males, there was no single parameter that correlated with all others; triceps skinfold correlated with none. The strongest correlations in the male were for weight with total body water and with lean body mass, and for midarm circumference with midarm muscle area.", "author" : [ { "dropping-particle" : "", "family" : "Prothro", "given" : "J W", "non-dropping-particle" : "", "parse-names" : false, "suffix" : "" }, { "dropping-particle" : "", "family" : "Rosenbloom", "given" : "C a", "non-dropping-particle" : "", "parse-names" : false, "suffix" : "" } ], "container-title" : "Gerontology", "id" : "ITEM-3", "issue" : "1", "issued" : { "date-parts" : [ [ "1995" ] ] }, "page" : "22-38", "title" : "Body measurements of black and white elderly persons with emphasis on body composition.", "type" : "article-journal", "volume" : "41" }, "uris" : [ "http://www.mendeley.com/documents/?uuid=688cdd70-3c4a-40b4-9e2a-c7a598233139" ] }, { "id" : "ITEM-4", "itemData" : { "ISSN" : "0002-0729", "PMID" : "7645437", "abstract" : "Although it has been shown that protein-energy malnutrition is a predictor of adverse outcome in geriatric patients, it is unclear whether this is due to underlying disease or disability, or whether malnutrition is an independent outcome predictor. To clarify the predictive role of malnutrition, we analysed the 4.5-year mortality and living location follow-ups of 219 geriatric patients admitted to a geriatric assessment unit. Prevalence of anthropometric and serological malnutrition indicators were between 13.7% and 39.8% at hospital admission. In bivariate models, prealbumin, subnormal arm muscle area, and subnormal body weight were predictors of mortality and survival at home. On the other hand, albumin, transferrin, and triceps skin-fold thickness did not predict these outcomes. In multivariate models the hazard ratio (HR) of 4.5-year mortality remained significant with an HR of 1.8 (95% CI 1.3-2.6) for subnormal arm muscle area, and 1.6 (95% CI 1.0-2.6) for subnormal body weight. Prealbumin was the strongest serological outcome predictor (multivariate mortality HR 1.9, 95% CI, 1.3-2.8). In these models, subnormal cognitive function, impaired physical function, and creatinine clearance &lt; 30 ml/min were also associated with increased mortality. Malnutrition did not predict hospital discharge location, but among patients discharged home, those with initial malnutrition had a decreased length of survival at home. Our findings indicate that certain protein-energy malnutrition indicators are independent risk factors predicting decreased length of overall survival and survival at home in geriatric patients.", "author" : [ { "dropping-particle" : "", "family" : "M\u00fchlethaler", "given" : "R", "non-dropping-particle" : "", "parse-names" : false, "suffix" : "" }, { "dropping-particle" : "", "family" : "Stuck", "given" : "a E", "non-dropping-particle" : "", "parse-names" : false, "suffix" : "" }, { "dropping-particle" : "", "family" : "Minder", "given" : "C E", "non-dropping-particle" : "", "parse-names" : false, "suffix" : "" }, { "dropping-particle" : "", "family" : "Frey", "given" : "B M", "non-dropping-particle" : "", "parse-names" : false, "suffix" : "" } ], "container-title" : "Age and ageing", "id" : "ITEM-4", "issue" : "3", "issued" : { "date-parts" : [ [ "1995", "5" ] ] }, "page" : "193-197", "title" : "The prognostic significance of protein-energy malnutrition in geriatric patients.", "type" : "article-journal", "volume" : "24" }, "uris" : [ "http://www.mendeley.com/documents/?uuid=a33f6e6b-792c-4dc2-bbec-d69cc671090a" ] } ], "mendeley" : { "formattedCitation" : "&lt;sup&gt;16,28\u201330&lt;/sup&gt;", "plainTextFormattedCitation" : "16,28\u201330", "previouslyFormattedCitation" : "&lt;sup&gt;16,28\u201330&lt;/sup&gt;"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16,28–30</w:t>
      </w:r>
      <w:r w:rsidRPr="00795B8F">
        <w:rPr>
          <w:rFonts w:cs="Times New Roman"/>
        </w:rPr>
        <w:fldChar w:fldCharType="end"/>
      </w:r>
      <w:r>
        <w:rPr>
          <w:rFonts w:cs="Times New Roman"/>
        </w:rPr>
        <w:t xml:space="preserve">. Although </w:t>
      </w:r>
      <w:r w:rsidRPr="00795B8F">
        <w:rPr>
          <w:rFonts w:cs="Times New Roman"/>
        </w:rPr>
        <w:t>the</w:t>
      </w:r>
      <w:r>
        <w:rPr>
          <w:rFonts w:cs="Times New Roman"/>
        </w:rPr>
        <w:t xml:space="preserve"> aetiology of sarcopenia has been the focus of intense research</w:t>
      </w:r>
      <w:r w:rsidRPr="00795B8F">
        <w:rPr>
          <w:rFonts w:cs="Times New Roman"/>
        </w:rPr>
        <w:t xml:space="preserve">, </w:t>
      </w:r>
      <w:r w:rsidRPr="00795B8F">
        <w:rPr>
          <w:rFonts w:cs="Times New Roman"/>
        </w:rPr>
        <w:lastRenderedPageBreak/>
        <w:t xml:space="preserve">the role of </w:t>
      </w:r>
      <w:r>
        <w:rPr>
          <w:rFonts w:cs="Times New Roman"/>
        </w:rPr>
        <w:t>muscle mass losses</w:t>
      </w:r>
      <w:r w:rsidRPr="00795B8F">
        <w:rPr>
          <w:rFonts w:cs="Times New Roman"/>
        </w:rPr>
        <w:t xml:space="preserve"> in the development of co-morbidities of aging and mortality remains unclear. </w:t>
      </w:r>
      <w:r>
        <w:rPr>
          <w:rFonts w:cs="Times New Roman"/>
        </w:rPr>
        <w:t xml:space="preserve"> </w:t>
      </w:r>
    </w:p>
    <w:p w14:paraId="513A6B34" w14:textId="08A2E827" w:rsidR="005A1D98" w:rsidRDefault="00AB3BAC" w:rsidP="005A1D98">
      <w:pPr>
        <w:spacing w:line="480" w:lineRule="auto"/>
        <w:ind w:firstLine="720"/>
        <w:rPr>
          <w:noProof/>
          <w:lang w:val="en-US" w:eastAsia="en-US"/>
        </w:rPr>
      </w:pPr>
      <w:r>
        <w:rPr>
          <w:rFonts w:cs="Times New Roman"/>
        </w:rPr>
        <w:t>A</w:t>
      </w:r>
      <w:r w:rsidR="005A1D98" w:rsidRPr="00795B8F">
        <w:rPr>
          <w:rFonts w:cs="Times New Roman"/>
        </w:rPr>
        <w:t>ging is a primary risk factor for the development of insulin resistance and T2DM</w:t>
      </w:r>
      <w:r w:rsidR="005A1D98" w:rsidRPr="00795B8F">
        <w:rPr>
          <w:rFonts w:cs="Times New Roman"/>
        </w:rPr>
        <w:fldChar w:fldCharType="begin" w:fldLock="1"/>
      </w:r>
      <w:r w:rsidR="006670B1">
        <w:rPr>
          <w:rFonts w:cs="Times New Roman"/>
        </w:rPr>
        <w:instrText>ADDIN CSL_CITATION { "citationItems" : [ { "id" : "ITEM-1", "itemData" : { "DOI" : "10.1016/j.bbagen.2009.01.008", "ISBN" : "0006-3002", "ISSN" : "03044165", "PMID" : "19364483", "abstract" : "Background: Visceral fat (VF) accretion is a hallmark of aging in humans. Epidemiologic studies have implicated abdominal obesity as a major risk factor for insulin resistance, type 2 diabetes, cardiovascular disease, metabolic syndrome and death. Methods: Studies utilizing novel rodent models of visceral obesity and surgical strategies in humans have been undertaken to determine if subcutaneous (SC) abdominal or VF are causally linked to age-related diseases. Results: Specific depletion or expansion of the VF depot using genetic or surgical tools in rodents has been shown to have direct effects on disease risk. In contrast, surgically removing large quantities of SC fat does not consistently improve metabolic parameters in humans or rodents, while benefits were observed with SC fat expansion in mice, suggesting that SC fat accrual is not an important contributor to metabolic decline. There is also compelling evidence in humans that abdominal obesity is a stronger risk factor for mortality risk than general obesity. Likewise, we have shown that surgical removal of VF improves mean and maximum lifespan in rats, providing the first causal evidence that VF depletion may be an important underlying cause of improved lifespan with caloric restriction. General significance: This review provides both corollary and causal evidence for the importance of accounting for body fat distribution, and specifically VF, when assessing disease and mortality risk. Given the hazards of VF accumulation on health, treatment strategies aimed at selectively depleting VF should be considered as a viable tool to effectively reduce disease risk in humans. \u00a9 2008 Elsevier B.V. All rights reserved.", "author" : [ { "dropping-particle" : "", "family" : "Huffman", "given" : "Derek M.", "non-dropping-particle" : "", "parse-names" : false, "suffix" : "" }, { "dropping-particle" : "", "family" : "Barzilai", "given" : "Nir", "non-dropping-particle" : "", "parse-names" : false, "suffix" : "" } ], "container-title" : "Biochimica et Biophysica Acta - General Subjects", "id" : "ITEM-1", "issue" : "10", "issued" : { "date-parts" : [ [ "2009", "10" ] ] }, "note" : "From Duplicate 1 ( ", "page" : "1117-1123", "title" : "Role of visceral adipose tissue in aging", "type" : "article-journal", "volume" : "1790" }, "uris" : [ "http://www.mendeley.com/documents/?uuid=affefdbb-8952-4e69-84ed-73a0b849526a" ] } ], "mendeley" : { "formattedCitation" : "&lt;sup&gt;31&lt;/sup&gt;", "plainTextFormattedCitation" : "31", "previouslyFormattedCitation" : "&lt;sup&gt;31&lt;/sup&gt;" }, "properties" : { "noteIndex" : 0 }, "schema" : "https://github.com/citation-style-language/schema/raw/master/csl-citation.json" }</w:instrText>
      </w:r>
      <w:r w:rsidR="005A1D98" w:rsidRPr="00795B8F">
        <w:rPr>
          <w:rFonts w:cs="Times New Roman"/>
        </w:rPr>
        <w:fldChar w:fldCharType="separate"/>
      </w:r>
      <w:r w:rsidR="004238C1" w:rsidRPr="004238C1">
        <w:rPr>
          <w:rFonts w:cs="Times New Roman"/>
          <w:noProof/>
          <w:vertAlign w:val="superscript"/>
        </w:rPr>
        <w:t>31</w:t>
      </w:r>
      <w:r w:rsidR="005A1D98" w:rsidRPr="00795B8F">
        <w:rPr>
          <w:rFonts w:cs="Times New Roman"/>
        </w:rPr>
        <w:fldChar w:fldCharType="end"/>
      </w:r>
      <w:r w:rsidR="005A1D98">
        <w:rPr>
          <w:rFonts w:cs="Times New Roman"/>
        </w:rPr>
        <w:t>.</w:t>
      </w:r>
      <w:r w:rsidR="005A1D98" w:rsidRPr="00795B8F">
        <w:rPr>
          <w:rFonts w:cs="Times New Roman"/>
        </w:rPr>
        <w:t xml:space="preserve"> </w:t>
      </w:r>
      <w:r w:rsidR="00623F5A">
        <w:rPr>
          <w:rFonts w:cs="Times New Roman"/>
        </w:rPr>
        <w:t>E</w:t>
      </w:r>
      <w:r w:rsidR="005A1D98" w:rsidRPr="00795B8F">
        <w:rPr>
          <w:rFonts w:cs="Times New Roman"/>
        </w:rPr>
        <w:t>stimate</w:t>
      </w:r>
      <w:r w:rsidR="00623F5A">
        <w:rPr>
          <w:rFonts w:cs="Times New Roman"/>
        </w:rPr>
        <w:t>s</w:t>
      </w:r>
      <w:r w:rsidR="005A1D98" w:rsidRPr="00795B8F">
        <w:rPr>
          <w:rFonts w:cs="Times New Roman"/>
        </w:rPr>
        <w:t xml:space="preserve"> </w:t>
      </w:r>
      <w:r w:rsidR="00623F5A">
        <w:rPr>
          <w:rFonts w:cs="Times New Roman"/>
        </w:rPr>
        <w:t xml:space="preserve">are that </w:t>
      </w:r>
      <w:r w:rsidR="005A1D98" w:rsidRPr="00795B8F">
        <w:rPr>
          <w:rFonts w:cs="Times New Roman"/>
        </w:rPr>
        <w:t xml:space="preserve">~22% of men and 15% of women over 65 years of age </w:t>
      </w:r>
      <w:r w:rsidR="00623F5A">
        <w:rPr>
          <w:rFonts w:cs="Times New Roman"/>
        </w:rPr>
        <w:t xml:space="preserve">in Canada </w:t>
      </w:r>
      <w:r w:rsidR="005A1D98" w:rsidRPr="00795B8F">
        <w:rPr>
          <w:rFonts w:cs="Times New Roman"/>
        </w:rPr>
        <w:t>are diabetic</w:t>
      </w:r>
      <w:r w:rsidR="005A1D98" w:rsidRPr="00795B8F">
        <w:rPr>
          <w:rFonts w:cs="Times New Roman"/>
        </w:rPr>
        <w:fldChar w:fldCharType="begin" w:fldLock="1"/>
      </w:r>
      <w:r w:rsidR="006670B1">
        <w:rPr>
          <w:rFonts w:cs="Times New Roman"/>
        </w:rPr>
        <w:instrText>ADDIN CSL_CITATION { "citationItems" : [ { "id" : "ITEM-1", "itemData" : { "author" : [ { "dropping-particle" : "", "family" : "Canadian Diabetic Association", "given" : "", "non-dropping-particle" : "", "parse-names" : false, "suffix" : "" }, { "dropping-particle" : "", "family" : "Diab\u00e8te Qu\u00e9bec", "given" : "", "non-dropping-particle" : "", "parse-names" : false, "suffix" : "" } ], "container-title" : "Diabetes", "id" : "ITEM-1", "issued" : { "date-parts" : [ [ "2010" ] ] }, "title" : "Diabetes : Canada at the tipping point Charting a New Path: Why We Are Here and What Can Be Done", "type" : "report" }, "uris" : [ "http://www.mendeley.com/documents/?uuid=a82f1c46-6d69-4582-9a0a-663c218dc8ae" ] } ], "mendeley" : { "formattedCitation" : "&lt;sup&gt;32&lt;/sup&gt;", "plainTextFormattedCitation" : "32", "previouslyFormattedCitation" : "&lt;sup&gt;32&lt;/sup&gt;" }, "properties" : { "noteIndex" : 0 }, "schema" : "https://github.com/citation-style-language/schema/raw/master/csl-citation.json" }</w:instrText>
      </w:r>
      <w:r w:rsidR="005A1D98" w:rsidRPr="00795B8F">
        <w:rPr>
          <w:rFonts w:cs="Times New Roman"/>
        </w:rPr>
        <w:fldChar w:fldCharType="separate"/>
      </w:r>
      <w:r w:rsidR="004238C1" w:rsidRPr="004238C1">
        <w:rPr>
          <w:rFonts w:cs="Times New Roman"/>
          <w:noProof/>
          <w:vertAlign w:val="superscript"/>
        </w:rPr>
        <w:t>32</w:t>
      </w:r>
      <w:r w:rsidR="005A1D98" w:rsidRPr="00795B8F">
        <w:rPr>
          <w:rFonts w:cs="Times New Roman"/>
        </w:rPr>
        <w:fldChar w:fldCharType="end"/>
      </w:r>
      <w:r w:rsidR="005A1D98" w:rsidRPr="00795B8F">
        <w:rPr>
          <w:rFonts w:cs="Times New Roman"/>
        </w:rPr>
        <w:t xml:space="preserve">. Older adults exhibit reduced whole-body insulin sensitivity compared with younger adults </w:t>
      </w:r>
      <w:r w:rsidR="005A1D98" w:rsidRPr="00795B8F">
        <w:rPr>
          <w:rFonts w:cs="Times New Roman"/>
        </w:rPr>
        <w:fldChar w:fldCharType="begin" w:fldLock="1"/>
      </w:r>
      <w:r w:rsidR="006670B1">
        <w:rPr>
          <w:rFonts w:cs="Times New Roman"/>
        </w:rPr>
        <w:instrText>ADDIN CSL_CITATION { "citationItems" : [ { "id" : "ITEM-1", "itemData" : { "DOI" : "10.2337/dc09-0267", "ISBN" : "1935-5548", "ISSN" : "01495992", "PMID" : "19401446", "abstract" : "OBJECTIVE Age-associated insulin resistance may underlie the higher prevalence of type 2 diabetes in older adults. We examined a corollary hypothesis that obesity and level of chronic physical inactivity are the true causes for this ostensible effect of aging on insulin resistance. RESEARCH DESIGN AND METHODS We compared insulin sensitivity in 7 younger endurance-trained athletes, 12 older athletes, 11 younger normal-weight subjects, 10 older normal-weight subjects, 15 younger obese subjects, and 15 older obese subjects using a glucose clamp. The nonathletes were sedentary. RESULTS Insulin sensitivity was not different in younger endurance-trained athletes versus older athletes, in younger normal-weight subjects versus older normal-weight subjects, or in younger obese subjects versus older obese subjects. Regardless of age, athletes were more insulin sensitive than normal-weight sedentary subjects, who in turn were more insulin sensitive than obese subjects. CONCLUSIONS Insulin resistance may not be characteristic of aging but rather associated with obesity and physical inactivity.", "author" : [ { "dropping-particle" : "", "family" : "Amati", "given" : "Francesca", "non-dropping-particle" : "", "parse-names" : false, "suffix" : "" }, { "dropping-particle" : "", "family" : "Dub\u00e9", "given" : "John J.", "non-dropping-particle" : "", "parse-names" : false, "suffix" : "" }, { "dropping-particle" : "", "family" : "Coen", "given" : "Paul M.", "non-dropping-particle" : "", "parse-names" : false, "suffix" : "" }, { "dropping-particle" : "", "family" : "Stefanovic-Racic", "given" : "Maja", "non-dropping-particle" : "", "parse-names" : false, "suffix" : "" }, { "dropping-particle" : "", "family" : "Toledo", "given" : "F. G S", "non-dropping-particle" : "", "parse-names" : false, "suffix" : "" }, { "dropping-particle" : "", "family" : "Goodpaster", "given" : "Bret H.", "non-dropping-particle" : "", "parse-names" : false, "suffix" : "" } ], "container-title" : "Diabetes Care", "id" : "ITEM-1", "issue" : "8", "issued" : { "date-parts" : [ [ "2009", "8" ] ] }, "page" : "1547-1549", "title" : "Physical inactivity and obesity underlie the insulin resistance of aging", "type" : "article-journal", "volume" : "32" }, "uris" : [ "http://www.mendeley.com/documents/?uuid=7f7d73c2-dfe6-4206-b7af-f72da62cbc1c" ] } ], "mendeley" : { "formattedCitation" : "&lt;sup&gt;33&lt;/sup&gt;", "plainTextFormattedCitation" : "33", "previouslyFormattedCitation" : "&lt;sup&gt;33&lt;/sup&gt;" }, "properties" : { "noteIndex" : 0 }, "schema" : "https://github.com/citation-style-language/schema/raw/master/csl-citation.json" }</w:instrText>
      </w:r>
      <w:r w:rsidR="005A1D98" w:rsidRPr="00795B8F">
        <w:rPr>
          <w:rFonts w:cs="Times New Roman"/>
        </w:rPr>
        <w:fldChar w:fldCharType="separate"/>
      </w:r>
      <w:r w:rsidR="004238C1" w:rsidRPr="004238C1">
        <w:rPr>
          <w:rFonts w:cs="Times New Roman"/>
          <w:noProof/>
          <w:vertAlign w:val="superscript"/>
        </w:rPr>
        <w:t>33</w:t>
      </w:r>
      <w:r w:rsidR="005A1D98" w:rsidRPr="00795B8F">
        <w:rPr>
          <w:rFonts w:cs="Times New Roman"/>
        </w:rPr>
        <w:fldChar w:fldCharType="end"/>
      </w:r>
      <w:r w:rsidR="00623F5A">
        <w:rPr>
          <w:rFonts w:cs="Times New Roman"/>
        </w:rPr>
        <w:t>.</w:t>
      </w:r>
      <w:r w:rsidR="005A1D98" w:rsidRPr="00795B8F">
        <w:rPr>
          <w:rFonts w:cs="Times New Roman"/>
        </w:rPr>
        <w:t xml:space="preserve"> </w:t>
      </w:r>
      <w:r w:rsidR="00623F5A">
        <w:rPr>
          <w:rFonts w:cs="Times New Roman"/>
        </w:rPr>
        <w:t>T</w:t>
      </w:r>
      <w:r w:rsidR="005A1D98" w:rsidRPr="00795B8F">
        <w:rPr>
          <w:rFonts w:cs="Times New Roman"/>
        </w:rPr>
        <w:t xml:space="preserve">he </w:t>
      </w:r>
      <w:r w:rsidR="005A1D98">
        <w:rPr>
          <w:rFonts w:cs="Times New Roman"/>
        </w:rPr>
        <w:t>physiological mechanisms</w:t>
      </w:r>
      <w:r w:rsidR="005A1D98" w:rsidRPr="00795B8F">
        <w:rPr>
          <w:rFonts w:cs="Times New Roman"/>
        </w:rPr>
        <w:t xml:space="preserve"> </w:t>
      </w:r>
      <w:r w:rsidR="005A1D98">
        <w:rPr>
          <w:rFonts w:cs="Times New Roman"/>
        </w:rPr>
        <w:t>underpinning</w:t>
      </w:r>
      <w:r w:rsidR="005A1D98" w:rsidRPr="00795B8F">
        <w:rPr>
          <w:rFonts w:cs="Times New Roman"/>
        </w:rPr>
        <w:t xml:space="preserve"> this state are likely an impairment in peripheral </w:t>
      </w:r>
      <w:r w:rsidR="005A1D98">
        <w:rPr>
          <w:rFonts w:cs="Times New Roman"/>
        </w:rPr>
        <w:t xml:space="preserve">(i.e., skeletal muscle) </w:t>
      </w:r>
      <w:r w:rsidR="005A1D98" w:rsidRPr="00795B8F">
        <w:rPr>
          <w:rFonts w:cs="Times New Roman"/>
        </w:rPr>
        <w:t>glucose uptake and oxidation related to inflammation status, visceral adipose tissue</w:t>
      </w:r>
      <w:r w:rsidR="005A1D98">
        <w:rPr>
          <w:rFonts w:cs="Times New Roman"/>
        </w:rPr>
        <w:t xml:space="preserve"> accumulation</w:t>
      </w:r>
      <w:r w:rsidR="005A1D98" w:rsidRPr="00795B8F">
        <w:rPr>
          <w:rFonts w:cs="Times New Roman"/>
        </w:rPr>
        <w:t xml:space="preserve">, mitochondrial dysfunction and </w:t>
      </w:r>
      <w:r w:rsidR="005A1D98">
        <w:rPr>
          <w:rFonts w:cs="Times New Roman"/>
        </w:rPr>
        <w:t xml:space="preserve">a reduction in skeletal </w:t>
      </w:r>
      <w:r w:rsidR="005A1D98" w:rsidRPr="00795B8F">
        <w:rPr>
          <w:rFonts w:cs="Times New Roman"/>
        </w:rPr>
        <w:t>muscle mass</w:t>
      </w:r>
      <w:r w:rsidR="005A1D98" w:rsidRPr="00795B8F">
        <w:rPr>
          <w:rFonts w:cs="Times New Roman"/>
        </w:rPr>
        <w:fldChar w:fldCharType="begin" w:fldLock="1"/>
      </w:r>
      <w:r w:rsidR="006670B1">
        <w:rPr>
          <w:rFonts w:cs="Times New Roman"/>
        </w:rPr>
        <w:instrText>ADDIN CSL_CITATION { "citationItems" : [ { "id" : "ITEM-1", "itemData" : { "DOI" : "10.1016/j.exger.2009.08.008", "ISBN" : "0531-5565", "ISSN" : "05315565", "PMID" : "19723576", "abstract" : "Whether frail elderly subjects are more insulin resistant (IR) than non-frail is unclear. How obesity, muscle mass, inflammation, hormonal and lipid status, oxidative stress, antioxidant capacity and physical activity influences insulin sensitivity (IS) in frail elderly subjects remains uncertain. We determined (1) whether frail elderly persons are more IR than non-frail elderly and (2) the influence of abdominal fat mass (AFM), muscle mass index (MMI), inflammation (CRP), hormonal (cortisol, free IGF-1, DHEA) and lipid (FFA, triglyceride (TG)) status, oxidative stress (paraoxonase-1 (PON-1), malondialdehyde (MDA)), antioxidant capacity (vitamin C, E) and physical activity (PASE questionnaire) on IS (QUICKI) in 16 frail obese (FO), 17 frail lean (FL) and 21 healthy, non-obese (HN) elderly subjects. IS was lower in FO than FL, but there was no significant difference between HN and FO or FL. There were no significant differences among groups for CRP, cortisol, IGF-1, DHEA, FFA, TG, PON-1, MDA, vitamin C and E and PASE. Age, AFM and MMI significantly correlated with IS. Only AFM and MMI were significant predictors explaining, respectively, 18.5% and 8.5% of the variance in IS. Increased abdominal obesity is associated with IR in frail elderly. Non-obese frail persons are not more IR than their healthy counterparts. \u00a9 2009 Elsevier Inc. All rights reserved.", "author" : [ { "dropping-particle" : "", "family" : "Goulet", "given" : "Eric D B", "non-dropping-particle" : "", "parse-names" : false, "suffix" : "" }, { "dropping-particle" : "", "family" : "Hassaine", "given" : "Assia", "non-dropping-particle" : "", "parse-names" : false, "suffix" : "" }, { "dropping-particle" : "", "family" : "Dionne", "given" : "Isabelle J.", "non-dropping-particle" : "", "parse-names" : false, "suffix" : "" }, { "dropping-particle" : "", "family" : "Gaudreau", "given" : "Pierrette", "non-dropping-particle" : "", "parse-names" : false, "suffix" : "" }, { "dropping-particle" : "", "family" : "Khalil", "given" : "Abdelouahed", "non-dropping-particle" : "", "parse-names" : false, "suffix" : "" }, { "dropping-particle" : "", "family" : "Fulop", "given" : "Tam\u00e0s", "non-dropping-particle" : "", "parse-names" : false, "suffix" : "" }, { "dropping-particle" : "", "family" : "Shatenstein", "given" : "Bryna", "non-dropping-particle" : "", "parse-names" : false, "suffix" : "" }, { "dropping-particle" : "", "family" : "Tessier", "given" : "Daniel", "non-dropping-particle" : "", "parse-names" : false, "suffix" : "" }, { "dropping-particle" : "", "family" : "Morais", "given" : "Jos\u00e9 a.", "non-dropping-particle" : "", "parse-names" : false, "suffix" : "" } ], "container-title" : "Experimental Gerontology", "id" : "ITEM-1", "issue" : "11", "issued" : { "date-parts" : [ [ "2009", "11" ] ] }, "note" : "From Duplicate 2 ( ", "page" : "740-744", "publisher" : "Elsevier Inc.", "title" : "Frailty in the elderly is associated with insulin resistance of glucose metabolism in the postabsorptive state only in the presence of increased abdominal fat", "type" : "article-journal", "volume" : "44" }, "uris" : [ "http://www.mendeley.com/documents/?uuid=637214d1-5f56-4f77-a759-872299fb4073" ] } ], "mendeley" : { "formattedCitation" : "&lt;sup&gt;34&lt;/sup&gt;", "plainTextFormattedCitation" : "34", "previouslyFormattedCitation" : "&lt;sup&gt;34&lt;/sup&gt;" }, "properties" : { "noteIndex" : 0 }, "schema" : "https://github.com/citation-style-language/schema/raw/master/csl-citation.json" }</w:instrText>
      </w:r>
      <w:r w:rsidR="005A1D98" w:rsidRPr="00795B8F">
        <w:rPr>
          <w:rFonts w:cs="Times New Roman"/>
        </w:rPr>
        <w:fldChar w:fldCharType="separate"/>
      </w:r>
      <w:r w:rsidR="004238C1" w:rsidRPr="004238C1">
        <w:rPr>
          <w:rFonts w:cs="Times New Roman"/>
          <w:noProof/>
          <w:vertAlign w:val="superscript"/>
        </w:rPr>
        <w:t>34</w:t>
      </w:r>
      <w:r w:rsidR="005A1D98" w:rsidRPr="00795B8F">
        <w:rPr>
          <w:rFonts w:cs="Times New Roman"/>
        </w:rPr>
        <w:fldChar w:fldCharType="end"/>
      </w:r>
      <w:r w:rsidR="005A1D98">
        <w:rPr>
          <w:rFonts w:cs="Times New Roman"/>
        </w:rPr>
        <w:t xml:space="preserve">. </w:t>
      </w:r>
      <w:r w:rsidR="008A5CDF">
        <w:rPr>
          <w:rFonts w:cs="Times New Roman"/>
        </w:rPr>
        <w:t>Sarcopenia is a</w:t>
      </w:r>
      <w:r>
        <w:rPr>
          <w:rFonts w:cs="Times New Roman"/>
        </w:rPr>
        <w:t>lso a</w:t>
      </w:r>
      <w:r w:rsidR="005A1D98">
        <w:rPr>
          <w:rFonts w:cs="Times New Roman"/>
        </w:rPr>
        <w:t xml:space="preserve"> </w:t>
      </w:r>
      <w:r w:rsidR="005A1D98" w:rsidRPr="00795B8F">
        <w:rPr>
          <w:rFonts w:cs="Times New Roman"/>
        </w:rPr>
        <w:t xml:space="preserve">contributing factor to the morbidity risk of T2DM, </w:t>
      </w:r>
      <w:r w:rsidR="005A1D98" w:rsidRPr="00795B8F">
        <w:rPr>
          <w:rFonts w:cs="Times New Roman"/>
        </w:rPr>
        <w:fldChar w:fldCharType="begin" w:fldLock="1"/>
      </w:r>
      <w:r w:rsidR="00225DB1">
        <w:rPr>
          <w:rFonts w:cs="Times New Roman"/>
        </w:rPr>
        <w:instrText>ADDIN CSL_CITATION { "citationItems" : [ { "id" : "ITEM-1", "itemData" : { "author" : [ { "dropping-particle" : "", "family" : "Janssen", "given" : "Ian", "non-dropping-particle" : "", "parse-names" : false, "suffix" : "" }, { "dropping-particle" : "", "family" : "Heymsfield", "given" : "Steven B", "non-dropping-particle" : "", "parse-names" : false, "suffix" : "" }, { "dropping-particle" : "", "family" : "Ross", "given" : "Robert", "non-dropping-particle" : "", "parse-names" : false, "suffix" : "" } ], "container-title" : "Journal of the American Geriatrics Society", "id" : "ITEM-1", "issued" : { "date-parts" : [ [ "2002" ] ] }, "page" : "889-896", "title" : "Low Relative Skeletal Muscle Mass(Sarcopenia) in older persons is assoaciated with Functional Impairment an Physical Disability.", "type" : "article-journal" }, "uris" : [ "http://www.mendeley.com/documents/?uuid=5e489b88-9b8e-456d-8bbb-1af92bfe1684" ] }, { "id" : "ITEM-2", "itemData" : { "DOI" : "10.1093/aje/kwh058", "ISBN" : "0002-9262", "ISSN" : "00029262", "PMID" : "14769646", "abstract" : "The purpose of this study was to determine skeletal muscle cutpoints for identifying elevated physical disability risk in older adults. Subjects included 4,449 older (&gt; or = 60 years) participants from the Third National Health and Nutrition Examination Survey during 1988-1994. Physical disability was assessed by questionnaire, and bioimpedance was used to estimate skeletal muscle, which was normalized for height. Receiver operating characteristics were used to develop the skeletal muscle cutpoints associated with a high likelihood of physical disability. Odds for physical disability were compared in subjects whose measures fell above and below these cutpoints. Skeletal muscle cutpoints of 5.76-6.75 and &lt; or =5.75 kg/m2 were selected to denote moderate and high physical disability risk in women. The corresponding values in men were 8.51-10.75 and &lt; or =8.50 kg/m2. Compared with women with low-risk skeletal muscle values, women with moderate- and high-risk skeletal muscle values had odds for physical disability of 1.41 (95% confidence interval (CI): 0.97, 2.04) and 3.31 (95% CI: 1.91, 5.73), respectively. The corresponding odds in men were 3.65 (95% CI: 1.92, 6.94) and 4.71 (95% CI: 2.28, 9.74). This study presents skeletal muscle cutpoints for physical disability risk in older adults. Future applications of these cutpoints include the comparison of morbidity risk in older persons with normal muscle mass and those with sarcopenia, the determination and comparison of sarcopenia prevalences, and the estimation of health-care costs attributable to sarcopenia.", "author" : [ { "dropping-particle" : "", "family" : "Janssen", "given" : "Ian", "non-dropping-particle" : "", "parse-names" : false, "suffix" : "" }, { "dropping-particle" : "", "family" : "Baumgartner", "given" : "Richard N.", "non-dropping-particle" : "", "parse-names" : false, "suffix" : "" }, { "dropping-particle" : "", "family" : "Ross", "given" : "Robert", "non-dropping-particle" : "", "parse-names" : false, "suffix" : "" }, { "dropping-particle" : "", "family" : "Rosenberg", "given" : "Irwin H.", "non-dropping-particle" : "", "parse-names" : false, "suffix" : "" }, { "dropping-particle" : "", "family" : "Roubenoff", "given" : "Ronenn", "non-dropping-particle" : "", "parse-names" : false, "suffix" : "" } ], "container-title" : "American Journal of Epidemiology", "id" : "ITEM-2", "issue" : "4", "issued" : { "date-parts" : [ [ "2004", "2", "15" ] ] }, "page" : "413-421", "title" : "Skeletal Muscle Cutpoints Associated with Elevated Physical Disability Risk in Older Men and Women", "type" : "article-journal", "volume" : "159" }, "uris" : [ "http://www.mendeley.com/documents/?uuid=a48b8d64-cd67-4290-841b-e54d522e940a" ] } ], "mendeley" : { "formattedCitation" : "&lt;sup&gt;10,13&lt;/sup&gt;", "plainTextFormattedCitation" : "10,13", "previouslyFormattedCitation" : "&lt;sup&gt;10,13&lt;/sup&gt;" }, "properties" : { "noteIndex" : 0 }, "schema" : "https://github.com/citation-style-language/schema/raw/master/csl-citation.json" }</w:instrText>
      </w:r>
      <w:r w:rsidR="005A1D98" w:rsidRPr="00795B8F">
        <w:rPr>
          <w:rFonts w:cs="Times New Roman"/>
        </w:rPr>
        <w:fldChar w:fldCharType="separate"/>
      </w:r>
      <w:r w:rsidR="003605CC" w:rsidRPr="003605CC">
        <w:rPr>
          <w:rFonts w:cs="Times New Roman"/>
          <w:noProof/>
          <w:vertAlign w:val="superscript"/>
        </w:rPr>
        <w:t>10,13</w:t>
      </w:r>
      <w:r w:rsidR="005A1D98" w:rsidRPr="00795B8F">
        <w:rPr>
          <w:rFonts w:cs="Times New Roman"/>
        </w:rPr>
        <w:fldChar w:fldCharType="end"/>
      </w:r>
      <w:r w:rsidR="005A1D98">
        <w:rPr>
          <w:rFonts w:cs="Times New Roman"/>
        </w:rPr>
        <w:t xml:space="preserve"> and t</w:t>
      </w:r>
      <w:r w:rsidR="005A1D98" w:rsidRPr="00795B8F">
        <w:rPr>
          <w:rFonts w:cs="Times New Roman"/>
        </w:rPr>
        <w:t>he consequences of sarcopenia are augmented with the additive effects of obesity</w:t>
      </w:r>
      <w:r>
        <w:rPr>
          <w:rFonts w:cs="Times New Roman"/>
        </w:rPr>
        <w:t xml:space="preserve">. This </w:t>
      </w:r>
      <w:r w:rsidR="005A1D98">
        <w:rPr>
          <w:rFonts w:cs="Times New Roman"/>
        </w:rPr>
        <w:t xml:space="preserve">scenario of so-called </w:t>
      </w:r>
      <w:r w:rsidR="00462AE4">
        <w:rPr>
          <w:rFonts w:cs="Times New Roman"/>
        </w:rPr>
        <w:t>‘</w:t>
      </w:r>
      <w:r w:rsidR="005A1D98">
        <w:rPr>
          <w:rFonts w:cs="Times New Roman"/>
        </w:rPr>
        <w:t>sarcopenic obesity</w:t>
      </w:r>
      <w:r w:rsidR="00462AE4">
        <w:rPr>
          <w:rFonts w:cs="Times New Roman"/>
        </w:rPr>
        <w:t>’</w:t>
      </w:r>
      <w:r w:rsidR="005A1D98">
        <w:rPr>
          <w:rFonts w:cs="Times New Roman"/>
        </w:rPr>
        <w:t xml:space="preserve"> estimated to affect 2-10% of older adults</w:t>
      </w:r>
      <w:r w:rsidR="005A1D98" w:rsidRPr="00795B8F">
        <w:rPr>
          <w:rFonts w:cs="Times New Roman"/>
        </w:rPr>
        <w:t xml:space="preserve"> </w:t>
      </w:r>
      <w:r w:rsidR="005A1D98" w:rsidRPr="00795B8F">
        <w:rPr>
          <w:rFonts w:cs="Times New Roman"/>
        </w:rPr>
        <w:fldChar w:fldCharType="begin" w:fldLock="1"/>
      </w:r>
      <w:r w:rsidR="006670B1">
        <w:rPr>
          <w:rFonts w:cs="Times New Roman"/>
        </w:rPr>
        <w:instrText>ADDIN CSL_CITATION { "citationItems" : [ { "id" : "ITEM-1", "itemData" : { "DOI" : "10.1111/j.1749-6632.2000.tb06498.x", "ISBN" : "1749-6632", "ISSN" : "0077-8923", "PMID" : "10865787", "abstract" : "Health risks in elderly people cannot be evaluated simply in conventional terms of body fatness or fat distribution. Elderly people have less muscle and bone mass, expanded extracellular fluid volumes, and reduced body cell mass compared to younger adults. These nonfat components of body composition play critical roles, influencing cognitive and physical functional status, nutritional and endocrine status, quality of life, and comorbidity in elderly people. Different patterns of \"disordered body composition\" have different relationships to these outcomes and may require different, tailored approaches to treatment that combine various exercise regimens and dietary supplements with hormone replacement or appetite-stimulating drugs. Skeletal muscle atrophy, or \"sarcopenia,\" is highly prevalent in the elderly population, increases with age, and is strongly associated with disability, independent of morbidity. Elders at greatest risk are those who are simultaneously sarcopenic and obese. The accurate identification of sarcopenic obesity requires precise methods of simultaneously measuring fat and lean components, such as dual-energy X-ray absorptiometry.", "author" : [ { "dropping-particle" : "", "family" : "Baumgartner", "given" : "R N", "non-dropping-particle" : "", "parse-names" : false, "suffix" : "" } ], "container-title" : "Annals of the New York Academy of Sciences", "id" : "ITEM-1", "issued" : { "date-parts" : [ [ "2000", "5" ] ] }, "page" : "437-448", "title" : "Body composition in healthy aging.", "type" : "article-journal", "volume" : "904" }, "uris" : [ "http://www.mendeley.com/documents/?uuid=ec7d21ee-dcff-4292-910f-64433ef15e74" ] }, { "id" : "ITEM-2", "itemData" : { "DOI" : "10.1038/oby.2004.250", "ISBN" : "1930-7381", "ISSN" : "1930-7381", "PMID" : "15687401", "abstract" : "OBJECTIVE: To determine the association of sarcopenic obesity with the onset of Instrumental Activities of Daily Living (IADL) disability in a cohort of 451 elderly men and women followed for up to 8 years. RESEARCH METHODS AND PROCEDURES: Sarcopenic obesity was defined at study baseline as appendicular skeletal muscle mass divided by stature squared &lt;7.26 kg/m2 in men and 5.45 kg/m2 in women and percentage body fat greater than the 60th percentile of the study sample (28% body fat in men and 40% in women). Incident disability was defined as a loss of two or more points from baseline score on the IADL. Subjects with disability at baseline (scores &lt; 8) were excluded. Cox proportional hazards analysis was used to determine the association of baseline sarcopenic obesity with onset of IADL disability, controlling for potential confounders. RESULTS: Subjects with sarcopenic obesity at baseline were two to three times more likely to report onset of IADL disability during follow-up than lean sarcopenic or nonsarcopenic obese subjects and those with normal body composition. The relative risk for incident disability in sarcopenic obese subjects was 2.63 (95% confidence interval, 1.19 to 5.85), adjusting for age, sex, physical activity level, length of follow-up, and prevalent morbidity. DISCUSSION: This is the first study, to our knowledge, to indicate that sarcopenic obesity is independently associated with and precedes the onset of IADL disability in the community-dwelling elderly. The etiology of sarcopenic obesity is unknown but may include a combination of decreases in anabolic signals and obesity-associated increases in catabolic signals in old age.", "author" : [ { "dropping-particle" : "", "family" : "Baumgartner", "given" : "Richard N", "non-dropping-particle" : "", "parse-names" : false, "suffix" : "" }, { "dropping-particle" : "", "family" : "Wayne", "given" : "Sharon J", "non-dropping-particle" : "", "parse-names" : false, "suffix" : "" }, { "dropping-particle" : "", "family" : "Waters", "given" : "Debra L", "non-dropping-particle" : "", "parse-names" : false, "suffix" : "" }, { "dropping-particle" : "", "family" : "Janssen", "given" : "Ian", "non-dropping-particle" : "", "parse-names" : false, "suffix" : "" }, { "dropping-particle" : "", "family" : "Gallagher", "given" : "Dympna", "non-dropping-particle" : "", "parse-names" : false, "suffix" : "" }, { "dropping-particle" : "", "family" : "Morley", "given" : "John E", "non-dropping-particle" : "", "parse-names" : false, "suffix" : "" } ], "container-title" : "Obesity research", "id" : "ITEM-2", "issue" : "12", "issued" : { "date-parts" : [ [ "2004", "12" ] ] }, "page" : "1995-2004", "title" : "Sarcopenic obesity predicts instrumental activities of daily living disability in the elderly.", "type" : "article-journal", "volume" : "12" }, "uris" : [ "http://www.mendeley.com/documents/?uuid=2779647e-0664-4678-bb14-be98caafed82" ] } ], "mendeley" : { "formattedCitation" : "&lt;sup&gt;35,36&lt;/sup&gt;", "plainTextFormattedCitation" : "35,36", "previouslyFormattedCitation" : "&lt;sup&gt;35,36&lt;/sup&gt;" }, "properties" : { "noteIndex" : 0 }, "schema" : "https://github.com/citation-style-language/schema/raw/master/csl-citation.json" }</w:instrText>
      </w:r>
      <w:r w:rsidR="005A1D98" w:rsidRPr="00795B8F">
        <w:rPr>
          <w:rFonts w:cs="Times New Roman"/>
        </w:rPr>
        <w:fldChar w:fldCharType="separate"/>
      </w:r>
      <w:r w:rsidR="004238C1" w:rsidRPr="004238C1">
        <w:rPr>
          <w:rFonts w:cs="Times New Roman"/>
          <w:noProof/>
          <w:vertAlign w:val="superscript"/>
        </w:rPr>
        <w:t>35,36</w:t>
      </w:r>
      <w:r w:rsidR="005A1D98" w:rsidRPr="00795B8F">
        <w:rPr>
          <w:rFonts w:cs="Times New Roman"/>
        </w:rPr>
        <w:fldChar w:fldCharType="end"/>
      </w:r>
      <w:r w:rsidR="005A1D98">
        <w:rPr>
          <w:rFonts w:cs="Times New Roman"/>
        </w:rPr>
        <w:t>. A contributing factor to the development of T2D</w:t>
      </w:r>
      <w:r w:rsidR="00817BB0">
        <w:rPr>
          <w:rFonts w:cs="Times New Roman"/>
        </w:rPr>
        <w:t>M</w:t>
      </w:r>
      <w:r w:rsidR="005A1D98">
        <w:rPr>
          <w:rFonts w:cs="Times New Roman"/>
        </w:rPr>
        <w:t xml:space="preserve"> in older adults is </w:t>
      </w:r>
      <w:r w:rsidR="00623F5A">
        <w:rPr>
          <w:rFonts w:cs="Times New Roman"/>
        </w:rPr>
        <w:t xml:space="preserve">also </w:t>
      </w:r>
      <w:r w:rsidR="005A1D98">
        <w:rPr>
          <w:rFonts w:cs="Times New Roman"/>
        </w:rPr>
        <w:t>a reduction in habitual physical activity (PA)</w:t>
      </w:r>
      <w:r w:rsidR="005A1D98">
        <w:rPr>
          <w:rFonts w:cs="Times New Roman"/>
        </w:rPr>
        <w:fldChar w:fldCharType="begin" w:fldLock="1"/>
      </w:r>
      <w:r w:rsidR="006670B1">
        <w:rPr>
          <w:rFonts w:cs="Times New Roman"/>
        </w:rPr>
        <w:instrText>ADDIN CSL_CITATION { "citationItems" : [ { "id" : "ITEM-1", "itemData" : { "DOI" : "10.1007/s00125-010-1785-x", "ISBN" : "1432-0428 (Electronic)\\r0012-186X (Linking)", "ISSN" : "0012186X", "PMID" : "20495973", "abstract" : "AIMS/HYPOTHESIS: We examined whether small amounts of low-intensity physical activity were associated with reduced risk of developing type 2 diabetes in a national sample of people aged 50 years and over. METHODS: The sample comprised 7,466 individuals (55.9% women) free from self-reported doctor-diagnosed diabetes and was prospectively followed for a mean of 45.3 months. Baseline self-reported physical activity was categorised as physical inactivity, low- and vigorous/moderate-intensity physical activity at least once a week. Cox proportional hazard regression was used to model the association between baseline physical activity and incident type 2 diabetes. RESULTS: Vigorous/moderate-intensity physical activity at least once a week was associated with reduced risk of type 2 diabetes (HR 0.64, 95% CI 0.43-0.95, p = 0.026) but low-intensity physical activity at least once a week was not (HR 0.87, 95% CI 0.58-1.30, p = 0.497) after adjustment for all covariates. However, age-stratified analysis showed that low-intensity physical activity at least once a week was associated with reduced risk of type 2 diabetes for those aged 70 years and over (HR 0.53, 95% CI 0.28-1.02, p = 0.059), but not for those aged 50 to 59 years (HR 1.09, 95% CI 0.52-2.29, p = 0.828) or those aged 60 to 69 years (HR 1.15, 95% CI 0.55-2.41, p = 0.715) after adjustment for all covariates. CONCLUSIONS/INTERPRETATION: Compared with physical inactivity, any type of physical activity was associated with reduced risk of type 2 diabetes in adults aged 70 years and over, while in adults aged 50 to 69 years, physical activity needed to be vigorous/moderate in intensity to be associated with reduced risk of type 2 diabetes.", "author" : [ { "dropping-particle" : "", "family" : "Demakakos", "given" : "P.", "non-dropping-particle" : "", "parse-names" : false, "suffix" : "" }, { "dropping-particle" : "", "family" : "Hamer", "given" : "M.", "non-dropping-particle" : "", "parse-names" : false, "suffix" : "" }, { "dropping-particle" : "", "family" : "Stamatakis", "given" : "E.", "non-dropping-particle" : "", "parse-names" : false, "suffix" : "" }, { "dropping-particle" : "", "family" : "Steptoe", "given" : "a.", "non-dropping-particle" : "", "parse-names" : false, "suffix" : "" } ], "container-title" : "Diabetologia", "id" : "ITEM-1", "issue" : "9", "issued" : { "date-parts" : [ [ "2010", "9" ] ] }, "page" : "1877-1885", "title" : "Low-intensity physical activity is associated with reduced risk of incident type 2 diabetes in older adults: Evidence from the English Longitudinal Study of Ageing", "type" : "article-journal", "volume" : "53" }, "uris" : [ "http://www.mendeley.com/documents/?uuid=565389a1-626e-46b7-8c6e-ee3fe5af66d9" ] } ], "mendeley" : { "formattedCitation" : "&lt;sup&gt;37&lt;/sup&gt;", "plainTextFormattedCitation" : "37", "previouslyFormattedCitation" : "&lt;sup&gt;37&lt;/sup&gt;" }, "properties" : { "noteIndex" : 0 }, "schema" : "https://github.com/citation-style-language/schema/raw/master/csl-citation.json" }</w:instrText>
      </w:r>
      <w:r w:rsidR="005A1D98">
        <w:rPr>
          <w:rFonts w:cs="Times New Roman"/>
        </w:rPr>
        <w:fldChar w:fldCharType="separate"/>
      </w:r>
      <w:r w:rsidR="004238C1" w:rsidRPr="004238C1">
        <w:rPr>
          <w:rFonts w:cs="Times New Roman"/>
          <w:noProof/>
          <w:vertAlign w:val="superscript"/>
        </w:rPr>
        <w:t>37</w:t>
      </w:r>
      <w:r w:rsidR="005A1D98">
        <w:rPr>
          <w:rFonts w:cs="Times New Roman"/>
        </w:rPr>
        <w:fldChar w:fldCharType="end"/>
      </w:r>
      <w:r w:rsidR="005A1D98">
        <w:rPr>
          <w:rFonts w:cs="Times New Roman"/>
        </w:rPr>
        <w:t xml:space="preserve">. There are likely causes of reduced PA and/or increased sedentary time in older adults that are not present in younger persons. For example, </w:t>
      </w:r>
      <w:r w:rsidR="00623F5A">
        <w:rPr>
          <w:rFonts w:cs="Times New Roman"/>
        </w:rPr>
        <w:t xml:space="preserve">older people are more susceptible to reduced PA </w:t>
      </w:r>
      <w:r w:rsidR="005A1D98">
        <w:rPr>
          <w:rFonts w:cs="Times New Roman"/>
        </w:rPr>
        <w:t>during convalescence from illness, chronic disease</w:t>
      </w:r>
      <w:r w:rsidR="00623F5A">
        <w:rPr>
          <w:rFonts w:cs="Times New Roman"/>
        </w:rPr>
        <w:t xml:space="preserve"> (osteoarthritis and rheumatoid arthritis)</w:t>
      </w:r>
      <w:r w:rsidR="005A1D98">
        <w:rPr>
          <w:rFonts w:cs="Times New Roman"/>
        </w:rPr>
        <w:t xml:space="preserve">, or mobility rehabilitation after injury, </w:t>
      </w:r>
      <w:r w:rsidR="00623F5A">
        <w:rPr>
          <w:rFonts w:cs="Times New Roman"/>
        </w:rPr>
        <w:t>and that resultant increase in</w:t>
      </w:r>
      <w:r w:rsidR="005A1D98" w:rsidRPr="00795B8F">
        <w:rPr>
          <w:rFonts w:cs="Times New Roman"/>
        </w:rPr>
        <w:t xml:space="preserve"> risk</w:t>
      </w:r>
      <w:r w:rsidR="00623F5A">
        <w:rPr>
          <w:rFonts w:cs="Times New Roman"/>
        </w:rPr>
        <w:t xml:space="preserve"> is also likely greater</w:t>
      </w:r>
      <w:r w:rsidR="005A1D98" w:rsidRPr="00795B8F">
        <w:rPr>
          <w:rFonts w:cs="Times New Roman"/>
        </w:rPr>
        <w:t xml:space="preserve"> for older</w:t>
      </w:r>
      <w:r w:rsidR="005A1D98">
        <w:rPr>
          <w:rFonts w:cs="Times New Roman"/>
        </w:rPr>
        <w:t xml:space="preserve"> adults. </w:t>
      </w:r>
      <w:r w:rsidR="00623F5A">
        <w:rPr>
          <w:rFonts w:cs="Times New Roman"/>
        </w:rPr>
        <w:t>In addition, a</w:t>
      </w:r>
      <w:r w:rsidR="005A1D98">
        <w:rPr>
          <w:rFonts w:cs="Times New Roman"/>
        </w:rPr>
        <w:t>s opposed to younger</w:t>
      </w:r>
      <w:r w:rsidR="005A1D98" w:rsidRPr="00795B8F">
        <w:rPr>
          <w:rFonts w:cs="Times New Roman"/>
        </w:rPr>
        <w:t xml:space="preserve"> adults</w:t>
      </w:r>
      <w:r w:rsidR="005A1D98">
        <w:rPr>
          <w:rFonts w:cs="Times New Roman"/>
        </w:rPr>
        <w:t>, the PA levels of the elderly are likely affected more by environmental factors such as</w:t>
      </w:r>
      <w:r w:rsidR="00623F5A">
        <w:rPr>
          <w:rFonts w:cs="Times New Roman"/>
        </w:rPr>
        <w:t xml:space="preserve"> cold</w:t>
      </w:r>
      <w:r w:rsidR="005A1D98">
        <w:rPr>
          <w:rFonts w:cs="Times New Roman"/>
        </w:rPr>
        <w:t xml:space="preserve"> and icy conditions during winter months</w:t>
      </w:r>
      <w:r w:rsidR="00623F5A">
        <w:rPr>
          <w:rFonts w:cs="Times New Roman"/>
        </w:rPr>
        <w:t xml:space="preserve"> or hot and humid </w:t>
      </w:r>
      <w:r>
        <w:rPr>
          <w:rFonts w:cs="Times New Roman"/>
        </w:rPr>
        <w:t xml:space="preserve">conditions </w:t>
      </w:r>
      <w:r w:rsidR="00623F5A">
        <w:rPr>
          <w:rFonts w:cs="Times New Roman"/>
        </w:rPr>
        <w:t>during the summer</w:t>
      </w:r>
      <w:r>
        <w:rPr>
          <w:rFonts w:cs="Times New Roman"/>
        </w:rPr>
        <w:t xml:space="preserve"> months</w:t>
      </w:r>
      <w:r w:rsidR="00623F5A">
        <w:rPr>
          <w:rFonts w:cs="Times New Roman"/>
        </w:rPr>
        <w:t xml:space="preserve">, which </w:t>
      </w:r>
      <w:r w:rsidR="00623F5A">
        <w:rPr>
          <w:rFonts w:cs="Times New Roman"/>
        </w:rPr>
        <w:lastRenderedPageBreak/>
        <w:t>could</w:t>
      </w:r>
      <w:r w:rsidR="005A1D98">
        <w:rPr>
          <w:rFonts w:cs="Times New Roman"/>
        </w:rPr>
        <w:t xml:space="preserve"> limit time spent </w:t>
      </w:r>
      <w:r w:rsidR="008A5CDF">
        <w:rPr>
          <w:rFonts w:cs="Times New Roman"/>
        </w:rPr>
        <w:t>walking</w:t>
      </w:r>
      <w:r w:rsidR="00462AE4">
        <w:rPr>
          <w:rFonts w:cs="Times New Roman"/>
        </w:rPr>
        <w:t xml:space="preserve"> outdoors</w:t>
      </w:r>
      <w:r w:rsidR="008A5CDF">
        <w:rPr>
          <w:rFonts w:cs="Times New Roman"/>
        </w:rPr>
        <w:t xml:space="preserve"> and </w:t>
      </w:r>
      <w:r w:rsidR="00623F5A">
        <w:rPr>
          <w:rFonts w:cs="Times New Roman"/>
        </w:rPr>
        <w:t>engaging in PA</w:t>
      </w:r>
      <w:r w:rsidR="005A1D98">
        <w:rPr>
          <w:rFonts w:cs="Times New Roman"/>
        </w:rPr>
        <w:t>.</w:t>
      </w:r>
      <w:r w:rsidR="005A1D98" w:rsidRPr="00795B8F">
        <w:rPr>
          <w:rFonts w:cs="Times New Roman"/>
        </w:rPr>
        <w:t xml:space="preserve"> </w:t>
      </w:r>
      <w:r w:rsidR="005A1D98">
        <w:rPr>
          <w:rFonts w:cs="Times New Roman"/>
        </w:rPr>
        <w:t>These influences on the prevalence of in</w:t>
      </w:r>
      <w:r w:rsidR="005A1D98" w:rsidRPr="00795B8F">
        <w:rPr>
          <w:rFonts w:cs="Times New Roman"/>
        </w:rPr>
        <w:t xml:space="preserve">activity </w:t>
      </w:r>
      <w:r w:rsidR="005A1D98">
        <w:rPr>
          <w:rFonts w:cs="Times New Roman"/>
        </w:rPr>
        <w:t xml:space="preserve">for older adults </w:t>
      </w:r>
      <w:r w:rsidR="005A1D98" w:rsidRPr="00795B8F">
        <w:rPr>
          <w:rFonts w:cs="Times New Roman"/>
        </w:rPr>
        <w:t xml:space="preserve">can lead to a vicious cycle of metabolic impairment, disease </w:t>
      </w:r>
      <w:r w:rsidR="005A1D98" w:rsidRPr="00795B8F">
        <w:rPr>
          <w:rFonts w:cs="Times New Roman"/>
        </w:rPr>
        <w:fldChar w:fldCharType="begin" w:fldLock="1"/>
      </w:r>
      <w:r w:rsidR="006670B1">
        <w:rPr>
          <w:rFonts w:cs="Times New Roman"/>
        </w:rPr>
        <w:instrText>ADDIN CSL_CITATION { "citationItems" : [ { "id" : "ITEM-1", "itemData" : { "DOI" : "10.1016/S0070-2153(05)68005-2", "ISBN" : "0121531686", "ISSN" : "00702153", "PMID" : "16124998", "abstract" : "Sarcopenia contributes significantly to the morbidity, decrease in quality of life, and health care costs in the elderly. It is characterized by a decrease in muscle mass and strength, starting as early as the fourth decade of life in humans. Distinct muscle changes include a decrease in type 2 muscle fibers and a decrease in myosin heavy chains IIa and IIx mRNA levels. In addition, a decrease in whole body protein turnover, mixed muscle protein synthesis, myosin heavy chain synthesis, and mitochondrial protein synthesis have been reported. Different tissues and organs display different responses to aging, with more oxidative tissue generally having more age-related changes. Exercise has been shown to increase strength, aerobic capacity, and muscle protein synthesis, as well as to increase muscle mitochondrial enzyme activity in both young and older people; however, exercise does not reverse all age-related changes. The metabolic effects of sarcopenia include a decrease in resting metabolic rate secondary to decreased fat-free mass and decreased physical activity, leading to a higher prevalence of insulin resistance, type 2 diabetes mellitus, dyslipidemia, and hypertension. The way in which age-related changes in hormone levels affect muscle remains to be fully understood. The effect of replacing those hormones on sarcopenia has led to some conflicting results, but further investigations are ongoing. ?? 2005 Elsevier Inc. All rights reserved.", "author" : [ { "dropping-particle" : "", "family" : "Karakelides", "given" : "Helen", "non-dropping-particle" : "", "parse-names" : false, "suffix" : "" }, { "dropping-particle" : "", "family" : "Nair", "given" : "K. Sreekumaran", "non-dropping-particle" : "", "parse-names" : false, "suffix" : "" } ], "container-title" : "Current Topics in Developmental Biology", "id" : "ITEM-1", "issued" : { "date-parts" : [ [ "2005", "1" ] ] }, "page" : "123-148", "title" : "Sarcopenia of Aging and Its Metabolic Impact", "type" : "article-journal", "volume" : "68" }, "uris" : [ "http://www.mendeley.com/documents/?uuid=37fd1afa-7b3f-480d-9422-a78976e20c78" ] } ], "mendeley" : { "formattedCitation" : "&lt;sup&gt;24&lt;/sup&gt;", "plainTextFormattedCitation" : "24", "previouslyFormattedCitation" : "&lt;sup&gt;24&lt;/sup&gt;" }, "properties" : { "noteIndex" : 0 }, "schema" : "https://github.com/citation-style-language/schema/raw/master/csl-citation.json" }</w:instrText>
      </w:r>
      <w:r w:rsidR="005A1D98" w:rsidRPr="00795B8F">
        <w:rPr>
          <w:rFonts w:cs="Times New Roman"/>
        </w:rPr>
        <w:fldChar w:fldCharType="separate"/>
      </w:r>
      <w:r w:rsidR="004238C1" w:rsidRPr="004238C1">
        <w:rPr>
          <w:rFonts w:cs="Times New Roman"/>
          <w:noProof/>
          <w:vertAlign w:val="superscript"/>
        </w:rPr>
        <w:t>24</w:t>
      </w:r>
      <w:r w:rsidR="005A1D98" w:rsidRPr="00795B8F">
        <w:rPr>
          <w:rFonts w:cs="Times New Roman"/>
        </w:rPr>
        <w:fldChar w:fldCharType="end"/>
      </w:r>
      <w:r w:rsidR="005A1D98" w:rsidRPr="00795B8F">
        <w:rPr>
          <w:rFonts w:cs="Times New Roman"/>
        </w:rPr>
        <w:t>, disability, functional inability</w:t>
      </w:r>
      <w:r w:rsidR="005A1D98" w:rsidRPr="00795B8F">
        <w:rPr>
          <w:rFonts w:cs="Times New Roman"/>
        </w:rPr>
        <w:fldChar w:fldCharType="begin" w:fldLock="1"/>
      </w:r>
      <w:r w:rsidR="006670B1">
        <w:rPr>
          <w:rFonts w:cs="Times New Roman"/>
        </w:rPr>
        <w:instrText>ADDIN CSL_CITATION { "citationItems" : [ { "id" : "ITEM-1", "itemData" : { "author" : [ { "dropping-particle" : "", "family" : "Avlund", "given" : "K", "non-dropping-particle" : "", "parse-names" : false, "suffix" : "" }, { "dropping-particle" : "", "family" : "Schroll", "given" : "M", "non-dropping-particle" : "", "parse-names" : false, "suffix" : "" }, { "dropping-particle" : "", "family" : "Davidsen", "given" : "M", "non-dropping-particle" : "", "parse-names" : false, "suffix" : "" }, { "dropping-particle" : "", "family" : "Loveborg", "given" : "B", "non-dropping-particle" : "", "parse-names" : false, "suffix" : "" }, { "dropping-particle" : "", "family" : "Rantanen", "given" : "T", "non-dropping-particle" : "", "parse-names" : false, "suffix" : "" } ], "container-title" : "Scand J Med Sci Sports", "id" : "ITEM-1", "issued" : { "date-parts" : [ [ "1994" ] ] }, "page" : "9", "title" : "Maximal  isometric  muscle  strength  and functional ability in daily activities among 75-year-older-men and women", "type" : "article-journal", "volume" : "4" }, "uris" : [ "http://www.mendeley.com/documents/?uuid=c6d506db-0b72-46e7-bd39-9da28f8df093" ] } ], "mendeley" : { "formattedCitation" : "&lt;sup&gt;17&lt;/sup&gt;", "plainTextFormattedCitation" : "17", "previouslyFormattedCitation" : "&lt;sup&gt;17&lt;/sup&gt;" }, "properties" : { "noteIndex" : 0 }, "schema" : "https://github.com/citation-style-language/schema/raw/master/csl-citation.json" }</w:instrText>
      </w:r>
      <w:r w:rsidR="005A1D98" w:rsidRPr="00795B8F">
        <w:rPr>
          <w:rFonts w:cs="Times New Roman"/>
        </w:rPr>
        <w:fldChar w:fldCharType="separate"/>
      </w:r>
      <w:r w:rsidR="004238C1" w:rsidRPr="004238C1">
        <w:rPr>
          <w:rFonts w:cs="Times New Roman"/>
          <w:noProof/>
          <w:vertAlign w:val="superscript"/>
        </w:rPr>
        <w:t>17</w:t>
      </w:r>
      <w:r w:rsidR="005A1D98" w:rsidRPr="00795B8F">
        <w:rPr>
          <w:rFonts w:cs="Times New Roman"/>
        </w:rPr>
        <w:fldChar w:fldCharType="end"/>
      </w:r>
      <w:r w:rsidR="005A1D98" w:rsidRPr="00795B8F">
        <w:rPr>
          <w:rFonts w:cs="Times New Roman"/>
        </w:rPr>
        <w:t xml:space="preserve"> and falls</w:t>
      </w:r>
      <w:r w:rsidR="005A1D98" w:rsidRPr="00795B8F">
        <w:rPr>
          <w:rFonts w:cs="Times New Roman"/>
        </w:rPr>
        <w:fldChar w:fldCharType="begin" w:fldLock="1"/>
      </w:r>
      <w:r w:rsidR="005C68EA">
        <w:rPr>
          <w:rFonts w:cs="Times New Roman"/>
        </w:rPr>
        <w:instrText>ADDIN CSL_CITATION { "citationItems" : [ { "id" : "ITEM-1", "itemData" : { "DOI" : "10.1111/j.1532-5415.2004.52310.x", "ISSN" : "0002-8614", "PMID" : "15209650", "abstract" : "OBJECTIVES: To evaluate and summarize the evidence of muscle weakness as a risk factor for falls in older adults. DESIGN: Random-effects meta-analysis. SETTING: English-language studies indexed in MEDLINE and CINAHL (1985-2002) under the key words aged and accidental falls and risk factors; bibliographies of retrieved papers. PARTICIPANTS: Fifty percent or more subjects in a study were aged 65 and older. Studies of institutionalized and community-dwelling subjects were included. MEASUREMENTS: Prospective cohort studies that included measurement of muscle strength at inception (in isolation or with other factors) with follow-up for occurrence of falls. METHODS: Sample size, population, setting, measure of muscle strength, and length of follow-up, raw data if no risk estimate, odds ratios (ORs), rate ratios, or incidence density ratios. Each study was assessed using the validity criteria: adjustment for confounders, objective definition of fall outcome, reliable method of measuring muscle strength, and blinded outcome measurement. RESULTS: Thirty studies met the selection criteria; data were available from 13. For lower extremity weakness, the combined OR was 1.76 (95% confidence interval (CI)=1.31-2.37) for any fall and 3.06 (95% CI=1.86-5.04) for recurrent falls. For upper extremity weakness the combined OR was 1.53 (95% CI=1.01-2.32) for any fall and 1.41 (95% CI=1.25-1.59) for recurrent falls. CONCLUSION: Muscle strength (especially lower extremity) should be one of the factors that is assessed and treated in older adults at risk for falls. More clinical trials are needed to isolate whether muscle-strengthening exercises are effective in preventing falls.", "author" : [ { "dropping-particle" : "", "family" : "Moreland", "given" : "Julie D", "non-dropping-particle" : "", "parse-names" : false, "suffix" : "" }, { "dropping-particle" : "", "family" : "Richardson", "given" : "\u00c3 Julie A", "non-dropping-particle" : "", "parse-names" : false, "suffix" : "" }, { "dropping-particle" : "", "family" : "Goldsmith", "given" : "Charlie H", "non-dropping-particle" : "", "parse-names" : false, "suffix" : "" }, { "dropping-particle" : "", "family" : "Clase", "given" : "Catherine M", "non-dropping-particle" : "", "parse-names" : false, "suffix" : "" }, { "dropping-particle" : "", "family" : "Richardson", "given" : "Julie a", "non-dropping-particle" : "", "parse-names" : false, "suffix" : "" } ], "container-title" : "Journal of the American Geriatrics Society", "id" : "ITEM-1", "issue" : "January 1985", "issued" : { "date-parts" : [ [ "2004", "7" ] ] }, "page" : "1121-1129", "title" : "Muscle weakness and falls in older adults: a systematic review and meta\u2010analysis", "type" : "article-journal", "volume" : "52" }, "uris" : [ "http://www.mendeley.com/documents/?uuid=ca845094-799b-4594-8c20-9547d7de5e31" ] } ], "mendeley" : { "formattedCitation" : "&lt;sup&gt;38&lt;/sup&gt;", "plainTextFormattedCitation" : "38", "previouslyFormattedCitation" : "&lt;sup&gt;38&lt;/sup&gt;" }, "properties" : { "noteIndex" : 0 }, "schema" : "https://github.com/citation-style-language/schema/raw/master/csl-citation.json" }</w:instrText>
      </w:r>
      <w:r w:rsidR="005A1D98" w:rsidRPr="00795B8F">
        <w:rPr>
          <w:rFonts w:cs="Times New Roman"/>
        </w:rPr>
        <w:fldChar w:fldCharType="separate"/>
      </w:r>
      <w:r w:rsidR="004238C1" w:rsidRPr="004238C1">
        <w:rPr>
          <w:rFonts w:cs="Times New Roman"/>
          <w:noProof/>
          <w:vertAlign w:val="superscript"/>
        </w:rPr>
        <w:t>38</w:t>
      </w:r>
      <w:r w:rsidR="005A1D98" w:rsidRPr="00795B8F">
        <w:rPr>
          <w:rFonts w:cs="Times New Roman"/>
        </w:rPr>
        <w:fldChar w:fldCharType="end"/>
      </w:r>
      <w:r w:rsidR="005A1D98">
        <w:rPr>
          <w:rFonts w:cs="Times New Roman"/>
        </w:rPr>
        <w:t xml:space="preserve"> (Figure 1).</w:t>
      </w:r>
      <w:r w:rsidR="005A1D98" w:rsidRPr="00EF7F48">
        <w:rPr>
          <w:noProof/>
          <w:lang w:val="en-US" w:eastAsia="en-US"/>
        </w:rPr>
        <w:t xml:space="preserve"> </w:t>
      </w:r>
    </w:p>
    <w:p w14:paraId="492F7C29" w14:textId="77777777" w:rsidR="005A1D98" w:rsidRDefault="005A1D98" w:rsidP="002E042C">
      <w:pPr>
        <w:keepNext/>
        <w:spacing w:line="480" w:lineRule="auto"/>
        <w:jc w:val="center"/>
        <w:rPr>
          <w:b/>
          <w:sz w:val="20"/>
          <w:szCs w:val="20"/>
        </w:rPr>
      </w:pPr>
      <w:r>
        <w:rPr>
          <w:b/>
          <w:noProof/>
          <w:lang w:val="en-US" w:eastAsia="en-US"/>
        </w:rPr>
        <w:drawing>
          <wp:inline distT="0" distB="0" distL="0" distR="0" wp14:anchorId="20926219" wp14:editId="2ACA2B6E">
            <wp:extent cx="2603500" cy="2641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ious Cycle.jpg"/>
                    <pic:cNvPicPr/>
                  </pic:nvPicPr>
                  <pic:blipFill rotWithShape="1">
                    <a:blip r:embed="rId14">
                      <a:extLst>
                        <a:ext uri="{28A0092B-C50C-407E-A947-70E740481C1C}">
                          <a14:useLocalDpi xmlns:a14="http://schemas.microsoft.com/office/drawing/2010/main" val="0"/>
                        </a:ext>
                      </a:extLst>
                    </a:blip>
                    <a:srcRect l="27991" t="20513" r="28205" b="20228"/>
                    <a:stretch/>
                  </pic:blipFill>
                  <pic:spPr bwMode="auto">
                    <a:xfrm>
                      <a:off x="0" y="0"/>
                      <a:ext cx="2603500" cy="2641600"/>
                    </a:xfrm>
                    <a:prstGeom prst="rect">
                      <a:avLst/>
                    </a:prstGeom>
                    <a:ln>
                      <a:noFill/>
                    </a:ln>
                    <a:extLst>
                      <a:ext uri="{53640926-AAD7-44d8-BBD7-CCE9431645EC}">
                        <a14:shadowObscured xmlns:a14="http://schemas.microsoft.com/office/drawing/2010/main"/>
                      </a:ext>
                    </a:extLst>
                  </pic:spPr>
                </pic:pic>
              </a:graphicData>
            </a:graphic>
          </wp:inline>
        </w:drawing>
      </w:r>
    </w:p>
    <w:p w14:paraId="4E2142BE" w14:textId="3E7A4E0E" w:rsidR="005A1D98" w:rsidRPr="00875699" w:rsidRDefault="005A1D98" w:rsidP="00893E61">
      <w:pPr>
        <w:keepNext/>
        <w:spacing w:line="480" w:lineRule="auto"/>
      </w:pPr>
      <w:proofErr w:type="gramStart"/>
      <w:r w:rsidRPr="003904CA">
        <w:rPr>
          <w:b/>
        </w:rPr>
        <w:t xml:space="preserve">Figure </w:t>
      </w:r>
      <w:r w:rsidRPr="003904CA">
        <w:rPr>
          <w:b/>
        </w:rPr>
        <w:fldChar w:fldCharType="begin"/>
      </w:r>
      <w:r w:rsidRPr="003904CA">
        <w:rPr>
          <w:b/>
        </w:rPr>
        <w:instrText xml:space="preserve"> SEQ Figure \* ARABIC </w:instrText>
      </w:r>
      <w:r w:rsidRPr="003904CA">
        <w:rPr>
          <w:b/>
        </w:rPr>
        <w:fldChar w:fldCharType="separate"/>
      </w:r>
      <w:r w:rsidR="005F6CB9">
        <w:rPr>
          <w:b/>
          <w:noProof/>
        </w:rPr>
        <w:t>1</w:t>
      </w:r>
      <w:r w:rsidRPr="003904CA">
        <w:rPr>
          <w:b/>
        </w:rPr>
        <w:fldChar w:fldCharType="end"/>
      </w:r>
      <w:r w:rsidRPr="003904CA">
        <w:rPr>
          <w:b/>
        </w:rPr>
        <w:t>.</w:t>
      </w:r>
      <w:proofErr w:type="gramEnd"/>
      <w:r w:rsidRPr="003904CA">
        <w:t xml:space="preserve"> </w:t>
      </w:r>
      <w:proofErr w:type="gramStart"/>
      <w:r w:rsidRPr="003904CA">
        <w:t>Vicious cycle of inactivity commonly occurring with</w:t>
      </w:r>
      <w:r w:rsidR="00893E61">
        <w:t xml:space="preserve"> advancing</w:t>
      </w:r>
      <w:r w:rsidRPr="003904CA">
        <w:t xml:space="preserve"> age.</w:t>
      </w:r>
      <w:proofErr w:type="gramEnd"/>
      <w:r w:rsidR="002E042C">
        <w:br/>
      </w:r>
    </w:p>
    <w:p w14:paraId="6D0A41C5" w14:textId="57CFFA1E" w:rsidR="005A1D98" w:rsidRPr="00795B8F" w:rsidRDefault="005A1D98" w:rsidP="00875699">
      <w:pPr>
        <w:pStyle w:val="Heading2"/>
      </w:pPr>
      <w:bookmarkStart w:id="10" w:name="_Toc296814782"/>
      <w:bookmarkStart w:id="11" w:name="_Toc296932761"/>
      <w:r>
        <w:t>AETIOLOGY OF SARCOPENIA</w:t>
      </w:r>
      <w:bookmarkEnd w:id="10"/>
      <w:bookmarkEnd w:id="11"/>
    </w:p>
    <w:p w14:paraId="3D8A1F19" w14:textId="24B1A762" w:rsidR="005A1D98" w:rsidRDefault="005A1D98" w:rsidP="005A1D98">
      <w:pPr>
        <w:spacing w:line="480" w:lineRule="auto"/>
        <w:ind w:firstLine="720"/>
        <w:rPr>
          <w:rFonts w:cs="Times New Roman"/>
        </w:rPr>
      </w:pPr>
      <w:r w:rsidRPr="00795B8F">
        <w:rPr>
          <w:rFonts w:cs="Times New Roman"/>
        </w:rPr>
        <w:t>Sarcopenia is unavoidable</w:t>
      </w:r>
      <w:r w:rsidRPr="00795B8F">
        <w:rPr>
          <w:rFonts w:cs="Times New Roman"/>
        </w:rPr>
        <w:fldChar w:fldCharType="begin" w:fldLock="1"/>
      </w:r>
      <w:r w:rsidR="006670B1">
        <w:rPr>
          <w:rFonts w:cs="Times New Roman"/>
        </w:rPr>
        <w:instrText>ADDIN CSL_CITATION { "citationItems" : [ { "id" : "ITEM-1", "itemData" : { "DOI" : "10.1139/H10-067", "ISBN" : "1715-5312 (Print)", "ISSN" : "1715-5312", "PMID" : "20962927", "abstract" : "The term \"saropenia\" was coined by Irwin Rosenberg in 1989 to refer to age-related loss of skeletal muscle mass. The purpose of this current opinion is to provide an evolutionary overview of sarcopenia research since 1989. This includes the creation of an operational definition of sarcopenia; consideration of the impacts of sarcopenia on physical function, chronic disease, and mortality risk; the distinction between the process of sarcopenia and the process of age-related loss of muscle strength, a phenomenon that has recently been termed dynapenia; a comparison of the independent effects of sarcopenia and dynapenia on physical function, chronic disease, and mortality risk; and consideration of the combined influence of sarcopenia and dynapenia with obesity (i.e., sarcopenic-obesity and dynapenic-obesity) on physical function, chronic disease, and mortality risk.", "author" : [ { "dropping-particle" : "", "family" : "Janssen", "given" : "Ian", "non-dropping-particle" : "", "parse-names" : false, "suffix" : "" } ], "container-title" : "Applied physiology, nutrition, and metabolism = Physiologie appliquee, nutrition et metabolisme", "id" : "ITEM-1", "issue" : "5", "issued" : { "date-parts" : [ [ "2010", "10" ] ] }, "page" : "707-712", "title" : "Evolution of sarcopenia research.", "type" : "article-journal", "volume" : "35" }, "uris" : [ "http://www.mendeley.com/documents/?uuid=457324d8-d159-4c6c-b4fc-476198cdae6a" ] } ], "mendeley" : { "formattedCitation" : "&lt;sup&gt;39&lt;/sup&gt;", "plainTextFormattedCitation" : "39", "previouslyFormattedCitation" : "&lt;sup&gt;39&lt;/sup&gt;"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39</w:t>
      </w:r>
      <w:r w:rsidRPr="00795B8F">
        <w:rPr>
          <w:rFonts w:cs="Times New Roman"/>
        </w:rPr>
        <w:fldChar w:fldCharType="end"/>
      </w:r>
      <w:r w:rsidRPr="00795B8F">
        <w:rPr>
          <w:rFonts w:cs="Times New Roman"/>
        </w:rPr>
        <w:t>, however</w:t>
      </w:r>
      <w:r>
        <w:rPr>
          <w:rFonts w:cs="Times New Roman"/>
        </w:rPr>
        <w:t>,</w:t>
      </w:r>
      <w:r w:rsidRPr="00795B8F">
        <w:rPr>
          <w:rFonts w:cs="Times New Roman"/>
        </w:rPr>
        <w:t xml:space="preserve"> it does seem that there is a plasticity</w:t>
      </w:r>
      <w:r>
        <w:rPr>
          <w:rFonts w:cs="Times New Roman"/>
        </w:rPr>
        <w:t xml:space="preserve"> of skeletal muscle</w:t>
      </w:r>
      <w:r w:rsidRPr="00795B8F">
        <w:rPr>
          <w:rFonts w:cs="Times New Roman"/>
        </w:rPr>
        <w:t xml:space="preserve"> </w:t>
      </w:r>
      <w:r>
        <w:rPr>
          <w:rFonts w:cs="Times New Roman"/>
        </w:rPr>
        <w:t>such that the rate of</w:t>
      </w:r>
      <w:r w:rsidRPr="00795B8F">
        <w:rPr>
          <w:rFonts w:cs="Times New Roman"/>
        </w:rPr>
        <w:t xml:space="preserve"> </w:t>
      </w:r>
      <w:r>
        <w:rPr>
          <w:rFonts w:cs="Times New Roman"/>
        </w:rPr>
        <w:t xml:space="preserve">loss of </w:t>
      </w:r>
      <w:r w:rsidRPr="00795B8F">
        <w:rPr>
          <w:rFonts w:cs="Times New Roman"/>
        </w:rPr>
        <w:t xml:space="preserve">muscle mass </w:t>
      </w:r>
      <w:r>
        <w:rPr>
          <w:rFonts w:cs="Times New Roman"/>
        </w:rPr>
        <w:t xml:space="preserve">could be </w:t>
      </w:r>
      <w:r w:rsidR="00AB3BAC">
        <w:rPr>
          <w:rFonts w:cs="Times New Roman"/>
        </w:rPr>
        <w:t xml:space="preserve">altered </w:t>
      </w:r>
      <w:r w:rsidR="00623F5A">
        <w:rPr>
          <w:rFonts w:cs="Times New Roman"/>
        </w:rPr>
        <w:t xml:space="preserve">even in </w:t>
      </w:r>
      <w:r w:rsidRPr="00795B8F">
        <w:rPr>
          <w:rFonts w:cs="Times New Roman"/>
        </w:rPr>
        <w:t xml:space="preserve">older </w:t>
      </w:r>
      <w:r w:rsidR="00623F5A">
        <w:rPr>
          <w:rFonts w:cs="Times New Roman"/>
        </w:rPr>
        <w:t xml:space="preserve">(i.e., &gt;75 years) </w:t>
      </w:r>
      <w:r w:rsidRPr="00795B8F">
        <w:rPr>
          <w:rFonts w:cs="Times New Roman"/>
        </w:rPr>
        <w:t xml:space="preserve">adulthood. This means there is </w:t>
      </w:r>
      <w:r>
        <w:rPr>
          <w:rFonts w:cs="Times New Roman"/>
        </w:rPr>
        <w:t xml:space="preserve">a </w:t>
      </w:r>
      <w:r w:rsidRPr="00795B8F">
        <w:rPr>
          <w:rFonts w:cs="Times New Roman"/>
        </w:rPr>
        <w:t xml:space="preserve">hypothetical </w:t>
      </w:r>
      <w:r>
        <w:rPr>
          <w:rFonts w:cs="Times New Roman"/>
        </w:rPr>
        <w:t xml:space="preserve">means </w:t>
      </w:r>
      <w:r w:rsidRPr="00795B8F">
        <w:rPr>
          <w:rFonts w:cs="Times New Roman"/>
        </w:rPr>
        <w:t xml:space="preserve">to attenuate the </w:t>
      </w:r>
      <w:r>
        <w:rPr>
          <w:rFonts w:cs="Times New Roman"/>
        </w:rPr>
        <w:t xml:space="preserve">trajectory </w:t>
      </w:r>
      <w:r w:rsidRPr="00795B8F">
        <w:rPr>
          <w:rFonts w:cs="Times New Roman"/>
        </w:rPr>
        <w:t xml:space="preserve">of sarcopenia, </w:t>
      </w:r>
      <w:r>
        <w:rPr>
          <w:rFonts w:cs="Times New Roman"/>
        </w:rPr>
        <w:t xml:space="preserve">with increased PA and loading </w:t>
      </w:r>
      <w:r w:rsidR="00623F5A">
        <w:rPr>
          <w:rFonts w:cs="Times New Roman"/>
        </w:rPr>
        <w:t xml:space="preserve">(resistance) </w:t>
      </w:r>
      <w:r>
        <w:rPr>
          <w:rFonts w:cs="Times New Roman"/>
        </w:rPr>
        <w:t xml:space="preserve">exercise </w:t>
      </w:r>
      <w:r w:rsidR="00881F0B">
        <w:rPr>
          <w:rFonts w:cs="Times New Roman"/>
        </w:rPr>
        <w:t xml:space="preserve">potentially </w:t>
      </w:r>
      <w:r>
        <w:rPr>
          <w:rFonts w:cs="Times New Roman"/>
        </w:rPr>
        <w:t>attenuating the rate of loss and inactivity, while the lack of these factors (i</w:t>
      </w:r>
      <w:r w:rsidR="00623F5A">
        <w:rPr>
          <w:rFonts w:cs="Times New Roman"/>
        </w:rPr>
        <w:t>.</w:t>
      </w:r>
      <w:r>
        <w:rPr>
          <w:rFonts w:cs="Times New Roman"/>
        </w:rPr>
        <w:t>e.</w:t>
      </w:r>
      <w:r w:rsidR="00623F5A">
        <w:rPr>
          <w:rFonts w:cs="Times New Roman"/>
        </w:rPr>
        <w:t>,</w:t>
      </w:r>
      <w:r>
        <w:rPr>
          <w:rFonts w:cs="Times New Roman"/>
        </w:rPr>
        <w:t xml:space="preserve"> unloading, physical inactivity) would </w:t>
      </w:r>
      <w:r w:rsidRPr="00795B8F">
        <w:rPr>
          <w:rFonts w:cs="Times New Roman"/>
        </w:rPr>
        <w:t>accelerat</w:t>
      </w:r>
      <w:r>
        <w:rPr>
          <w:rFonts w:cs="Times New Roman"/>
        </w:rPr>
        <w:t>e muscle loss</w:t>
      </w:r>
      <w:r w:rsidRPr="00795B8F">
        <w:rPr>
          <w:rFonts w:cs="Times New Roman"/>
        </w:rPr>
        <w:t xml:space="preserve">. </w:t>
      </w:r>
      <w:r>
        <w:rPr>
          <w:rFonts w:cs="Times New Roman"/>
        </w:rPr>
        <w:t xml:space="preserve">Current approximations of annual declines in </w:t>
      </w:r>
      <w:r w:rsidR="00623F5A">
        <w:rPr>
          <w:rFonts w:cs="Times New Roman"/>
        </w:rPr>
        <w:lastRenderedPageBreak/>
        <w:t xml:space="preserve">muscle </w:t>
      </w:r>
      <w:r>
        <w:rPr>
          <w:rFonts w:cs="Times New Roman"/>
        </w:rPr>
        <w:t xml:space="preserve">mass </w:t>
      </w:r>
      <w:r w:rsidR="00623F5A">
        <w:rPr>
          <w:rFonts w:cs="Times New Roman"/>
        </w:rPr>
        <w:t>(~0.6-1.2% annually) and muscle strength (~</w:t>
      </w:r>
      <w:r w:rsidR="00623F5A" w:rsidRPr="00875699">
        <w:rPr>
          <w:rFonts w:cs="Times New Roman"/>
        </w:rPr>
        <w:t>1.5-3.5%</w:t>
      </w:r>
      <w:r w:rsidR="00623F5A">
        <w:rPr>
          <w:rFonts w:cs="Times New Roman"/>
        </w:rPr>
        <w:t xml:space="preserve"> annually) </w:t>
      </w:r>
      <w:r>
        <w:rPr>
          <w:rFonts w:cs="Times New Roman"/>
        </w:rPr>
        <w:t xml:space="preserve">with </w:t>
      </w:r>
      <w:r w:rsidR="00623F5A">
        <w:rPr>
          <w:rFonts w:cs="Times New Roman"/>
        </w:rPr>
        <w:t xml:space="preserve">advancing </w:t>
      </w:r>
      <w:r>
        <w:rPr>
          <w:rFonts w:cs="Times New Roman"/>
        </w:rPr>
        <w:t xml:space="preserve">age </w:t>
      </w:r>
      <w:proofErr w:type="gramStart"/>
      <w:r>
        <w:rPr>
          <w:rFonts w:cs="Times New Roman"/>
        </w:rPr>
        <w:t>are</w:t>
      </w:r>
      <w:proofErr w:type="gramEnd"/>
      <w:r>
        <w:rPr>
          <w:rFonts w:cs="Times New Roman"/>
        </w:rPr>
        <w:t xml:space="preserve"> based on population estimates</w:t>
      </w:r>
      <w:r w:rsidRPr="00795B8F">
        <w:rPr>
          <w:rFonts w:cs="Times New Roman"/>
        </w:rPr>
        <w:t>,</w:t>
      </w:r>
      <w:r>
        <w:rPr>
          <w:rFonts w:cs="Times New Roman"/>
        </w:rPr>
        <w:t xml:space="preserve"> but such estimate</w:t>
      </w:r>
      <w:r w:rsidR="00AB3BAC">
        <w:rPr>
          <w:rFonts w:cs="Times New Roman"/>
        </w:rPr>
        <w:t>s</w:t>
      </w:r>
      <w:r>
        <w:rPr>
          <w:rFonts w:cs="Times New Roman"/>
        </w:rPr>
        <w:t xml:space="preserve"> would encompass a range of individual rates. W</w:t>
      </w:r>
      <w:r w:rsidRPr="00795B8F">
        <w:rPr>
          <w:rFonts w:cs="Times New Roman"/>
        </w:rPr>
        <w:t>e now know</w:t>
      </w:r>
      <w:r>
        <w:rPr>
          <w:rFonts w:cs="Times New Roman"/>
        </w:rPr>
        <w:t>, for example,</w:t>
      </w:r>
      <w:r w:rsidRPr="00795B8F">
        <w:rPr>
          <w:rFonts w:cs="Times New Roman"/>
        </w:rPr>
        <w:t xml:space="preserve"> that the loss of skeletal muscle mass and function with age is not</w:t>
      </w:r>
      <w:r w:rsidR="00893E61">
        <w:rPr>
          <w:rFonts w:cs="Times New Roman"/>
        </w:rPr>
        <w:t xml:space="preserve"> always</w:t>
      </w:r>
      <w:r w:rsidRPr="00795B8F">
        <w:rPr>
          <w:rFonts w:cs="Times New Roman"/>
        </w:rPr>
        <w:t xml:space="preserve"> linear but </w:t>
      </w:r>
      <w:r>
        <w:rPr>
          <w:rFonts w:cs="Times New Roman"/>
        </w:rPr>
        <w:t>can be</w:t>
      </w:r>
      <w:r w:rsidRPr="00795B8F">
        <w:rPr>
          <w:rFonts w:cs="Times New Roman"/>
        </w:rPr>
        <w:t xml:space="preserve"> transiently accelerated</w:t>
      </w:r>
      <w:r>
        <w:rPr>
          <w:rFonts w:cs="Times New Roman"/>
        </w:rPr>
        <w:t xml:space="preserve"> </w:t>
      </w:r>
      <w:r w:rsidR="00623F5A">
        <w:rPr>
          <w:rFonts w:cs="Times New Roman"/>
        </w:rPr>
        <w:t xml:space="preserve">with </w:t>
      </w:r>
      <w:r w:rsidR="00AB3BAC">
        <w:rPr>
          <w:rFonts w:cs="Times New Roman"/>
        </w:rPr>
        <w:t xml:space="preserve">periods of </w:t>
      </w:r>
      <w:r w:rsidR="00623F5A">
        <w:rPr>
          <w:rFonts w:cs="Times New Roman"/>
        </w:rPr>
        <w:t xml:space="preserve">muscular disuse </w:t>
      </w:r>
      <w:r w:rsidR="00893E61">
        <w:rPr>
          <w:rFonts w:cs="Times New Roman"/>
        </w:rPr>
        <w:t xml:space="preserve">for some older adults </w:t>
      </w:r>
      <w:r>
        <w:rPr>
          <w:rFonts w:cs="Times New Roman"/>
        </w:rPr>
        <w:t>(Figure 2)</w:t>
      </w:r>
      <w:r w:rsidRPr="00795B8F">
        <w:rPr>
          <w:rFonts w:cs="Times New Roman"/>
        </w:rPr>
        <w:fldChar w:fldCharType="begin" w:fldLock="1"/>
      </w:r>
      <w:r w:rsidR="006670B1">
        <w:rPr>
          <w:rFonts w:cs="Times New Roman"/>
        </w:rPr>
        <w:instrText>ADDIN CSL_CITATION { "citationItems" : [ { "id" : "ITEM-1", "itemData" : { "DOI" : "10.1097/MCO.0b013e328333aa66", "ISBN" : "1363-1950\\r1473-6519", "ISSN" : "1363-1950", "PMID" : "19898232", "abstract" : "PURPOSE OF REVIEW: To highlight the losses in muscle mass, strength, power, and functional capacity incurred in older adults during bed rest-mediated inactivity and to provide practical recommendations for both the prevention and rehabilitation of these losses. RECENT FINDINGS: In addition to sarcopenic muscle loss, older adults lose lean tissue more rapidly than the young during prolonged periods of physical inactivity. Amino acid or protein supplementation has the potential to maintain muscle protein synthesis and may reduce inactivity-induced muscle loss, but should ideally be part of an integrated countermeasure regimen consisting of nutrition, exercise, and, when appropriate, pharmacologic interventions. SUMMARY: In accordance with recent mechanistic advances, we recommend an applied, broad-based two-phase approach to limit inactivity-mediated losses of muscle mass and function in older adults: (i) Lifestyle: consume a moderate amount (25-30 g) of high-quality protein with each meal and incorporate habitual exercise in close temporal proximity to protein-containing meals; (ii) Crises: react aggressively to combat the accelerated loss of muscle mass and function during acute catabolic crises and periods of reduced physical activity. As a base strategy, this should include nutritional support such as targeted protein or amino acid supplementation and integrated physical therapy.", "author" : [ { "dropping-particle" : "", "family" : "English", "given" : "Kirk L", "non-dropping-particle" : "", "parse-names" : false, "suffix" : "" }, { "dropping-particle" : "", "family" : "Paddon-Jones", "given" : "Douglas", "non-dropping-particle" : "", "parse-names" : false, "suffix" : "" } ], "container-title" : "Current opinion in clinical nutrition and metabolic care", "id" : "ITEM-1", "issue" : "1", "issued" : { "date-parts" : [ [ "2010", "1" ] ] }, "page" : "34-39", "title" : "Protecting muscle mass and function in older adults during bed rest.", "type" : "article-journal", "volume" : "13" }, "uris" : [ "http://www.mendeley.com/documents/?uuid=f4a61c02-6065-48bc-9898-959643a47d8c" ] } ], "mendeley" : { "formattedCitation" : "&lt;sup&gt;40&lt;/sup&gt;", "plainTextFormattedCitation" : "40", "previouslyFormattedCitation" : "&lt;sup&gt;40&lt;/sup&gt;"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40</w:t>
      </w:r>
      <w:r w:rsidRPr="00795B8F">
        <w:rPr>
          <w:rFonts w:cs="Times New Roman"/>
        </w:rPr>
        <w:fldChar w:fldCharType="end"/>
      </w:r>
      <w:r w:rsidRPr="00795B8F">
        <w:rPr>
          <w:rFonts w:cs="Times New Roman"/>
        </w:rPr>
        <w:t>.</w:t>
      </w:r>
      <w:r>
        <w:rPr>
          <w:rFonts w:cs="Times New Roman"/>
        </w:rPr>
        <w:t xml:space="preserve"> Evidence suggests that </w:t>
      </w:r>
      <w:r w:rsidRPr="00795B8F">
        <w:rPr>
          <w:rFonts w:cs="Times New Roman"/>
        </w:rPr>
        <w:t>physical inactivity</w:t>
      </w:r>
      <w:r>
        <w:rPr>
          <w:rFonts w:cs="Times New Roman"/>
        </w:rPr>
        <w:t>/unloading of skeletal muscle</w:t>
      </w:r>
      <w:r w:rsidRPr="00795B8F">
        <w:rPr>
          <w:rFonts w:cs="Times New Roman"/>
        </w:rPr>
        <w:t xml:space="preserve"> </w:t>
      </w:r>
      <w:r>
        <w:rPr>
          <w:rFonts w:cs="Times New Roman"/>
        </w:rPr>
        <w:t>is a cause</w:t>
      </w:r>
      <w:r w:rsidRPr="00795B8F">
        <w:rPr>
          <w:rFonts w:cs="Times New Roman"/>
        </w:rPr>
        <w:t xml:space="preserve"> of </w:t>
      </w:r>
      <w:r>
        <w:rPr>
          <w:rFonts w:cs="Times New Roman"/>
        </w:rPr>
        <w:t>reductions in skeletal muscle mass</w:t>
      </w:r>
      <w:r w:rsidRPr="00795B8F">
        <w:rPr>
          <w:rFonts w:cs="Times New Roman"/>
        </w:rPr>
        <w:t xml:space="preserve"> with aging</w:t>
      </w:r>
      <w:r>
        <w:rPr>
          <w:rFonts w:cs="Times New Roman"/>
        </w:rPr>
        <w:t>. Periods of inactivity and unloading</w:t>
      </w:r>
      <w:r w:rsidRPr="00795B8F">
        <w:rPr>
          <w:rFonts w:cs="Times New Roman"/>
        </w:rPr>
        <w:t xml:space="preserve"> transiently </w:t>
      </w:r>
      <w:r>
        <w:rPr>
          <w:rFonts w:cs="Times New Roman"/>
        </w:rPr>
        <w:t xml:space="preserve">reduce </w:t>
      </w:r>
      <w:r w:rsidRPr="00795B8F">
        <w:rPr>
          <w:rFonts w:cs="Times New Roman"/>
        </w:rPr>
        <w:t>muscle protein synthesis</w:t>
      </w:r>
      <w:r w:rsidR="00817BB0">
        <w:rPr>
          <w:rFonts w:cs="Times New Roman"/>
        </w:rPr>
        <w:t xml:space="preserve"> (MPS)</w:t>
      </w:r>
      <w:r w:rsidRPr="00795B8F">
        <w:rPr>
          <w:rFonts w:cs="Times New Roman"/>
        </w:rPr>
        <w:fldChar w:fldCharType="begin" w:fldLock="1"/>
      </w:r>
      <w:r w:rsidR="006670B1">
        <w:rPr>
          <w:rFonts w:cs="Times New Roman"/>
        </w:rPr>
        <w:instrText>ADDIN CSL_CITATION { "citationItems" : [ { "id" : "ITEM-1", "itemData" : { "DOI" : "10.1152/japplphysiol.00452.2009", "ISBN" : "8750-7587 (Print)\\n0161-7567 (Linking)", "ISSN" : "8750-7587", "PMID" : "19608931", "abstract" : "Unloading-induced atrophy is a relatively uncomplicated form of muscle loss, dependent almost solely on the loss of mechanical input, whereas in disease states associated with inflammation (cancer cachexia, AIDS, burns, sepsis, and uremia), there is a procatabolic hormonal and cytokine environment. It is therefore predictable that muscle loss mainly due to disuse alone would be governed by mechanisms somewhat differently from those in inflammatory states. We suggest that in vivo measurements made in human subjects using arterial-venous balance, tracer dilution, and tracer incorporation are dynamic and thus robust by comparison with static measurements of mRNA abundance and protein expression and/or phosphorylation in human muscle. In addition, measurements made with cultured cells or in animal models, all of which have often been used to infer alterations of protein turnover, appear to be different from results obtained in immobilized human muscle in vivo. In vivo measurements of human muscle protein turnover in disuse show that the primary variable that changes facilitating the loss of muscle mass is protein synthesis, which is reduced in both the postabsorptive and postprandial states; muscle proteolysis itself appears not to be elevated. The depressed postprandial protein synthetic response (a phenomenon we term \"anabolic resistance\") may even be accompanied by a diminished suppression of proteolysis. We therefore propose that most of the loss of muscle mass during disuse atrophy can be accounted for by a depression in the rate of protein synthesis. Thus the normal diurnal fasted-to-fed cycle of protein balance is disrupted and, by default, proteolysis becomes dominant but is not enhanced.", "author" : [ { "dropping-particle" : "", "family" : "Phillips", "given" : "S M", "non-dropping-particle" : "", "parse-names" : false, "suffix" : "" }, { "dropping-particle" : "", "family" : "Glover", "given" : "E I", "non-dropping-particle" : "", "parse-names" : false, "suffix" : "" }, { "dropping-particle" : "", "family" : "Rennie", "given" : "M J", "non-dropping-particle" : "", "parse-names" : false, "suffix" : "" } ], "container-title" : "Journal of applied physiology (Bethesda, Md. : 1985)", "id" : "ITEM-1", "issue" : "3", "issued" : { "date-parts" : [ [ "2009", "9" ] ] }, "page" : "645-654", "title" : "Alterations of protein turnover underlying disuse atrophy in human skeletal muscle.", "type" : "article-journal", "volume" : "107" }, "uris" : [ "http://www.mendeley.com/documents/?uuid=af04a127-2b34-41a3-9d06-be316d1a178e" ] }, { "id" : "ITEM-2", "itemData" : { "DOI" : "10.1017/S0007114511007422", "ISBN" : "0007-1145", "ISSN" : "0007-1145", "PMID" : "22313809", "abstract" : "Feeding stimulates robust increases in muscle protein synthesis (MPS); however, ageing may alter the anabolic response to protein ingestion and the subsequent aminoacidaemia. With this as background, we aimed to determine in the present study the dose-response of MPS with the ingestion of isolated whey protein, with and without prior resistance exercise, in the elderly. For the purpose of this study, thirty-seven elderly men (age 71 (sd 4) years) completed a bout of unilateral leg-based resistance exercise before ingesting 0, 10, 20 or 40 g of whey protein isolate (W0-W40, respectively). Infusion of l-[1-13C]leucine and l-[ring-13C6]phenylalanine with bilateral vastus lateralis muscle biopsies were used to ascertain whole-body leucine oxidation and 4 h post-protein consumption of MPS in the fed-state of non-exercised and exercised leg muscles. It was determined that whole-body leucine oxidation increased in a stepwise, dose-dependent manner. MPS increased above basal, fasting values by approximately 65 and 90 % for W20 and W40, respectively (P &lt; 0\u00b705), but not with lower doses of whey. While resistance exercise was generally effective at stimulating MPS, W20 and W40 ingestion post-exercise increased MPS above W0 and W10 exercised values (P &lt; 0\u00b705) and W40 was greater than W20 (P &lt; 0\u00b705). Based on the study, the following conclusions were drawn. At rest, the optimal whey protein dose for non-frail older adults to consume, to increase myofibrillar MPS above fasting rates, was 20 g. Resistance exercise increases MPS in the elderly at all protein doses, but to a greater extent with 40 g of whey ingestion. These data suggest that, in contrast to younger adults, in whom post-exercise rates of MPS are saturated with 20 g of protein, exercised muscles of older adults respond to higher protein doses.", "author" : [ { "dropping-particle" : "", "family" : "Yang", "given" : "Yifan", "non-dropping-particle" : "", "parse-names" : false, "suffix" : "" }, { "dropping-particle" : "", "family" : "Breen", "given" : "Leigh", "non-dropping-particle" : "", "parse-names" : false, "suffix" : "" }, { "dropping-particle" : "", "family" : "Burd", "given" : "Nicholas a.", "non-dropping-particle" : "", "parse-names" : false, "suffix" : "" }, { "dropping-particle" : "", "family" : "Hector", "given" : "Amy J.", "non-dropping-particle" : "", "parse-names" : false, "suffix" : "" }, { "dropping-particle" : "", "family" : "Churchward-Venne", "given" : "Tyler a.", "non-dropping-particle" : "", "parse-names" : false, "suffix" : "" }, { "dropping-particle" : "", "family" : "Josse", "given" : "Andrea R.", "non-dropping-particle" : "", "parse-names" : false, "suffix" : "" }, { "dropping-particle" : "", "family" : "Tarnopolsky", "given" : "M. a.", "non-dropping-particle" : "", "parse-names" : false, "suffix" : "" }, { "dropping-particle" : "", "family" : "Phillips", "given" : "Stuart M.", "non-dropping-particle" : "", "parse-names" : false, "suffix" : "" } ], "container-title" : "British Journal of Nutrition", "id" : "ITEM-2", "issue" : "10", "issued" : { "date-parts" : [ [ "2012", "11", "28" ] ] }, "page" : "1-9", "title" : "Resistance exercise enhances myofibrillar protein synthesis with graded intakes of whey protein in older men", "type" : "article-journal", "volume" : "108" }, "uris" : [ "http://www.mendeley.com/documents/?uuid=57581c9a-78e5-400c-a598-35a57a5c9d69" ] } ], "mendeley" : { "formattedCitation" : "&lt;sup&gt;41,42&lt;/sup&gt;", "plainTextFormattedCitation" : "41,42", "previouslyFormattedCitation" : "&lt;sup&gt;41,42&lt;/sup&gt;"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41,42</w:t>
      </w:r>
      <w:r w:rsidRPr="00795B8F">
        <w:rPr>
          <w:rFonts w:cs="Times New Roman"/>
        </w:rPr>
        <w:fldChar w:fldCharType="end"/>
      </w:r>
      <w:r>
        <w:rPr>
          <w:rFonts w:cs="Times New Roman"/>
        </w:rPr>
        <w:t xml:space="preserve"> resulting in </w:t>
      </w:r>
      <w:r w:rsidR="00623F5A">
        <w:rPr>
          <w:rFonts w:cs="Times New Roman"/>
        </w:rPr>
        <w:t xml:space="preserve">a </w:t>
      </w:r>
      <w:r w:rsidR="00462AE4">
        <w:rPr>
          <w:rFonts w:cs="Times New Roman"/>
        </w:rPr>
        <w:t xml:space="preserve">rapid </w:t>
      </w:r>
      <w:r w:rsidR="00623F5A">
        <w:rPr>
          <w:rFonts w:cs="Times New Roman"/>
        </w:rPr>
        <w:t xml:space="preserve">decline </w:t>
      </w:r>
      <w:r>
        <w:rPr>
          <w:rFonts w:cs="Times New Roman"/>
        </w:rPr>
        <w:t>in</w:t>
      </w:r>
      <w:r w:rsidRPr="00795B8F">
        <w:rPr>
          <w:rFonts w:cs="Times New Roman"/>
        </w:rPr>
        <w:t xml:space="preserve"> </w:t>
      </w:r>
      <w:r>
        <w:rPr>
          <w:rFonts w:cs="Times New Roman"/>
        </w:rPr>
        <w:t>muscle mass</w:t>
      </w:r>
      <w:r w:rsidR="00623F5A">
        <w:rPr>
          <w:rFonts w:cs="Times New Roman"/>
        </w:rPr>
        <w:t>.</w:t>
      </w:r>
      <w:r>
        <w:rPr>
          <w:rFonts w:cs="Times New Roman"/>
        </w:rPr>
        <w:t xml:space="preserve"> </w:t>
      </w:r>
      <w:r w:rsidR="00623F5A">
        <w:rPr>
          <w:rFonts w:cs="Times New Roman"/>
        </w:rPr>
        <w:t>Thus, in an aging person who frequently undergoes periods of inactivity</w:t>
      </w:r>
      <w:r w:rsidR="008A5CDF">
        <w:rPr>
          <w:rFonts w:cs="Times New Roman"/>
        </w:rPr>
        <w:t>,</w:t>
      </w:r>
      <w:r w:rsidR="00623F5A">
        <w:rPr>
          <w:rFonts w:cs="Times New Roman"/>
        </w:rPr>
        <w:t xml:space="preserve"> sarcopenic muscle loss </w:t>
      </w:r>
      <w:r>
        <w:rPr>
          <w:rFonts w:cs="Times New Roman"/>
        </w:rPr>
        <w:t xml:space="preserve">is punctuated by transient accelerated loss of muscle mass and </w:t>
      </w:r>
      <w:r w:rsidRPr="00795B8F">
        <w:rPr>
          <w:rFonts w:cs="Times New Roman"/>
        </w:rPr>
        <w:t>function</w:t>
      </w:r>
      <w:r>
        <w:rPr>
          <w:rFonts w:cs="Times New Roman"/>
        </w:rPr>
        <w:t xml:space="preserve"> (Figure 2</w:t>
      </w:r>
      <w:r w:rsidR="00881F0B">
        <w:rPr>
          <w:rFonts w:cs="Times New Roman"/>
        </w:rPr>
        <w:t>: disuse-accompanied</w:t>
      </w:r>
      <w:r>
        <w:rPr>
          <w:rFonts w:cs="Times New Roman"/>
        </w:rPr>
        <w:t xml:space="preserve">). </w:t>
      </w:r>
    </w:p>
    <w:p w14:paraId="76D7D7B9" w14:textId="77777777" w:rsidR="005A1D98" w:rsidRPr="00795B8F" w:rsidRDefault="005A1D98" w:rsidP="003274B7">
      <w:pPr>
        <w:keepNext/>
        <w:jc w:val="center"/>
        <w:rPr>
          <w:rFonts w:cs="Times New Roman"/>
        </w:rPr>
      </w:pPr>
      <w:r>
        <w:rPr>
          <w:noProof/>
          <w:sz w:val="18"/>
          <w:szCs w:val="18"/>
          <w:lang w:val="en-US" w:eastAsia="en-US"/>
        </w:rPr>
        <w:drawing>
          <wp:inline distT="0" distB="0" distL="0" distR="0" wp14:anchorId="28F0E657" wp14:editId="75CF8EDB">
            <wp:extent cx="4584966" cy="2838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lerated Sarcopenia.jpg"/>
                    <pic:cNvPicPr/>
                  </pic:nvPicPr>
                  <pic:blipFill rotWithShape="1">
                    <a:blip r:embed="rId15">
                      <a:extLst>
                        <a:ext uri="{28A0092B-C50C-407E-A947-70E740481C1C}">
                          <a14:useLocalDpi xmlns:a14="http://schemas.microsoft.com/office/drawing/2010/main" val="0"/>
                        </a:ext>
                      </a:extLst>
                    </a:blip>
                    <a:srcRect l="4701" t="13960" r="6838" b="16239"/>
                    <a:stretch/>
                  </pic:blipFill>
                  <pic:spPr bwMode="auto">
                    <a:xfrm>
                      <a:off x="0" y="0"/>
                      <a:ext cx="4584966" cy="2838450"/>
                    </a:xfrm>
                    <a:prstGeom prst="rect">
                      <a:avLst/>
                    </a:prstGeom>
                    <a:ln>
                      <a:noFill/>
                    </a:ln>
                    <a:extLst>
                      <a:ext uri="{53640926-AAD7-44d8-BBD7-CCE9431645EC}">
                        <a14:shadowObscured xmlns:a14="http://schemas.microsoft.com/office/drawing/2010/main"/>
                      </a:ext>
                    </a:extLst>
                  </pic:spPr>
                </pic:pic>
              </a:graphicData>
            </a:graphic>
          </wp:inline>
        </w:drawing>
      </w:r>
    </w:p>
    <w:p w14:paraId="517BC5A6" w14:textId="37BCEC7A" w:rsidR="005A1D98" w:rsidRPr="003904CA" w:rsidRDefault="005A1D98" w:rsidP="005A1D98">
      <w:pPr>
        <w:pStyle w:val="Caption"/>
        <w:ind w:left="567"/>
        <w:rPr>
          <w:sz w:val="24"/>
          <w:szCs w:val="24"/>
        </w:rPr>
      </w:pPr>
      <w:r w:rsidRPr="003904CA">
        <w:rPr>
          <w:rFonts w:cs="Times New Roman"/>
          <w:color w:val="auto"/>
          <w:sz w:val="24"/>
          <w:szCs w:val="24"/>
        </w:rPr>
        <w:t>Figure 2</w:t>
      </w:r>
      <w:r w:rsidRPr="003904CA">
        <w:rPr>
          <w:rFonts w:cs="Times New Roman"/>
          <w:b w:val="0"/>
          <w:color w:val="auto"/>
          <w:sz w:val="24"/>
          <w:szCs w:val="24"/>
        </w:rPr>
        <w:t>. Theoretical loss of muscle mass in arbitrary units based on population estimates compared to accelerated sarcopenia punctuated by periods of inactivity due primarily to illness and injury.</w:t>
      </w:r>
      <w:r w:rsidR="00881F0B">
        <w:rPr>
          <w:rFonts w:cs="Times New Roman"/>
          <w:b w:val="0"/>
          <w:color w:val="auto"/>
          <w:sz w:val="24"/>
          <w:szCs w:val="24"/>
        </w:rPr>
        <w:t xml:space="preserve"> </w:t>
      </w:r>
      <w:r w:rsidRPr="003904CA">
        <w:rPr>
          <w:sz w:val="24"/>
          <w:szCs w:val="24"/>
        </w:rPr>
        <w:br/>
      </w:r>
    </w:p>
    <w:p w14:paraId="145A4B72" w14:textId="0080B843" w:rsidR="005A1D98" w:rsidRDefault="005A1D98" w:rsidP="005A1D98">
      <w:pPr>
        <w:spacing w:line="480" w:lineRule="auto"/>
        <w:ind w:firstLine="720"/>
        <w:rPr>
          <w:rFonts w:cs="Times New Roman"/>
        </w:rPr>
      </w:pPr>
      <w:r w:rsidRPr="00795B8F">
        <w:rPr>
          <w:rFonts w:cs="Times New Roman"/>
        </w:rPr>
        <w:lastRenderedPageBreak/>
        <w:t>The risk</w:t>
      </w:r>
      <w:r>
        <w:rPr>
          <w:rFonts w:cs="Times New Roman"/>
        </w:rPr>
        <w:t xml:space="preserve">s of inactivity </w:t>
      </w:r>
      <w:r w:rsidR="00623F5A">
        <w:rPr>
          <w:rFonts w:cs="Times New Roman"/>
        </w:rPr>
        <w:t xml:space="preserve">with aging </w:t>
      </w:r>
      <w:r>
        <w:rPr>
          <w:rFonts w:cs="Times New Roman"/>
        </w:rPr>
        <w:t>are</w:t>
      </w:r>
      <w:r w:rsidRPr="00795B8F">
        <w:rPr>
          <w:rFonts w:cs="Times New Roman"/>
        </w:rPr>
        <w:t xml:space="preserve"> clear. Bortz</w:t>
      </w:r>
      <w:r w:rsidR="00851834">
        <w:rPr>
          <w:rFonts w:cs="Times New Roman"/>
        </w:rPr>
        <w:fldChar w:fldCharType="begin" w:fldLock="1"/>
      </w:r>
      <w:r w:rsidR="003D1F84">
        <w:rPr>
          <w:rFonts w:cs="Times New Roman"/>
        </w:rPr>
        <w:instrText>ADDIN CSL_CITATION { "citationItems" : [ { "id" : "ITEM-1", "itemData" : { "author" : [ { "dropping-particle" : "", "family" : "Bortz II", "given" : "W M", "non-dropping-particle" : "", "parse-names" : false, "suffix" : "" } ], "container-title" : "JAMA : the journal of the American Medical Association", "id" : "ITEM-1", "issue" : "10", "issued" : { "date-parts" : [ [ "1982" ] ] }, "page" : "1203-1208", "title" : "Disuse and Aging", "type" : "article-journal", "volume" : "248" }, "uris" : [ "http://www.mendeley.com/documents/?uuid=0ea919ea-6260-4c52-abbf-20c672bdedfc" ] } ], "mendeley" : { "formattedCitation" : "&lt;sup&gt;43&lt;/sup&gt;", "plainTextFormattedCitation" : "43", "previouslyFormattedCitation" : "&lt;sup&gt;43&lt;/sup&gt;" }, "properties" : { "noteIndex" : 0 }, "schema" : "https://github.com/citation-style-language/schema/raw/master/csl-citation.json" }</w:instrText>
      </w:r>
      <w:r w:rsidR="00851834">
        <w:rPr>
          <w:rFonts w:cs="Times New Roman"/>
        </w:rPr>
        <w:fldChar w:fldCharType="separate"/>
      </w:r>
      <w:r w:rsidR="00851834" w:rsidRPr="00851834">
        <w:rPr>
          <w:rFonts w:cs="Times New Roman"/>
          <w:noProof/>
          <w:vertAlign w:val="superscript"/>
        </w:rPr>
        <w:t>43</w:t>
      </w:r>
      <w:r w:rsidR="00851834">
        <w:rPr>
          <w:rFonts w:cs="Times New Roman"/>
        </w:rPr>
        <w:fldChar w:fldCharType="end"/>
      </w:r>
      <w:r w:rsidR="00851834">
        <w:rPr>
          <w:rFonts w:cs="Times New Roman"/>
        </w:rPr>
        <w:t xml:space="preserve"> </w:t>
      </w:r>
      <w:r w:rsidRPr="00795B8F">
        <w:rPr>
          <w:rFonts w:cs="Times New Roman"/>
        </w:rPr>
        <w:t xml:space="preserve">was the first to propose the idea that disuse is a modifiable factor accelerating the aging process, citing the phenotypic change exhibited by his own leg after casting and showcasing the similarities between disuse and traditional aging. For example, </w:t>
      </w:r>
      <w:r w:rsidR="00623F5A" w:rsidRPr="00795B8F">
        <w:rPr>
          <w:rFonts w:cs="Times New Roman"/>
        </w:rPr>
        <w:t>three weeks of bed rest results in equiv</w:t>
      </w:r>
      <w:r w:rsidR="00623F5A">
        <w:rPr>
          <w:rFonts w:cs="Times New Roman"/>
        </w:rPr>
        <w:t>alent</w:t>
      </w:r>
      <w:r w:rsidR="00623F5A" w:rsidRPr="00795B8F">
        <w:rPr>
          <w:rFonts w:cs="Times New Roman"/>
        </w:rPr>
        <w:t xml:space="preserve"> decrements in </w:t>
      </w:r>
      <w:r w:rsidR="00623F5A" w:rsidRPr="000A0FE4">
        <w:rPr>
          <w:rFonts w:cs="Times New Roman"/>
          <w:lang w:val="en-US"/>
        </w:rPr>
        <w:t>V̇</w:t>
      </w:r>
      <w:r w:rsidR="00623F5A" w:rsidRPr="00795B8F">
        <w:rPr>
          <w:rFonts w:cs="Times New Roman"/>
        </w:rPr>
        <w:t>O</w:t>
      </w:r>
      <w:r w:rsidR="00623F5A" w:rsidRPr="00795B8F">
        <w:rPr>
          <w:rFonts w:cs="Times New Roman"/>
          <w:vertAlign w:val="subscript"/>
        </w:rPr>
        <w:t>2</w:t>
      </w:r>
      <w:r w:rsidR="00623F5A">
        <w:rPr>
          <w:rFonts w:cs="Times New Roman"/>
          <w:vertAlign w:val="subscript"/>
        </w:rPr>
        <w:t>peak</w:t>
      </w:r>
      <w:r w:rsidR="00623F5A" w:rsidRPr="00795B8F">
        <w:rPr>
          <w:rFonts w:cs="Times New Roman"/>
        </w:rPr>
        <w:t xml:space="preserve"> as </w:t>
      </w:r>
      <w:r w:rsidRPr="00795B8F">
        <w:rPr>
          <w:rFonts w:cs="Times New Roman"/>
        </w:rPr>
        <w:t>40 years of aging</w:t>
      </w:r>
      <w:r w:rsidRPr="00795B8F">
        <w:rPr>
          <w:rFonts w:cs="Times New Roman"/>
        </w:rPr>
        <w:fldChar w:fldCharType="begin" w:fldLock="1"/>
      </w:r>
      <w:r w:rsidR="006670B1">
        <w:rPr>
          <w:rFonts w:cs="Times New Roman"/>
        </w:rPr>
        <w:instrText>ADDIN CSL_CITATION { "citationItems" : [ { "id" : "ITEM-1", "itemData" : { "DOI" : "10.1093/gerona/gln025", "ISBN" : "1758-535X (Electronic)\\r1079-5006 (Linking)", "ISSN" : "10795006", "PMID" : "19196908", "abstract" : "BACKGROUND: In 1966, five 20-year-old men underwent a comprehensive physiological evaluation of the capacity for adaptation of the cardiovascular system in response to 3 weeks of bed rest and 8 weeks of heavy endurance training; these same participants were reevaluated before and after training at the age of 50. The aim of the present study was to reexamine these same men 40 years following the original assessments. METHODS AND RESULTS: In all three studies, minute ventilation and expired gases were analyzed during exercise testing with Douglas bag collection. Cardiac output (CO) was determined using the acetylene rebreathing technique. Compared with the original 30-year interval, the decline in maximal oxygen uptake (VO(2max)) (-11% vs -25%), maximal CO (+6% vs -11%), and maximal stroke volume (+10% vs -10%) were greater between 50 and 60 years of age. The annualized decline in VO(2max) (55 mL/min/y) between ages 50 and 60 was approximately fourfold higher than the decline between 20 and 50 years (12 mL/min/y). CONCLUSIONS: In the original five participants of the Dallas Bed Rest and Training Study, VO(2max) declined after 40 years of living due to a balanced decrease in central and peripheral determinants of oxygen uptake. The rate of decline in VO(2max) and its components accelerated after the age of 50 years secondary to age and clinical comorbidities. The net proportional decline in VO(2max) for a period of 40 years of life was comparable with that experienced after 3 weeks of strict bed rest at the age of 20 (27% vs 26%, respectively).", "author" : [ { "dropping-particle" : "", "family" : "McGavock", "given" : "Jonathan M.", "non-dropping-particle" : "", "parse-names" : false, "suffix" : "" }, { "dropping-particle" : "", "family" : "Hastings", "given" : "Jeffrey L.", "non-dropping-particle" : "", "parse-names" : false, "suffix" : "" }, { "dropping-particle" : "", "family" : "Snell", "given" : "Peter G.", "non-dropping-particle" : "", "parse-names" : false, "suffix" : "" }, { "dropping-particle" : "", "family" : "McGuire", "given" : "Darren K.", "non-dropping-particle" : "", "parse-names" : false, "suffix" : "" }, { "dropping-particle" : "", "family" : "Pacini", "given" : "Eric L.", "non-dropping-particle" : "", "parse-names" : false, "suffix" : "" }, { "dropping-particle" : "", "family" : "Levine", "given" : "Benjamin D.", "non-dropping-particle" : "", "parse-names" : false, "suffix" : "" }, { "dropping-particle" : "", "family" : "Mitchell", "given" : "Jere H.", "non-dropping-particle" : "", "parse-names" : false, "suffix" : "" } ], "container-title" : "Journals of Gerontology - Series A Biological Sciences and Medical Sciences", "id" : "ITEM-1", "issue" : "2", "issued" : { "date-parts" : [ [ "2009", "2" ] ] }, "page" : "293-298", "title" : "A forty-year follow-up of the Dallas Bed Rest and Training Study: The effect of age on the cardiovascular response to exercise in men", "type" : "article-journal", "volume" : "64" }, "uris" : [ "http://www.mendeley.com/documents/?uuid=38c00430-9cfc-4f6f-9b19-ce180dff6d03" ] } ], "mendeley" : { "formattedCitation" : "&lt;sup&gt;44&lt;/sup&gt;", "plainTextFormattedCitation" : "44", "previouslyFormattedCitation" : "&lt;sup&gt;44&lt;/sup&gt;"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44</w:t>
      </w:r>
      <w:r w:rsidRPr="00795B8F">
        <w:rPr>
          <w:rFonts w:cs="Times New Roman"/>
        </w:rPr>
        <w:fldChar w:fldCharType="end"/>
      </w:r>
      <w:r w:rsidR="00623F5A">
        <w:rPr>
          <w:rFonts w:cs="Times New Roman"/>
        </w:rPr>
        <w:t>.</w:t>
      </w:r>
      <w:r>
        <w:rPr>
          <w:rFonts w:cs="Times New Roman"/>
        </w:rPr>
        <w:t xml:space="preserve"> </w:t>
      </w:r>
      <w:r w:rsidR="00623F5A">
        <w:rPr>
          <w:rFonts w:cs="Times New Roman"/>
        </w:rPr>
        <w:t xml:space="preserve">This </w:t>
      </w:r>
      <w:r>
        <w:rPr>
          <w:rFonts w:cs="Times New Roman"/>
        </w:rPr>
        <w:t xml:space="preserve">type of </w:t>
      </w:r>
      <w:r w:rsidR="00623F5A">
        <w:rPr>
          <w:rFonts w:cs="Times New Roman"/>
        </w:rPr>
        <w:t>disuse period</w:t>
      </w:r>
      <w:r>
        <w:rPr>
          <w:rFonts w:cs="Times New Roman"/>
        </w:rPr>
        <w:t>,</w:t>
      </w:r>
      <w:r w:rsidRPr="00795B8F">
        <w:rPr>
          <w:rFonts w:cs="Times New Roman"/>
        </w:rPr>
        <w:t xml:space="preserve"> </w:t>
      </w:r>
      <w:r w:rsidR="00623F5A">
        <w:rPr>
          <w:rFonts w:cs="Times New Roman"/>
        </w:rPr>
        <w:t>due to hospitalization, is more common with aging and as such these disuse ev</w:t>
      </w:r>
      <w:r w:rsidRPr="00795B8F">
        <w:rPr>
          <w:rFonts w:cs="Times New Roman"/>
        </w:rPr>
        <w:t xml:space="preserve">ents punctuate the lives of elderly individuals. </w:t>
      </w:r>
    </w:p>
    <w:p w14:paraId="670D1B98" w14:textId="2FBBCB3A" w:rsidR="005A1D98" w:rsidRDefault="005A1D98" w:rsidP="005A1D98">
      <w:pPr>
        <w:spacing w:line="480" w:lineRule="auto"/>
        <w:ind w:firstLine="720"/>
        <w:rPr>
          <w:rFonts w:cs="Times New Roman"/>
        </w:rPr>
      </w:pPr>
      <w:r w:rsidRPr="00795B8F">
        <w:rPr>
          <w:rFonts w:cs="Times New Roman"/>
        </w:rPr>
        <w:fldChar w:fldCharType="begin" w:fldLock="1"/>
      </w:r>
      <w:r w:rsidR="00851834">
        <w:rPr>
          <w:rFonts w:cs="Times New Roman"/>
        </w:rPr>
        <w:instrText>ADDIN CSL_CITATION { "citationItems" : [ { "id" : "ITEM-1", "itemData" : { "DOI" : "10.1136/bmj.2.4536.967", "ISSN" : "0959-8138", "PMID" : "18897489", "author" : [ { "dropping-particle" : "", "family" : "Asher", "given" : "R. a. J.", "non-dropping-particle" : "", "parse-names" : false, "suffix" : "" } ], "container-title" : "British medical journal", "id" : "ITEM-1", "issue" : "4536", "issued" : { "date-parts" : [ [ "1947", "1", "21" ] ] }, "page" : "967-968", "title" : "Dangers of Going to Bed", "type" : "article-journal", "volume" : "2" }, "uris" : [ "http://www.mendeley.com/documents/?uuid=4164bd2a-77ef-4f97-a2b2-bae00f8de110" ] } ], "mendeley" : { "formattedCitation" : "&lt;sup&gt;45&lt;/sup&gt;", "manualFormatting" : "Asher45", "plainTextFormattedCitation" : "45", "previouslyFormattedCitation" : "&lt;sup&gt;45&lt;/sup&gt;" }, "properties" : { "noteIndex" : 0 }, "schema" : "https://github.com/citation-style-language/schema/raw/master/csl-citation.json" }</w:instrText>
      </w:r>
      <w:r w:rsidRPr="00795B8F">
        <w:rPr>
          <w:rFonts w:cs="Times New Roman"/>
        </w:rPr>
        <w:fldChar w:fldCharType="separate"/>
      </w:r>
      <w:r w:rsidR="00851834">
        <w:rPr>
          <w:rFonts w:cs="Times New Roman"/>
          <w:noProof/>
        </w:rPr>
        <w:t>Asher</w:t>
      </w:r>
      <w:r w:rsidR="00851834">
        <w:rPr>
          <w:rFonts w:cs="Times New Roman"/>
          <w:noProof/>
        </w:rPr>
        <w:fldChar w:fldCharType="begin" w:fldLock="1"/>
      </w:r>
      <w:r w:rsidR="00851834">
        <w:rPr>
          <w:rFonts w:cs="Times New Roman"/>
          <w:noProof/>
        </w:rPr>
        <w:instrText>ADDIN CSL_CITATION { "citationItems" : [ { "id" : "ITEM-1", "itemData" : { "DOI" : "10.1136/bmj.2.4536.967", "ISSN" : "0959-8138", "PMID" : "18897489", "author" : [ { "dropping-particle" : "", "family" : "Asher", "given" : "R. a. J.", "non-dropping-particle" : "", "parse-names" : false, "suffix" : "" } ], "container-title" : "British medical journal", "id" : "ITEM-1", "issue" : "4536", "issued" : { "date-parts" : [ [ "1947", "1", "21" ] ] }, "page" : "967-968", "title" : "Dangers of Going to Bed", "type" : "article-journal", "volume" : "2" }, "uris" : [ "http://www.mendeley.com/documents/?uuid=4164bd2a-77ef-4f97-a2b2-bae00f8de110" ] } ], "mendeley" : { "formattedCitation" : "&lt;sup&gt;45&lt;/sup&gt;", "plainTextFormattedCitation" : "45", "previouslyFormattedCitation" : "&lt;sup&gt;45&lt;/sup&gt;" }, "properties" : { "noteIndex" : 0 }, "schema" : "https://github.com/citation-style-language/schema/raw/master/csl-citation.json" }</w:instrText>
      </w:r>
      <w:r w:rsidR="00851834">
        <w:rPr>
          <w:rFonts w:cs="Times New Roman"/>
          <w:noProof/>
        </w:rPr>
        <w:fldChar w:fldCharType="separate"/>
      </w:r>
      <w:r w:rsidR="00851834" w:rsidRPr="00851834">
        <w:rPr>
          <w:rFonts w:cs="Times New Roman"/>
          <w:noProof/>
          <w:vertAlign w:val="superscript"/>
        </w:rPr>
        <w:t>45</w:t>
      </w:r>
      <w:r w:rsidR="00851834">
        <w:rPr>
          <w:rFonts w:cs="Times New Roman"/>
          <w:noProof/>
        </w:rPr>
        <w:fldChar w:fldCharType="end"/>
      </w:r>
      <w:r w:rsidRPr="00795B8F">
        <w:rPr>
          <w:rFonts w:cs="Times New Roman"/>
        </w:rPr>
        <w:fldChar w:fldCharType="end"/>
      </w:r>
      <w:r w:rsidRPr="00795B8F">
        <w:rPr>
          <w:rFonts w:cs="Times New Roman"/>
        </w:rPr>
        <w:t xml:space="preserve"> first recognized the iatrogenic effects of physical inactivity prescription by healthcare providers in hospital</w:t>
      </w:r>
      <w:r>
        <w:rPr>
          <w:rFonts w:cs="Times New Roman"/>
        </w:rPr>
        <w:t>s</w:t>
      </w:r>
      <w:r w:rsidRPr="00795B8F">
        <w:rPr>
          <w:rFonts w:cs="Times New Roman"/>
        </w:rPr>
        <w:t xml:space="preserve">, </w:t>
      </w:r>
      <w:r>
        <w:rPr>
          <w:rFonts w:cs="Times New Roman"/>
        </w:rPr>
        <w:t xml:space="preserve">which he saw as </w:t>
      </w:r>
      <w:r w:rsidRPr="00795B8F">
        <w:rPr>
          <w:rFonts w:cs="Times New Roman"/>
        </w:rPr>
        <w:t>a prevalent occurrence in older adults with increasing disability</w:t>
      </w:r>
      <w:r w:rsidRPr="00795B8F">
        <w:rPr>
          <w:rFonts w:cs="Times New Roman"/>
        </w:rPr>
        <w:fldChar w:fldCharType="begin" w:fldLock="1"/>
      </w:r>
      <w:r w:rsidR="006670B1">
        <w:rPr>
          <w:rFonts w:cs="Times New Roman"/>
        </w:rPr>
        <w:instrText>ADDIN CSL_CITATION { "citationItems" : [ { "id" : "ITEM-1", "itemData" : { "DOI" : "10.1093/geronj/48.4.S153", "ISBN" : "0022-1422 (Print)\\r0022-1422 (Linking)", "ISSN" : "0022-1422", "PMID" : "8315240", "abstract" : "The U.S. elderly (65+) and oldest-old (85+) populations are growing rapidly which, combined with their high per capita acute and long-term care needs, will increase total U.S. health care needs. Also important in determining needs is how health and function change as mortality declines in the elderly population. Recent increases in adult life expectancy have been due to declines in stroke and heart disease mortality. There is controversy, however, about how those declines relate to the health and function of survivors. We examined changes in the prevalence and incidence of chronic disability using the 1982, 1984, and 1989 National Long Term Care Surveys. The total prevalence of U.S. chronically disabled community-dwelling and institutionalized elderly populations declined from 1984 to 1989, overall, for each of three age strata and after mortality adjustment. These changes varied over level of disability. Factors contributing to these changes, including measurement, are reviewed.", "author" : [ { "dropping-particle" : "", "family" : "Manton", "given" : "K G", "non-dropping-particle" : "", "parse-names" : false, "suffix" : "" }, { "dropping-particle" : "", "family" : "Corder", "given" : "L S", "non-dropping-particle" : "", "parse-names" : false, "suffix" : "" }, { "dropping-particle" : "", "family" : "Stallard", "given" : "E", "non-dropping-particle" : "", "parse-names" : false, "suffix" : "" } ], "container-title" : "Journal of gerontology", "id" : "ITEM-1", "issue" : "4", "issued" : { "date-parts" : [ [ "1993" ] ] }, "page" : "S153-S166", "title" : "Estimates of change in chronic disability and institutional incidence and prevalence rates in the U.S. elderly population from the 1982, 1984, and 1989 National Long Term Care Survey.", "type" : "article-journal", "volume" : "48" }, "uris" : [ "http://www.mendeley.com/documents/?uuid=e5803569-5e55-459b-a6d9-3a8bf37cce46" ] } ], "mendeley" : { "formattedCitation" : "&lt;sup&gt;46&lt;/sup&gt;", "plainTextFormattedCitation" : "46", "previouslyFormattedCitation" : "&lt;sup&gt;46&lt;/sup&gt;"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46</w:t>
      </w:r>
      <w:r w:rsidRPr="00795B8F">
        <w:rPr>
          <w:rFonts w:cs="Times New Roman"/>
        </w:rPr>
        <w:fldChar w:fldCharType="end"/>
      </w:r>
      <w:r w:rsidRPr="00795B8F">
        <w:rPr>
          <w:rFonts w:cs="Times New Roman"/>
        </w:rPr>
        <w:t>.</w:t>
      </w:r>
      <w:r>
        <w:rPr>
          <w:rFonts w:cs="Times New Roman"/>
        </w:rPr>
        <w:t xml:space="preserve"> </w:t>
      </w:r>
      <w:r w:rsidRPr="00795B8F">
        <w:rPr>
          <w:rFonts w:cs="Times New Roman"/>
        </w:rPr>
        <w:t xml:space="preserve">Acute illnesses such as influenza often </w:t>
      </w:r>
      <w:r>
        <w:rPr>
          <w:rFonts w:cs="Times New Roman"/>
        </w:rPr>
        <w:t>leave</w:t>
      </w:r>
      <w:r w:rsidRPr="00795B8F">
        <w:rPr>
          <w:rFonts w:cs="Times New Roman"/>
        </w:rPr>
        <w:t xml:space="preserve"> older adults convalescing in hospital for more than eight days</w:t>
      </w:r>
      <w:r w:rsidRPr="00795B8F">
        <w:rPr>
          <w:rFonts w:cs="Times New Roman"/>
        </w:rPr>
        <w:fldChar w:fldCharType="begin" w:fldLock="1"/>
      </w:r>
      <w:r w:rsidR="006670B1">
        <w:rPr>
          <w:rFonts w:cs="Times New Roman"/>
        </w:rPr>
        <w:instrText>ADDIN CSL_CITATION { "citationItems" : [ { "id" : "ITEM-1", "itemData" : { "DOI" : "10.1001/jama.292.11.1333", "ISBN" : "1538-3598 (Electronic)\\n0098-7484 (Linking)", "ISSN" : "0098-7484", "PMID" : "15367555", "abstract" : "CONTEXT: Respiratory viral infections are responsible for a large number of hospitalizations in the United States each year. OBJECTIVE: To estimate annual influenza-associated hospitalizations in the United States by hospital discharge category, discharge type, and age group. DESIGN, SETTING, AND PARTICIPANTS: National Hospital Discharge Survey (NHDS) data and World Health Organization Collaborating Laboratories influenza surveillance data were used to estimate annual average numbers of hospitalizations associated with the circulation of influenza viruses from the 1979-1980 through the 2000-2001 seasons in the United States using age-specific Poisson regression models. MAIN OUTCOME MEASURES: We estimated influenza-associated hospitalizations for primary and any listed pneumonia and influenza and respiratory and circulatory hospitalizations. RESULTS: Annual averages of 94,735 (range, 18,908-193,561) primary and 133,900 (range, 30,757-271,529) any listed pneumonia and influenza hospitalizations were associated with influenza virus infections. Annual averages of 226,54 (range, 54,523-430,960) primary and 294,128 (range, 86,494-544,909) any listed respiratory and circulatory hospitalizations were associated with influenza virus infections. Persons 85 years or older had the highest rates of influenza-associated primary respiratory and circulatory hospitalizations (1194.9 per 100,000 persons). Children younger than 5 years (107.9 primary respiratory and circulatory hospitalizations per 100,000 persons) had rates similar to persons aged 50 through 64 years. Estimated rates of influenza-associated hospitalizations were highest during seasons in which A(H3N2) viruses predominated, followed by B and A(H1N1) seasons. After adjusting for the length of each influenza season, influenza-associated primary pneumonia and influenza hospitalizations increased over time among the elderly. There were no significant increases in influenza-associated primary respiratory and circulatory hospitalizations after adjusting for the length of the influenza season. CONCLUSIONS: Significant numbers of influenza-associated hospitalizations in the United States occur among the elderly, and the numbers of these hospitalizations have increased substantially over the last 2 decades due in part to the aging of the population. Children younger than 5 years had rates of influenza-associated hospitalizations similar to those among individuals aged 50 through 64 years. These findings highlight \u2026", "author" : [ { "dropping-particle" : "", "family" : "Thompson", "given" : "William W", "non-dropping-particle" : "", "parse-names" : false, "suffix" : "" }, { "dropping-particle" : "", "family" : "Shay", "given" : "David K", "non-dropping-particle" : "", "parse-names" : false, "suffix" : "" }, { "dropping-particle" : "", "family" : "Weintraub", "given" : "Eric", "non-dropping-particle" : "", "parse-names" : false, "suffix" : "" }, { "dropping-particle" : "", "family" : "Brammer", "given" : "Lynnette", "non-dropping-particle" : "", "parse-names" : false, "suffix" : "" }, { "dropping-particle" : "", "family" : "Bridges", "given" : "Carolyn B", "non-dropping-particle" : "", "parse-names" : false, "suffix" : "" }, { "dropping-particle" : "", "family" : "Cox", "given" : "Nancy J", "non-dropping-particle" : "", "parse-names" : false, "suffix" : "" }, { "dropping-particle" : "", "family" : "Fukuda", "given" : "Keiji", "non-dropping-particle" : "", "parse-names" : false, "suffix" : "" } ], "container-title" : "JAMA : the journal of the American Medical Association", "id" : "ITEM-1", "issue" : "11", "issued" : { "date-parts" : [ [ "2004", "9", "15" ] ] }, "page" : "1333-1340", "title" : "Influenza-associated hospitalizations in the United States.", "type" : "article-journal", "volume" : "292" }, "uris" : [ "http://www.mendeley.com/documents/?uuid=2cb86743-ed57-4933-be76-245b97455bff" ] } ], "mendeley" : { "formattedCitation" : "&lt;sup&gt;47&lt;/sup&gt;", "plainTextFormattedCitation" : "47", "previouslyFormattedCitation" : "&lt;sup&gt;47&lt;/sup&gt;"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47</w:t>
      </w:r>
      <w:r w:rsidRPr="00795B8F">
        <w:rPr>
          <w:rFonts w:cs="Times New Roman"/>
        </w:rPr>
        <w:fldChar w:fldCharType="end"/>
      </w:r>
      <w:r w:rsidRPr="00795B8F">
        <w:rPr>
          <w:rFonts w:cs="Times New Roman"/>
        </w:rPr>
        <w:t>, while laparoscopic surgeries, procedures touted for their more rapid return to activity, commonly require</w:t>
      </w:r>
      <w:r>
        <w:rPr>
          <w:rFonts w:cs="Times New Roman"/>
        </w:rPr>
        <w:t xml:space="preserve"> (in older persons)</w:t>
      </w:r>
      <w:r w:rsidRPr="00795B8F">
        <w:rPr>
          <w:rFonts w:cs="Times New Roman"/>
        </w:rPr>
        <w:t xml:space="preserve"> </w:t>
      </w:r>
      <w:r w:rsidR="00623F5A">
        <w:rPr>
          <w:rFonts w:cs="Times New Roman"/>
        </w:rPr>
        <w:t>3-5</w:t>
      </w:r>
      <w:r>
        <w:rPr>
          <w:rFonts w:cs="Times New Roman"/>
        </w:rPr>
        <w:t xml:space="preserve"> days of</w:t>
      </w:r>
      <w:r w:rsidRPr="00795B8F">
        <w:rPr>
          <w:rFonts w:cs="Times New Roman"/>
        </w:rPr>
        <w:t xml:space="preserve">  hospitalization with </w:t>
      </w:r>
      <w:r>
        <w:rPr>
          <w:rFonts w:cs="Times New Roman"/>
        </w:rPr>
        <w:t>an</w:t>
      </w:r>
      <w:r w:rsidRPr="00795B8F">
        <w:rPr>
          <w:rFonts w:cs="Times New Roman"/>
        </w:rPr>
        <w:t xml:space="preserve"> average of one additional week of convalescence at home before returning to normal activity</w:t>
      </w:r>
      <w:r w:rsidRPr="00795B8F">
        <w:rPr>
          <w:rFonts w:cs="Times New Roman"/>
        </w:rPr>
        <w:fldChar w:fldCharType="begin" w:fldLock="1"/>
      </w:r>
      <w:r w:rsidR="006670B1">
        <w:rPr>
          <w:rFonts w:cs="Times New Roman"/>
        </w:rPr>
        <w:instrText>ADDIN CSL_CITATION { "citationItems" : [ { "id" : "ITEM-1", "itemData" : { "ISBN" : "1086-8089", "ISSN" : "1086-8089", "PMID" : "18435886", "abstract" : "BACKGROUND: The short-term benefits of laparoscopic surgery are well established, particularly within an enhanced recovery program. Early return to activity is to be expected but has not been quantified. The aim of this study was to measure the hospital stay and return to full activity following laparoscopic colorectal surgery and compare this with laparoscopic cholecystectomy and laparoscopic inguinal hernia repair.\\n\\nMETHODS: All totally laparoscopic gallbladder, inguinal hernia, and colorectal operations performed between January 2003 and October 2006 were included. Outcomes were collected from a prospective database and case notes. Post discharge information was collected by telephone interview. A comparison was made by creating 4 groups: laparoscopic cholecystectomy, laparoscopic inguinal hernia repair (Transabdominal PrePeritoneal [TAPP]), laparoscopic colorectal nonresectional, and resectional surgery.\\n\\nRESULTS: The median hospital stay following laparoscopic colorectal resection was 7 days, while in the cholecystectomy and hernia group it was 1 day. The median return to full activity after discharge from the hospital was 4, 5, 3, and 7 days in the laparoscopic cholecystectomy, inguinal hernia repair, nonresection, and colorectal resection groups, respectively.\\n\\nCONCLUSIONS: Following laparoscopic colorectal surgery, patients can be expected to return to their usual activities within a week after discharge from the hospital and less than 2 weeks from surgery.", "author" : [ { "dropping-particle" : "", "family" : "Raymond", "given" : "Thomas M", "non-dropping-particle" : "", "parse-names" : false, "suffix" : "" }, { "dropping-particle" : "", "family" : "Dastur", "given" : "Jamasp K", "non-dropping-particle" : "", "parse-names" : false, "suffix" : "" }, { "dropping-particle" : "", "family" : "Khot", "given" : "Umesh P", "non-dropping-particle" : "", "parse-names" : false, "suffix" : "" }, { "dropping-particle" : "", "family" : "Parker", "given" : "Mike C", "non-dropping-particle" : "", "parse-names" : false, "suffix" : "" } ], "container-title" : "JSLS : Journal of the Society of Laparoendoscopic Surgeons / Society of Laparoendoscopic Surgeons", "id" : "ITEM-1", "issue" : "2", "issued" : { "date-parts" : [ [ "2008" ] ] }, "page" : "143-9", "title" : "Hospital stay and return to full activity following laparoscopic colorectal surgery.", "type" : "article-journal", "volume" : "12" }, "uris" : [ "http://www.mendeley.com/documents/?uuid=e78eb65f-e46f-4432-bfde-122dd2f3effe" ] } ], "mendeley" : { "formattedCitation" : "&lt;sup&gt;48&lt;/sup&gt;", "plainTextFormattedCitation" : "48", "previouslyFormattedCitation" : "&lt;sup&gt;48&lt;/sup&gt;"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48</w:t>
      </w:r>
      <w:r w:rsidRPr="00795B8F">
        <w:rPr>
          <w:rFonts w:cs="Times New Roman"/>
        </w:rPr>
        <w:fldChar w:fldCharType="end"/>
      </w:r>
      <w:r w:rsidRPr="00795B8F">
        <w:rPr>
          <w:rFonts w:cs="Times New Roman"/>
        </w:rPr>
        <w:t xml:space="preserve">. Of utmost concern though are the consequences of </w:t>
      </w:r>
      <w:r w:rsidR="00623F5A">
        <w:rPr>
          <w:rFonts w:cs="Times New Roman"/>
        </w:rPr>
        <w:t xml:space="preserve">such periods of inactivity on the risk for </w:t>
      </w:r>
      <w:r w:rsidRPr="00795B8F">
        <w:rPr>
          <w:rFonts w:cs="Times New Roman"/>
        </w:rPr>
        <w:t>falls amongst older adults. In Canada, between 20</w:t>
      </w:r>
      <w:r>
        <w:rPr>
          <w:rFonts w:cs="Times New Roman"/>
        </w:rPr>
        <w:t>-</w:t>
      </w:r>
      <w:r w:rsidRPr="00795B8F">
        <w:rPr>
          <w:rFonts w:cs="Times New Roman"/>
        </w:rPr>
        <w:t xml:space="preserve">30% of older adults </w:t>
      </w:r>
      <w:r w:rsidR="00623F5A">
        <w:rPr>
          <w:rFonts w:cs="Times New Roman"/>
        </w:rPr>
        <w:t xml:space="preserve">report </w:t>
      </w:r>
      <w:r w:rsidRPr="00795B8F">
        <w:rPr>
          <w:rFonts w:cs="Times New Roman"/>
        </w:rPr>
        <w:t>fall</w:t>
      </w:r>
      <w:r w:rsidR="00623F5A">
        <w:rPr>
          <w:rFonts w:cs="Times New Roman"/>
        </w:rPr>
        <w:t>ing</w:t>
      </w:r>
      <w:r w:rsidRPr="00795B8F">
        <w:rPr>
          <w:rFonts w:cs="Times New Roman"/>
        </w:rPr>
        <w:t xml:space="preserve"> each year</w:t>
      </w:r>
      <w:r w:rsidR="00623F5A">
        <w:rPr>
          <w:rFonts w:cs="Times New Roman"/>
        </w:rPr>
        <w:t>,</w:t>
      </w:r>
      <w:r w:rsidRPr="00795B8F">
        <w:rPr>
          <w:rFonts w:cs="Times New Roman"/>
        </w:rPr>
        <w:t xml:space="preserve"> making it the most common reason for hospitalization amongst the elderly</w:t>
      </w:r>
      <w:r w:rsidR="00623F5A">
        <w:rPr>
          <w:rFonts w:cs="Times New Roman"/>
        </w:rPr>
        <w:t xml:space="preserve">. A fall </w:t>
      </w:r>
      <w:r w:rsidRPr="00795B8F">
        <w:rPr>
          <w:rFonts w:cs="Times New Roman"/>
        </w:rPr>
        <w:t xml:space="preserve">often </w:t>
      </w:r>
      <w:r w:rsidR="00623F5A">
        <w:rPr>
          <w:rFonts w:cs="Times New Roman"/>
        </w:rPr>
        <w:t xml:space="preserve">requires a hospital </w:t>
      </w:r>
      <w:r w:rsidRPr="00795B8F">
        <w:rPr>
          <w:rFonts w:cs="Times New Roman"/>
        </w:rPr>
        <w:t xml:space="preserve">stay </w:t>
      </w:r>
      <w:r w:rsidR="00623F5A">
        <w:rPr>
          <w:rFonts w:cs="Times New Roman"/>
        </w:rPr>
        <w:t>of 10-</w:t>
      </w:r>
      <w:r w:rsidRPr="00795B8F">
        <w:rPr>
          <w:rFonts w:cs="Times New Roman"/>
        </w:rPr>
        <w:t>12 days</w:t>
      </w:r>
      <w:r w:rsidRPr="00795B8F">
        <w:rPr>
          <w:rFonts w:cs="Times New Roman"/>
        </w:rPr>
        <w:fldChar w:fldCharType="begin" w:fldLock="1"/>
      </w:r>
      <w:r w:rsidR="006670B1">
        <w:rPr>
          <w:rFonts w:cs="Times New Roman"/>
        </w:rPr>
        <w:instrText>ADDIN CSL_CITATION { "citationItems" : [ { "id" : "ITEM-1", "itemData" : { "ISBN" : "9781100232614", "ISSN" : "14818523", "author" : [ { "dropping-particle" : "", "family" : "Stinchcombe", "given" : "a.", "non-dropping-particle" : "", "parse-names" : false, "suffix" : "" }, { "dropping-particle" : "", "family" : "Kuran", "given" : "N.", "non-dropping-particle" : "", "parse-names" : false, "suffix" : "" }, { "dropping-particle" : "", "family" : "Powell", "given" : "S.", "non-dropping-particle" : "", "parse-names" : false, "suffix" : "" } ], "container-title" : "Chronic Diseases and Injuries in Canada", "id" : "ITEM-1", "issue" : "2-3", "issued" : { "date-parts" : [ [ "2014" ] ] }, "number-of-pages" : "171-174", "title" : "Seniors' falls in Canada: Second report: Key highlights", "type" : "report", "volume" : "34" }, "uris" : [ "http://www.mendeley.com/documents/?uuid=42357ee2-1fc8-4c05-b545-295ed947196b" ] } ], "mendeley" : { "formattedCitation" : "&lt;sup&gt;49&lt;/sup&gt;", "plainTextFormattedCitation" : "49", "previouslyFormattedCitation" : "&lt;sup&gt;49&lt;/sup&gt;"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49</w:t>
      </w:r>
      <w:r w:rsidRPr="00795B8F">
        <w:rPr>
          <w:rFonts w:cs="Times New Roman"/>
        </w:rPr>
        <w:fldChar w:fldCharType="end"/>
      </w:r>
      <w:r w:rsidR="00462AE4">
        <w:rPr>
          <w:rFonts w:cs="Times New Roman"/>
        </w:rPr>
        <w:t xml:space="preserve"> and</w:t>
      </w:r>
      <w:r w:rsidRPr="00795B8F">
        <w:rPr>
          <w:rFonts w:cs="Times New Roman"/>
        </w:rPr>
        <w:t xml:space="preserve"> </w:t>
      </w:r>
      <w:r w:rsidR="00462AE4">
        <w:rPr>
          <w:rFonts w:cs="Times New Roman"/>
        </w:rPr>
        <w:t>s</w:t>
      </w:r>
      <w:r w:rsidR="00623F5A">
        <w:rPr>
          <w:rFonts w:cs="Times New Roman"/>
        </w:rPr>
        <w:t xml:space="preserve">uch </w:t>
      </w:r>
      <w:r w:rsidRPr="00795B8F">
        <w:rPr>
          <w:rFonts w:cs="Times New Roman"/>
        </w:rPr>
        <w:t xml:space="preserve">periods of muscle </w:t>
      </w:r>
      <w:r w:rsidR="00623F5A">
        <w:rPr>
          <w:rFonts w:cs="Times New Roman"/>
        </w:rPr>
        <w:t>un</w:t>
      </w:r>
      <w:r w:rsidRPr="00795B8F">
        <w:rPr>
          <w:rFonts w:cs="Times New Roman"/>
        </w:rPr>
        <w:t>loading</w:t>
      </w:r>
      <w:r w:rsidR="00623F5A">
        <w:rPr>
          <w:rFonts w:cs="Times New Roman"/>
        </w:rPr>
        <w:t xml:space="preserve"> </w:t>
      </w:r>
      <w:r w:rsidRPr="00795B8F">
        <w:rPr>
          <w:rFonts w:cs="Times New Roman"/>
        </w:rPr>
        <w:t xml:space="preserve">with bed rest or limb casting in older adults can </w:t>
      </w:r>
      <w:r w:rsidR="00623F5A">
        <w:rPr>
          <w:rFonts w:cs="Times New Roman"/>
        </w:rPr>
        <w:t>have almost irreversible consequences</w:t>
      </w:r>
      <w:r w:rsidRPr="00795B8F">
        <w:rPr>
          <w:rFonts w:cs="Times New Roman"/>
        </w:rPr>
        <w:t>.</w:t>
      </w:r>
    </w:p>
    <w:p w14:paraId="60D62E91" w14:textId="3BAD5260" w:rsidR="00875699" w:rsidRDefault="005A1D98" w:rsidP="005A1D98">
      <w:pPr>
        <w:spacing w:line="480" w:lineRule="auto"/>
        <w:ind w:firstLine="720"/>
        <w:rPr>
          <w:rFonts w:cs="Times New Roman"/>
        </w:rPr>
      </w:pPr>
      <w:r w:rsidRPr="00795B8F">
        <w:rPr>
          <w:rFonts w:cs="Times New Roman"/>
        </w:rPr>
        <w:t xml:space="preserve">Despite the inherent risks of inactivity, which </w:t>
      </w:r>
      <w:r>
        <w:rPr>
          <w:rFonts w:cs="Times New Roman"/>
        </w:rPr>
        <w:t>pose a greater risk for</w:t>
      </w:r>
      <w:r w:rsidRPr="00795B8F">
        <w:rPr>
          <w:rFonts w:cs="Times New Roman"/>
        </w:rPr>
        <w:t xml:space="preserve"> the elderly </w:t>
      </w:r>
      <w:r w:rsidR="00851834">
        <w:rPr>
          <w:rFonts w:cs="Times New Roman"/>
        </w:rPr>
        <w:t xml:space="preserve">compared </w:t>
      </w:r>
      <w:r>
        <w:rPr>
          <w:rFonts w:cs="Times New Roman"/>
        </w:rPr>
        <w:t>to younger adults</w:t>
      </w:r>
      <w:r w:rsidRPr="00795B8F">
        <w:rPr>
          <w:rFonts w:cs="Times New Roman"/>
        </w:rPr>
        <w:t xml:space="preserve">, little research has actually been conducted on </w:t>
      </w:r>
      <w:r w:rsidRPr="00795B8F">
        <w:rPr>
          <w:rFonts w:cs="Times New Roman"/>
        </w:rPr>
        <w:lastRenderedPageBreak/>
        <w:t xml:space="preserve">disuse with older adults (reviewed by </w:t>
      </w:r>
      <w:r w:rsidR="00851834">
        <w:rPr>
          <w:rFonts w:cs="Times New Roman"/>
        </w:rPr>
        <w:t>Wall et al.</w:t>
      </w:r>
      <w:r w:rsidR="00851834">
        <w:rPr>
          <w:rFonts w:cs="Times New Roman"/>
        </w:rPr>
        <w:fldChar w:fldCharType="begin" w:fldLock="1"/>
      </w:r>
      <w:r w:rsidR="00851834">
        <w:rPr>
          <w:rFonts w:cs="Times New Roman"/>
        </w:rPr>
        <w:instrText>ADDIN CSL_CITATION { "citationItems" : [ { "id" : "ITEM-1", "itemData" : { "DOI" : "10.1016/j.arr.2013.07.003", "ISBN" : "1872-9649 (Electronic)\r1568-1637 (Linking)", "ISSN" : "15681637", "PMID" : "23948422", "abstract" : "Situations such as the recovery from injury and illness can lead to enforced periods of muscle disuse or unloading. Such circumstances lead to rapid skeletal muscle atrophy, loss of functional strength and a multitude of related negative health consequences. The elderly population is particularly vulnerable to the acute challenges of muscle disuse atrophy. Any loss of skeletal muscle mass must be underpinned by a chronic imbalance between muscle protein synthesis and breakdown rates. It is recognized that muscle atrophy during prolonged (&gt;10 days) disuse is brought about primarily by declines in post-absorptive and post-prandial muscle protein synthesis rates, without a clear contribution from changes in muscle protein breakdown. Few data are available on the impact of short-term disuse (&lt;10 days) on muscle protein turnover in humans. However, indirect evidence indicates that considerable muscle atrophy occurs during this early phase, and is likely attributed to a rapid increase in muscle protein breakdown accompanied by the characteristic decline in muscle protein synthesis. Short-term disuse atrophy is of particular relevance in the development of sarcopenia, as it has been suggested that successive short periods of muscle disuse, due to sickness or injury, accumulate throughout an individual's lifespan and contributes considerably to the net muscle loss observed with aging. Research is warranted to elucidate the physiological and molecular basis for rapid muscle loss during short periods of disuse. Such mechanistic insight will allow the characterization of nutritional, exercise and/or pharmacological interventions to prevent or attenuate muscle loss during periods of disuse and therefore aid in the treatment of age-related sarcopenia. \u00a9 2013 Elsevier B.V.", "author" : [ { "dropping-particle" : "", "family" : "Wall", "given" : "Benjamin T.", "non-dropping-particle" : "", "parse-names" : false, "suffix" : "" }, { "dropping-particle" : "", "family" : "Dirks", "given" : "Marlou L.", "non-dropping-particle" : "", "parse-names" : false, "suffix" : "" }, { "dropping-particle" : "", "family" : "Loon", "given" : "Luc J C", "non-dropping-particle" : "Van", "parse-names" : false, "suffix" : "" } ], "container-title" : "Ageing Research Reviews", "id" : "ITEM-1", "issue" : "4", "issued" : { "date-parts" : [ [ "2013", "9" ] ] }, "page" : "898-906", "publisher" : "Elsevier B.V.", "title" : "Skeletal muscle atrophy during short-term disuse: Implications for age-related sarcopenia", "type" : "article-journal", "volume" : "12" }, "uris" : [ "http://www.mendeley.com/documents/?uuid=5361f506-bf3b-4a1d-b018-29d56c42ac78" ] } ], "mendeley" : { "formattedCitation" : "&lt;sup&gt;50&lt;/sup&gt;", "plainTextFormattedCitation" : "50", "previouslyFormattedCitation" : "&lt;sup&gt;50&lt;/sup&gt;" }, "properties" : { "noteIndex" : 0 }, "schema" : "https://github.com/citation-style-language/schema/raw/master/csl-citation.json" }</w:instrText>
      </w:r>
      <w:r w:rsidR="00851834">
        <w:rPr>
          <w:rFonts w:cs="Times New Roman"/>
        </w:rPr>
        <w:fldChar w:fldCharType="separate"/>
      </w:r>
      <w:r w:rsidR="00851834" w:rsidRPr="00851834">
        <w:rPr>
          <w:rFonts w:cs="Times New Roman"/>
          <w:noProof/>
          <w:vertAlign w:val="superscript"/>
        </w:rPr>
        <w:t>50</w:t>
      </w:r>
      <w:r w:rsidR="00851834">
        <w:rPr>
          <w:rFonts w:cs="Times New Roman"/>
        </w:rPr>
        <w:fldChar w:fldCharType="end"/>
      </w:r>
      <w:r w:rsidRPr="00795B8F">
        <w:rPr>
          <w:rFonts w:cs="Times New Roman"/>
        </w:rPr>
        <w:t>). Over 28 days, bed rest results in muscle mass loss at a rate of 0.2%/day</w:t>
      </w:r>
      <w:r w:rsidRPr="00795B8F">
        <w:rPr>
          <w:rFonts w:cs="Times New Roman"/>
        </w:rPr>
        <w:fldChar w:fldCharType="begin" w:fldLock="1"/>
      </w:r>
      <w:r w:rsidR="006670B1">
        <w:rPr>
          <w:rFonts w:cs="Times New Roman"/>
        </w:rPr>
        <w:instrText>ADDIN CSL_CITATION { "citationItems" : [ { "id" : "ITEM-1", "itemData" : { "DOI" : "10.1016/j.clnu.2009.03.009", "ISBN" : "0261-5614", "ISSN" : "02615614", "PMID" : "19419806", "abstract" : "Background &amp; aims: Older individuals are more likely to experience extended hospitalization and become protein malnourished during hospitalization. The concomitant compulsory inactivity results in functional decline. Increasing protein intake in hospitalized patients improves nitrogen balance, but effects on function are unknown. In the present study, we examined the effects of increasing protein intake by essential amino acid (EAA) supplementation in older individuals subjected to 10. d bed rest on LBM and muscle function. Methods: Subjects were given a placebo (n=12, 68 \u00b1 5 (SD) yrs, 83 \u00b1 19 kg) or 15. g of EAA (n=10, 71 \u00b1 6, 72 \u00b1 8 kg) 3 times per day throughout 10. d of bed rest. LBM, muscle protein synthesis, and muscle function were determined before and after bed rest. Due to an imbalance in randomized gender distribution between groups, gender and beginning functional and LBM measures were utilized for analyses by repeated measures analysis of covariance (RMANCOVA). Results: Analyses revealed the potential for the preservation of functional outcomes with EAA supplementation. Conclusions: Increasing protein intake above the RDA may preserve muscle function in the elderly during compulsory inactivity. EAA supplementation is potentially an efficient method of increasing protein intake without affecting satiety. \u00a9 2009 Elsevier Ltd and European Society for Clinical Nutrition and Metabolism.", "author" : [ { "dropping-particle" : "", "family" : "Ferrando", "given" : "Arny a.", "non-dropping-particle" : "", "parse-names" : false, "suffix" : "" }, { "dropping-particle" : "", "family" : "Paddon-Jones", "given" : "Doug", "non-dropping-particle" : "", "parse-names" : false, "suffix" : "" }, { "dropping-particle" : "", "family" : "Hays", "given" : "Nicholas P.", "non-dropping-particle" : "", "parse-names" : false, "suffix" : "" }, { "dropping-particle" : "", "family" : "Kortebein", "given" : "Patrick", "non-dropping-particle" : "", "parse-names" : false, "suffix" : "" }, { "dropping-particle" : "", "family" : "Ronsen", "given" : "Ola", "non-dropping-particle" : "", "parse-names" : false, "suffix" : "" }, { "dropping-particle" : "", "family" : "Williams", "given" : "Rick H.", "non-dropping-particle" : "", "parse-names" : false, "suffix" : "" }, { "dropping-particle" : "", "family" : "McComb", "given" : "Ashley", "non-dropping-particle" : "", "parse-names" : false, "suffix" : "" }, { "dropping-particle" : "", "family" : "Symons", "given" : "T. Brock", "non-dropping-particle" : "", "parse-names" : false, "suffix" : "" }, { "dropping-particle" : "", "family" : "Wolfe", "given" : "Robert R.", "non-dropping-particle" : "", "parse-names" : false, "suffix" : "" }, { "dropping-particle" : "", "family" : "Evans", "given" : "William", "non-dropping-particle" : "", "parse-names" : false, "suffix" : "" } ], "container-title" : "Clinical Nutrition", "id" : "ITEM-1", "issue" : "1", "issued" : { "date-parts" : [ [ "2010", "2" ] ] }, "page" : "18-23", "title" : "EAA supplementation to increase nitrogen intake improves muscle function during bed rest in the elderly", "type" : "article-journal", "volume" : "29" }, "uris" : [ "http://www.mendeley.com/documents/?uuid=48a30b09-289e-45b8-8a1c-5b33bd66e7a4" ] } ], "mendeley" : { "formattedCitation" : "&lt;sup&gt;51&lt;/sup&gt;", "plainTextFormattedCitation" : "51", "previouslyFormattedCitation" : "&lt;sup&gt;51&lt;/sup&gt;"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51</w:t>
      </w:r>
      <w:r w:rsidRPr="00795B8F">
        <w:rPr>
          <w:rFonts w:cs="Times New Roman"/>
        </w:rPr>
        <w:fldChar w:fldCharType="end"/>
      </w:r>
      <w:r w:rsidR="00623F5A">
        <w:rPr>
          <w:rFonts w:cs="Times New Roman"/>
        </w:rPr>
        <w:t>;</w:t>
      </w:r>
      <w:r w:rsidRPr="00795B8F">
        <w:rPr>
          <w:rFonts w:cs="Times New Roman"/>
        </w:rPr>
        <w:t xml:space="preserve"> however</w:t>
      </w:r>
      <w:r w:rsidR="00623F5A">
        <w:rPr>
          <w:rFonts w:cs="Times New Roman"/>
        </w:rPr>
        <w:t>,</w:t>
      </w:r>
      <w:r w:rsidRPr="00795B8F">
        <w:rPr>
          <w:rFonts w:cs="Times New Roman"/>
        </w:rPr>
        <w:t xml:space="preserve"> this </w:t>
      </w:r>
      <w:r w:rsidR="00623F5A">
        <w:rPr>
          <w:rFonts w:cs="Times New Roman"/>
        </w:rPr>
        <w:t>loss primarily occurs early during the unl</w:t>
      </w:r>
      <w:r w:rsidR="00462AE4">
        <w:rPr>
          <w:rFonts w:cs="Times New Roman"/>
        </w:rPr>
        <w:t>o</w:t>
      </w:r>
      <w:r w:rsidR="00623F5A">
        <w:rPr>
          <w:rFonts w:cs="Times New Roman"/>
        </w:rPr>
        <w:t xml:space="preserve">ading period since </w:t>
      </w:r>
      <w:r w:rsidRPr="00795B8F">
        <w:rPr>
          <w:rFonts w:cs="Times New Roman"/>
        </w:rPr>
        <w:t>the</w:t>
      </w:r>
      <w:r>
        <w:rPr>
          <w:rFonts w:cs="Times New Roman"/>
        </w:rPr>
        <w:t xml:space="preserve"> </w:t>
      </w:r>
      <w:r w:rsidR="00623F5A">
        <w:rPr>
          <w:rFonts w:cs="Times New Roman"/>
        </w:rPr>
        <w:t>rate of loss of muscle with 7-10 days</w:t>
      </w:r>
      <w:r w:rsidR="00E569AA">
        <w:rPr>
          <w:rFonts w:cs="Times New Roman"/>
        </w:rPr>
        <w:t xml:space="preserve"> of</w:t>
      </w:r>
      <w:r w:rsidR="00623F5A">
        <w:rPr>
          <w:rFonts w:cs="Times New Roman"/>
        </w:rPr>
        <w:t xml:space="preserve"> bed rest is </w:t>
      </w:r>
      <w:r>
        <w:rPr>
          <w:rFonts w:cs="Times New Roman"/>
        </w:rPr>
        <w:t>0.5-0.6%</w:t>
      </w:r>
      <w:r w:rsidR="00E569AA">
        <w:rPr>
          <w:rFonts w:cs="Times New Roman"/>
        </w:rPr>
        <w:t xml:space="preserve"> per </w:t>
      </w:r>
      <w:r w:rsidR="00623F5A">
        <w:rPr>
          <w:rFonts w:cs="Times New Roman"/>
        </w:rPr>
        <w:t>day</w:t>
      </w:r>
      <w:r>
        <w:rPr>
          <w:rFonts w:cs="Times New Roman"/>
        </w:rPr>
        <w:fldChar w:fldCharType="begin" w:fldLock="1"/>
      </w:r>
      <w:r w:rsidR="005C68EA">
        <w:rPr>
          <w:rFonts w:cs="Times New Roman"/>
        </w:rPr>
        <w:instrText>ADDIN CSL_CITATION { "citationItems" : [ { "id" : "ITEM-1", "itemData" : { "author" : [ { "dropping-particle" : "", "family" : "Kortebein", "given" : "P", "non-dropping-particle" : "", "parse-names" : false, "suffix" : "" }, { "dropping-particle" : "", "family" : "Ferrando", "given" : "A", "non-dropping-particle" : "", "parse-names" : false, "suffix" : "" }, { "dropping-particle" : "", "family" : "Lombeida", "given" : "J", "non-dropping-particle" : "", "parse-names" : false, "suffix" : "" } ], "container-title" : "Jama", "id" : "ITEM-1", "issued" : { "date-parts" : [ [ "2007" ] ] }, "page" : "4-6", "title" : "Effect of 10 Days of Bed Rest on Skeletal Muscle in Healthy Older Adults", "type" : "article-journal" }, "uris" : [ "http://www.mendeley.com/documents/?uuid=10b6a57d-9307-4ca0-a883-b8fde2f048a1" ] }, { "id" : "ITEM-2", "itemData" : { "DOI" : "10.1152/ajpendo.00603.2011", "ISSN" : "0193-1849", "PMID" : "22338078", "abstract" : "Skeletal muscle atrophy during bed rest is attributed, at least in part, to slower basal muscle protein synthesis (MPS). Essential amino acids (EAA) stimulate mammalian target of rapamycin (mTORC1) signaling, amino acid transporter expression, and MPS and are necessary for muscle mass maintenance, but there are no data on the effect of inactivity on this anabolic mechanism. We hypothesized that bed rest decreases muscle mass in older adults by blunting the EAA stimulation of MPS through reduced mTORC1 signaling and amino acid transporter expression in older adults. Six healthy older adults (67 \u00b1 2 yr) participated in a 7-day bed rest study. We used stable isotope tracers, Western blotting, and real-time qPCR to determine the effect of bed rest on MPS, muscle mTORC1 signaling, and amino acid transporter expression and content in the postabsorptive state and after acute EAA ingestion. Bed rest decreased leg lean mass by \u223c4% (P &lt; 0.05) and increased postabsorptive mTOR protein (P &lt; 0.05) levels while postabsorptive MPS was unchanged (P &gt; 0.05). Before bed rest acute EAA ingestion increased MPS, mTOR (Ser(2448)), S6 kinase 1 (Thr(389), Thr(421)/Ser(424)), and ribosomal protein S6 (Ser(240/244)) phosphorylation, activating transcription factor 4, L-type amino acid transporter 1 and sodium-coupled amino acid transporter 2 protein content (P &lt; 0.05). However, bed rest blunted the EAA-induced increase in MPS, mTORC1 signaling, and amino acid transporter protein content. We conclude that bed rest in older adults significantly attenuated the EAA-induced increase in MPS with a mechanism involving reduced mTORC1 signaling and amino acid transporter protein content. Together, our data suggest that a blunted EAA stimulation of MPS may contribute to muscle loss with inactivity in older persons.", "author" : [ { "dropping-particle" : "", "family" : "Drummond", "given" : "M. J.", "non-dropping-particle" : "", "parse-names" : false, "suffix" : "" }, { "dropping-particle" : "", "family" : "Dickinson", "given" : "J. M.", "non-dropping-particle" : "", "parse-names" : false, "suffix" : "" }, { "dropping-particle" : "", "family" : "Fry", "given" : "C. S.", "non-dropping-particle" : "", "parse-names" : false, "suffix" : "" }, { "dropping-particle" : "", "family" : "Walker", "given" : "D. K.", "non-dropping-particle" : "", "parse-names" : false, "suffix" : "" }, { "dropping-particle" : "", "family" : "Gundermann", "given" : "D. M.", "non-dropping-particle" : "", "parse-names" : false, "suffix" : "" }, { "dropping-particle" : "", "family" : "Reidy", "given" : "P. T.", "non-dropping-particle" : "", "parse-names" : false, "suffix" : "" }, { "dropping-particle" : "", "family" : "Timmerman", "given" : "K. L.", "non-dropping-particle" : "", "parse-names" : false, "suffix" : "" }, { "dropping-particle" : "", "family" : "Markofski", "given" : "M. M.", "non-dropping-particle" : "", "parse-names" : false, "suffix" : "" }, { "dropping-particle" : "", "family" : "Paddon-Jones", "given" : "D.", "non-dropping-particle" : "", "parse-names" : false, "suffix" : "" }, { "dropping-particle" : "", "family" : "Rasmussen", "given" : "B. B.", "non-dropping-particle" : "", "parse-names" : false, "suffix" : "" }, { "dropping-particle" : "", "family" : "Volpi", "given" : "E.", "non-dropping-particle" : "", "parse-names" : false, "suffix" : "" } ], "container-title" : "AJP: Endocrinology and Metabolism", "id" : "ITEM-2", "issue" : "9", "issued" : { "date-parts" : [ [ "2012", "5", "15" ] ] }, "page" : "E1113-E1122", "title" : "Bed rest impairs skeletal muscle amino acid transporter expression, mTORC1 signaling, and protein synthesis in response to essential amino acids in older adults", "type" : "article-journal", "volume" : "302" }, "uris" : [ "http://www.mendeley.com/documents/?uuid=b9cab28b-326b-427c-93be-ac50e4310459" ] }, { "id" : "ITEM-3", "itemData" : { "DOI" : "10.1016/j.clnu.2013.02.011", "ISSN" : "02615614", "PMID" : "23514626", "abstract" : "Background: Loss of muscle mass due to prolonged bed rest decreases functional capacity and increases hospital morbidity and mortality in older adults. Objective: To determine if HMB, a leucine metabolite, is capable of attenuating muscle decline in healthy older adults during complete bed rest. Design: A randomized, controlled, double-blinded, parallel-group design study was carried out in 24 healthy (SPPB\u22659) older adult subjects (20 women, 4 men), confined to complete bed rest for ten days, followed by resistance training rehabilitation for eight weeks. Subjects in the experimental group were treated with HMB (calcium salt, 1.5g twice daily - total 3g/day). Control subjects were treated with an inactive placebo powder. Treatments were provided starting 5 days prior to bed rest till the end rehabilitation phase. DXA was used to measure body composition. Results: Nineteen eligible older adults (BMI: 21-33; age: 60-76year) were evaluable at the end of the bed rest period (Control n=8; Ca-HMB n=11). Bed rest caused a significant decrease in total lean body mass (LBM) (2.05\u00b10.66kg; p=0.02, paired t-test) in the Control group. With the exclusion of one subject, treatment with HMB prevented the decline in LBM over bed rest -0.17\u00b10.19kg; p=0.23, paired t-test). There was a statistically significant difference between treatment groups for change in LBM over bed rest (p=0.02, ANOVA). Sub-analysis on female subjects (Control=7, HMB=8) also revealed a significant difference in change in LBM over bed rest between treatment groups (p=0.04, ANOVA). However, differences in function parameters could not be observed, probably due to the sample size of the study. Conclusions: In healthy older adults, HMB supplementation preserves muscle mass during 10 days of bed rest. These results need to be confirmed in a larger trial.This trial is registered at http://ClinicalTrials.gov under NCT00945581. \u00a9 2013 Elsevier Ltd and European Society for Clinical Nutrition and Metabolism.", "author" : [ { "dropping-particle" : "", "family" : "Deutz", "given" : "Nicolaas E P", "non-dropping-particle" : "", "parse-names" : false, "suffix" : "" }, { "dropping-particle" : "", "family" : "Pereira", "given" : "Suzette L.", "non-dropping-particle" : "", "parse-names" : false, "suffix" : "" }, { "dropping-particle" : "", "family" : "Hays", "given" : "Nicholas P.", "non-dropping-particle" : "", "parse-names" : false, "suffix" : "" }, { "dropping-particle" : "", "family" : "Oliver", "given" : "Jeffery S.", "non-dropping-particle" : "", "parse-names" : false, "suffix" : "" }, { "dropping-particle" : "", "family" : "Edens", "given" : "Neile K.", "non-dropping-particle" : "", "parse-names" : false, "suffix" : "" }, { "dropping-particle" : "", "family" : "Evans", "given" : "Chris M.", "non-dropping-particle" : "", "parse-names" : false, "suffix" : "" }, { "dropping-particle" : "", "family" : "Wolfe", "given" : "Robert R.", "non-dropping-particle" : "", "parse-names" : false, "suffix" : "" } ], "container-title" : "Clinical Nutrition", "id" : "ITEM-3", "issue" : "5", "issued" : { "date-parts" : [ [ "2013", "10" ] ] }, "page" : "704-712", "publisher" : "Elsevier Ltd", "title" : "Effect of \u03b2-hydroxy-\u03b2-methylbutyrate (HMB) on lean body mass during 10 days of bed rest in older adults", "type" : "article-journal", "volume" : "32" }, "uris" : [ "http://www.mendeley.com/documents/?uuid=e7a4fcc5-da64-4a51-8196-8fe2aca772ea" ] } ], "mendeley" : { "formattedCitation" : "&lt;sup&gt;52\u201354&lt;/sup&gt;", "plainTextFormattedCitation" : "52\u201354", "previouslyFormattedCitation" : "&lt;sup&gt;52\u201354&lt;/sup&gt;" }, "properties" : { "noteIndex" : 0 }, "schema" : "https://github.com/citation-style-language/schema/raw/master/csl-citation.json" }</w:instrText>
      </w:r>
      <w:r>
        <w:rPr>
          <w:rFonts w:cs="Times New Roman"/>
        </w:rPr>
        <w:fldChar w:fldCharType="separate"/>
      </w:r>
      <w:r w:rsidR="004238C1" w:rsidRPr="004238C1">
        <w:rPr>
          <w:rFonts w:cs="Times New Roman"/>
          <w:noProof/>
          <w:vertAlign w:val="superscript"/>
        </w:rPr>
        <w:t>52–54</w:t>
      </w:r>
      <w:r>
        <w:rPr>
          <w:rFonts w:cs="Times New Roman"/>
        </w:rPr>
        <w:fldChar w:fldCharType="end"/>
      </w:r>
      <w:r w:rsidR="00623F5A">
        <w:rPr>
          <w:rFonts w:cs="Times New Roman"/>
        </w:rPr>
        <w:t>.</w:t>
      </w:r>
      <w:r>
        <w:rPr>
          <w:rFonts w:cs="Times New Roman"/>
        </w:rPr>
        <w:t xml:space="preserve"> </w:t>
      </w:r>
      <w:r w:rsidR="00623F5A">
        <w:rPr>
          <w:rFonts w:cs="Times New Roman"/>
        </w:rPr>
        <w:t>Thus,</w:t>
      </w:r>
      <w:r w:rsidRPr="00795B8F">
        <w:rPr>
          <w:rFonts w:cs="Times New Roman"/>
        </w:rPr>
        <w:t xml:space="preserve"> it seems evident that the majority of muscular atrophy occurs within an </w:t>
      </w:r>
      <w:r w:rsidR="00623F5A">
        <w:rPr>
          <w:rFonts w:cs="Times New Roman"/>
        </w:rPr>
        <w:t>the early stages of disuse,</w:t>
      </w:r>
      <w:r w:rsidRPr="00795B8F">
        <w:rPr>
          <w:rFonts w:cs="Times New Roman"/>
        </w:rPr>
        <w:t xml:space="preserve"> possibly the first 10 days</w:t>
      </w:r>
      <w:r w:rsidRPr="00795B8F">
        <w:rPr>
          <w:rFonts w:cs="Times New Roman"/>
        </w:rPr>
        <w:fldChar w:fldCharType="begin" w:fldLock="1"/>
      </w:r>
      <w:r w:rsidR="006670B1">
        <w:rPr>
          <w:rFonts w:cs="Times New Roman"/>
        </w:rPr>
        <w:instrText>ADDIN CSL_CITATION { "citationItems" : [ { "id" : "ITEM-1", "itemData" : { "DOI" : "10.1016/j.arr.2013.07.003", "ISBN" : "1872-9649 (Electronic)\r1568-1637 (Linking)", "ISSN" : "15681637", "PMID" : "23948422", "abstract" : "Situations such as the recovery from injury and illness can lead to enforced periods of muscle disuse or unloading. Such circumstances lead to rapid skeletal muscle atrophy, loss of functional strength and a multitude of related negative health consequences. The elderly population is particularly vulnerable to the acute challenges of muscle disuse atrophy. Any loss of skeletal muscle mass must be underpinned by a chronic imbalance between muscle protein synthesis and breakdown rates. It is recognized that muscle atrophy during prolonged (&gt;10 days) disuse is brought about primarily by declines in post-absorptive and post-prandial muscle protein synthesis rates, without a clear contribution from changes in muscle protein breakdown. Few data are available on the impact of short-term disuse (&lt;10 days) on muscle protein turnover in humans. However, indirect evidence indicates that considerable muscle atrophy occurs during this early phase, and is likely attributed to a rapid increase in muscle protein breakdown accompanied by the characteristic decline in muscle protein synthesis. Short-term disuse atrophy is of particular relevance in the development of sarcopenia, as it has been suggested that successive short periods of muscle disuse, due to sickness or injury, accumulate throughout an individual's lifespan and contributes considerably to the net muscle loss observed with aging. Research is warranted to elucidate the physiological and molecular basis for rapid muscle loss during short periods of disuse. Such mechanistic insight will allow the characterization of nutritional, exercise and/or pharmacological interventions to prevent or attenuate muscle loss during periods of disuse and therefore aid in the treatment of age-related sarcopenia. \u00a9 2013 Elsevier B.V.", "author" : [ { "dropping-particle" : "", "family" : "Wall", "given" : "Benjamin T.", "non-dropping-particle" : "", "parse-names" : false, "suffix" : "" }, { "dropping-particle" : "", "family" : "Dirks", "given" : "Marlou L.", "non-dropping-particle" : "", "parse-names" : false, "suffix" : "" }, { "dropping-particle" : "", "family" : "Loon", "given" : "Luc J C", "non-dropping-particle" : "Van", "parse-names" : false, "suffix" : "" } ], "container-title" : "Ageing Research Reviews", "id" : "ITEM-1", "issue" : "4", "issued" : { "date-parts" : [ [ "2013", "9" ] ] }, "page" : "898-906", "publisher" : "Elsevier B.V.", "title" : "Skeletal muscle atrophy during short-term disuse: Implications for age-related sarcopenia", "type" : "article-journal", "volume" : "12" }, "uris" : [ "http://www.mendeley.com/documents/?uuid=5361f506-bf3b-4a1d-b018-29d56c42ac78" ] } ], "mendeley" : { "formattedCitation" : "&lt;sup&gt;50&lt;/sup&gt;", "plainTextFormattedCitation" : "50", "previouslyFormattedCitation" : "&lt;sup&gt;50&lt;/sup&gt;"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50</w:t>
      </w:r>
      <w:r w:rsidRPr="00795B8F">
        <w:rPr>
          <w:rFonts w:cs="Times New Roman"/>
        </w:rPr>
        <w:fldChar w:fldCharType="end"/>
      </w:r>
      <w:r w:rsidRPr="00795B8F">
        <w:rPr>
          <w:rFonts w:cs="Times New Roman"/>
        </w:rPr>
        <w:t xml:space="preserve">. It has been </w:t>
      </w:r>
      <w:r>
        <w:rPr>
          <w:rFonts w:cs="Times New Roman"/>
        </w:rPr>
        <w:t xml:space="preserve">also been </w:t>
      </w:r>
      <w:r w:rsidRPr="00795B8F">
        <w:rPr>
          <w:rFonts w:cs="Times New Roman"/>
        </w:rPr>
        <w:t>shown that</w:t>
      </w:r>
      <w:r>
        <w:rPr>
          <w:rFonts w:cs="Times New Roman"/>
        </w:rPr>
        <w:t xml:space="preserve"> leg</w:t>
      </w:r>
      <w:r w:rsidRPr="00795B8F">
        <w:rPr>
          <w:rFonts w:cs="Times New Roman"/>
        </w:rPr>
        <w:t xml:space="preserve"> </w:t>
      </w:r>
      <w:r>
        <w:rPr>
          <w:rFonts w:cs="Times New Roman"/>
        </w:rPr>
        <w:t>strength losses with 10-14</w:t>
      </w:r>
      <w:r w:rsidRPr="00795B8F">
        <w:rPr>
          <w:rFonts w:cs="Times New Roman"/>
        </w:rPr>
        <w:t xml:space="preserve"> days of bed rest </w:t>
      </w:r>
      <w:r>
        <w:rPr>
          <w:rFonts w:cs="Times New Roman"/>
        </w:rPr>
        <w:t>are 2-3x more precipitous than the resultant muscular atrophy for older adults</w:t>
      </w:r>
      <w:r>
        <w:rPr>
          <w:rFonts w:cs="Times New Roman"/>
        </w:rPr>
        <w:fldChar w:fldCharType="begin" w:fldLock="1"/>
      </w:r>
      <w:r w:rsidR="00225DB1">
        <w:rPr>
          <w:rFonts w:cs="Times New Roman"/>
        </w:rPr>
        <w:instrText>ADDIN CSL_CITATION { "citationItems" : [ { "id" : "ITEM-1", "itemData" : { "author" : [ { "dropping-particle" : "", "family" : "Kortebein", "given" : "P", "non-dropping-particle" : "", "parse-names" : false, "suffix" : "" }, { "dropping-particle" : "", "family" : "Ferrando", "given" : "A", "non-dropping-particle" : "", "parse-names" : false, "suffix" : "" }, { "dropping-particle" : "", "family" : "Lombeida", "given" : "J", "non-dropping-particle" : "", "parse-names" : false, "suffix" : "" } ], "container-title" : "Jama", "id" : "ITEM-1", "issued" : { "date-parts" : [ [ "2007" ] ] }, "page" : "4-6", "title" : "Effect of 10 Days of Bed Rest on Skeletal Muscle in Healthy Older Adults", "type" : "article-journal" }, "uris" : [ "http://www.mendeley.com/documents/?uuid=10b6a57d-9307-4ca0-a883-b8fde2f048a1" ] }, { "id" : "ITEM-2", "itemData" : { "author" : [ { "dropping-particle" : "", "family" : "Kortebein", "given" : "P", "non-dropping-particle" : "", "parse-names" : false, "suffix" : "" }, { "dropping-particle" : "", "family" : "Symons", "given" : "T Brock", "non-dropping-particle" : "", "parse-names" : false, "suffix" : "" }, { "dropping-particle" : "", "family" : "Ferrando", "given" : "Aa", "non-dropping-particle" : "", "parse-names" : false, "suffix" : "" }, { "dropping-particle" : "", "family" : "Paddon-Jones", "given" : "Douglas", "non-dropping-particle" : "", "parse-names" : false, "suffix" : "" } ], "container-title" : "The New England journal of medicine", "id" : "ITEM-2", "issued" : { "date-parts" : [ [ "2008" ] ] }, "page" : "140", "title" : "Functional impact of 10 days of bed rest in healthy older adults", "type" : "article-journal", "volume" : "7" }, "uris" : [ "http://www.mendeley.com/documents/?uuid=3f9b15f6-80bf-4bbb-8258-117c2738fc07" ] }, { "id" : "ITEM-3",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"ITEM-3", "issue" : "4", "issued" : { "date-parts" : [ [ "2009", "10" ] ] }, "page" : "1172-1180", "title" : "Effects of aging on human skeletal muscle after immobilization and retraining.", "type" : "article-journal", "volume" : "107" }, "uris" : [ "http://www.mendeley.com/documents/?uuid=03fe0af6-3cbe-40fc-8c94-5ae48ae103c2" ] }, { "id" : "ITEM-4", "itemData" : { "DOI" : "10.1016/j.clnu.2013.02.011", "ISSN" : "02615614", "PMID" : "23514626", "abstract" : "Background: Loss of muscle mass due to prolonged bed rest decreases functional capacity and increases hospital morbidity and mortality in older adults. Objective: To determine if HMB, a leucine metabolite, is capable of attenuating muscle decline in healthy older adults during complete bed rest. Design: A randomized, controlled, double-blinded, parallel-group design study was carried out in 24 healthy (SPPB\u22659) older adult subjects (20 women, 4 men), confined to complete bed rest for ten days, followed by resistance training rehabilitation for eight weeks. Subjects in the experimental group were treated with HMB (calcium salt, 1.5g twice daily - total 3g/day). Control subjects were treated with an inactive placebo powder. Treatments were provided starting 5 days prior to bed rest till the end rehabilitation phase. DXA was used to measure body composition. Results: Nineteen eligible older adults (BMI: 21-33; age: 60-76year) were evaluable at the end of the bed rest period (Control n=8; Ca-HMB n=11). Bed rest caused a significant decrease in total lean body mass (LBM) (2.05\u00b10.66kg; p=0.02, paired t-test) in the Control group. With the exclusion of one subject, treatment with HMB prevented the decline in LBM over bed rest -0.17\u00b10.19kg; p=0.23, paired t-test). There was a statistically significant difference between treatment groups for change in LBM over bed rest (p=0.02, ANOVA). Sub-analysis on female subjects (Control=7, HMB=8) also revealed a significant difference in change in LBM over bed rest between treatment groups (p=0.04, ANOVA). However, differences in function parameters could not be observed, probably due to the sample size of the study. Conclusions: In healthy older adults, HMB supplementation preserves muscle mass during 10 days of bed rest. These results need to be confirmed in a larger trial.This trial is registered at http://ClinicalTrials.gov under NCT00945581. \u00a9 2013 Elsevier Ltd and European Society for Clinical Nutrition and Metabolism.", "author" : [ { "dropping-particle" : "", "family" : "Deutz", "given" : "Nicolaas E P", "non-dropping-particle" : "", "parse-names" : false, "suffix" : "" }, { "dropping-particle" : "", "family" : "Pereira", "given" : "Suzette L.", "non-dropping-particle" : "", "parse-names" : false, "suffix" : "" }, { "dropping-particle" : "", "family" : "Hays", "given" : "Nicholas P.", "non-dropping-particle" : "", "parse-names" : false, "suffix" : "" }, { "dropping-particle" : "", "family" : "Oliver", "given" : "Jeffery S.", "non-dropping-particle" : "", "parse-names" : false, "suffix" : "" }, { "dropping-particle" : "", "family" : "Edens", "given" : "Neile K.", "non-dropping-particle" : "", "parse-names" : false, "suffix" : "" }, { "dropping-particle" : "", "family" : "Evans", "given" : "Chris M.", "non-dropping-particle" : "", "parse-names" : false, "suffix" : "" }, { "dropping-particle" : "", "family" : "Wolfe", "given" : "Robert R.", "non-dropping-particle" : "", "parse-names" : false, "suffix" : "" } ], "container-title" : "Clinical Nutrition", "id" : "ITEM-4", "issue" : "5", "issued" : { "date-parts" : [ [ "2013", "10" ] ] }, "page" : "704-712", "publisher" : "Elsevier Ltd", "title" : "Effect of \u03b2-hydroxy-\u03b2-methylbutyrate (HMB) on lean body mass during 10 days of bed rest in older adults", "type" : "article-journal", "volume" : "32" }, "uris" : [ "http://www.mendeley.com/documents/?uuid=e7a4fcc5-da64-4a51-8196-8fe2aca772ea" ] } ], "mendeley" : { "formattedCitation" : "&lt;sup&gt;52,54\u201356&lt;/sup&gt;", "plainTextFormattedCitation" : "52,54\u201356", "previouslyFormattedCitation" : "&lt;sup&gt;52,54\u201356&lt;/sup&gt;"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52,54–56</w:t>
      </w:r>
      <w:r>
        <w:rPr>
          <w:rFonts w:cs="Times New Roman"/>
        </w:rPr>
        <w:fldChar w:fldCharType="end"/>
      </w:r>
      <w:r w:rsidRPr="00795B8F">
        <w:rPr>
          <w:rFonts w:cs="Times New Roman"/>
        </w:rPr>
        <w:t xml:space="preserve">. </w:t>
      </w:r>
      <w:r>
        <w:rPr>
          <w:rFonts w:cs="Times New Roman"/>
        </w:rPr>
        <w:t>Such</w:t>
      </w:r>
      <w:r w:rsidRPr="00795B8F">
        <w:rPr>
          <w:rFonts w:cs="Times New Roman"/>
        </w:rPr>
        <w:t xml:space="preserve"> losses </w:t>
      </w:r>
      <w:r>
        <w:rPr>
          <w:rFonts w:cs="Times New Roman"/>
        </w:rPr>
        <w:t>of muscle mass and strength, seen in only a 10</w:t>
      </w:r>
      <w:r w:rsidR="00BE7FB5">
        <w:rPr>
          <w:rFonts w:cs="Times New Roman"/>
        </w:rPr>
        <w:t>-</w:t>
      </w:r>
      <w:r>
        <w:rPr>
          <w:rFonts w:cs="Times New Roman"/>
        </w:rPr>
        <w:t>d</w:t>
      </w:r>
      <w:r w:rsidR="008D168D">
        <w:rPr>
          <w:rFonts w:cs="Times New Roman"/>
        </w:rPr>
        <w:t>ay</w:t>
      </w:r>
      <w:r>
        <w:rPr>
          <w:rFonts w:cs="Times New Roman"/>
        </w:rPr>
        <w:t xml:space="preserve"> period of muscle unloading, are equivalent to those </w:t>
      </w:r>
      <w:r w:rsidRPr="00795B8F">
        <w:rPr>
          <w:rFonts w:cs="Times New Roman"/>
        </w:rPr>
        <w:t xml:space="preserve">seen annually </w:t>
      </w:r>
      <w:r>
        <w:rPr>
          <w:rFonts w:cs="Times New Roman"/>
        </w:rPr>
        <w:t>with normal aging</w:t>
      </w:r>
      <w:r w:rsidR="00BE7FB5">
        <w:rPr>
          <w:rFonts w:cs="Times New Roman"/>
        </w:rPr>
        <w:t xml:space="preserve"> and</w:t>
      </w:r>
      <w:r w:rsidR="00623F5A">
        <w:rPr>
          <w:rFonts w:cs="Times New Roman"/>
        </w:rPr>
        <w:t xml:space="preserve"> </w:t>
      </w:r>
      <w:r w:rsidR="00BE7FB5">
        <w:rPr>
          <w:rFonts w:cs="Times New Roman"/>
        </w:rPr>
        <w:t>s</w:t>
      </w:r>
      <w:r w:rsidR="00623F5A">
        <w:rPr>
          <w:rFonts w:cs="Times New Roman"/>
        </w:rPr>
        <w:t>o an appropriate formula would be that 10</w:t>
      </w:r>
      <w:r w:rsidR="008D168D">
        <w:rPr>
          <w:rFonts w:cs="Times New Roman"/>
        </w:rPr>
        <w:t xml:space="preserve"> </w:t>
      </w:r>
      <w:r w:rsidR="00623F5A">
        <w:rPr>
          <w:rFonts w:cs="Times New Roman"/>
        </w:rPr>
        <w:t>d</w:t>
      </w:r>
      <w:r w:rsidR="008D168D">
        <w:rPr>
          <w:rFonts w:cs="Times New Roman"/>
        </w:rPr>
        <w:t>ays</w:t>
      </w:r>
      <w:r w:rsidR="00623F5A">
        <w:rPr>
          <w:rFonts w:cs="Times New Roman"/>
        </w:rPr>
        <w:t xml:space="preserve"> of bed rest is equivalent to 1 year of ‘normal’ age-related muscle loss.</w:t>
      </w:r>
      <w:r>
        <w:rPr>
          <w:rFonts w:cs="Times New Roman"/>
        </w:rPr>
        <w:t xml:space="preserve"> This observation demonstrates how muscular </w:t>
      </w:r>
      <w:r w:rsidRPr="00795B8F">
        <w:rPr>
          <w:rFonts w:cs="Times New Roman"/>
        </w:rPr>
        <w:t xml:space="preserve">disuse in the elderly can markedly accelerate sarcopenia, or at least act as a compounding factor in </w:t>
      </w:r>
      <w:r>
        <w:rPr>
          <w:rFonts w:cs="Times New Roman"/>
        </w:rPr>
        <w:t xml:space="preserve">the decline in </w:t>
      </w:r>
      <w:r w:rsidRPr="00795B8F">
        <w:rPr>
          <w:rFonts w:cs="Times New Roman"/>
        </w:rPr>
        <w:t>muscle mass</w:t>
      </w:r>
      <w:r>
        <w:rPr>
          <w:rFonts w:cs="Times New Roman"/>
        </w:rPr>
        <w:t xml:space="preserve"> and strength</w:t>
      </w:r>
      <w:r w:rsidRPr="00795B8F">
        <w:rPr>
          <w:rFonts w:cs="Times New Roman"/>
        </w:rPr>
        <w:t xml:space="preserve">. Therefore, focusing </w:t>
      </w:r>
      <w:r>
        <w:rPr>
          <w:rFonts w:cs="Times New Roman"/>
        </w:rPr>
        <w:t xml:space="preserve">research efforts </w:t>
      </w:r>
      <w:r w:rsidRPr="00795B8F">
        <w:rPr>
          <w:rFonts w:cs="Times New Roman"/>
        </w:rPr>
        <w:t>on the mechani</w:t>
      </w:r>
      <w:r w:rsidR="00623F5A">
        <w:rPr>
          <w:rFonts w:cs="Times New Roman"/>
        </w:rPr>
        <w:t>sms underpinning the</w:t>
      </w:r>
      <w:r w:rsidRPr="00795B8F">
        <w:rPr>
          <w:rFonts w:cs="Times New Roman"/>
        </w:rPr>
        <w:t xml:space="preserve"> loss in muscle mass and strength over </w:t>
      </w:r>
      <w:r>
        <w:rPr>
          <w:rFonts w:cs="Times New Roman"/>
        </w:rPr>
        <w:t>such</w:t>
      </w:r>
      <w:r w:rsidRPr="00795B8F">
        <w:rPr>
          <w:rFonts w:cs="Times New Roman"/>
        </w:rPr>
        <w:t xml:space="preserve"> short-term periods </w:t>
      </w:r>
      <w:r>
        <w:rPr>
          <w:rFonts w:cs="Times New Roman"/>
        </w:rPr>
        <w:t>of disuse would yield relevant data and insight into sarcopenic mechanisms in aging persons.</w:t>
      </w:r>
    </w:p>
    <w:p w14:paraId="7F55DC21" w14:textId="6A354F62" w:rsidR="005A1D98" w:rsidRDefault="005A1D98" w:rsidP="005A1D98">
      <w:pPr>
        <w:spacing w:line="480" w:lineRule="auto"/>
        <w:ind w:firstLine="720"/>
        <w:rPr>
          <w:rFonts w:cs="Times New Roman"/>
        </w:rPr>
      </w:pPr>
      <w:r>
        <w:rPr>
          <w:rFonts w:cs="Times New Roman"/>
        </w:rPr>
        <w:t xml:space="preserve">What likely underpins the muscular atrophy seen with muscle disuse is a blunted sensitivity to the anabolic properties of dietary protein, termed </w:t>
      </w:r>
      <w:r w:rsidR="00623F5A">
        <w:rPr>
          <w:rFonts w:cs="Times New Roman"/>
        </w:rPr>
        <w:t>‘</w:t>
      </w:r>
      <w:r>
        <w:rPr>
          <w:rFonts w:cs="Times New Roman"/>
        </w:rPr>
        <w:t>anabolic resistance</w:t>
      </w:r>
      <w:r w:rsidR="00623F5A">
        <w:rPr>
          <w:rFonts w:cs="Times New Roman"/>
        </w:rPr>
        <w:t>’</w:t>
      </w:r>
      <w:r>
        <w:rPr>
          <w:rFonts w:cs="Times New Roman"/>
        </w:rPr>
        <w:t>. Glover et al</w:t>
      </w:r>
      <w:r w:rsidR="00E569AA">
        <w:rPr>
          <w:rFonts w:cs="Times New Roman"/>
        </w:rPr>
        <w:t>.</w:t>
      </w:r>
      <w:r w:rsidR="00851834">
        <w:rPr>
          <w:rFonts w:cs="Times New Roman"/>
        </w:rPr>
        <w:fldChar w:fldCharType="begin" w:fldLock="1"/>
      </w:r>
      <w:r w:rsidR="00225DB1">
        <w:rPr>
          <w:rFonts w:cs="Times New Roman"/>
        </w:rPr>
        <w:instrText>ADDIN CSL_CITATION { "citationItems" : [ { "id" : "ITEM-1", "itemData" : { "DOI" : "10.1113/jphysiol.2008.160333", "ISBN" : "0022-3751", "ISSN" : "1469-7793", "PMID" : "18955382", "abstract" : "We tested the hypothesis that increasing blood amino acid (AA) availability would counter the physical inactivity-induced reduction in muscle protein synthesis. We determined how 14 days of unilateral knee immobilization affected quadriceps myofibrillar protein synthesis (MPS) in young healthy subjects (10 men, 2 women, 21 +/- 1 years; 80.2 +/- 4.0 kg, mean +/- S.E.M.) in the post-absorptive state and after infusing AA (10% Primene) at low or high doses (43 and 261 mg kg(-1) h(-1)). Muscle cross-sectional area (MRI) and peak isometric torque declined in the immobilized leg (-5.0 +/- 1.2% and -25 +/- 3%, respectively, both P &lt; 0.005), but were unchanged (all P &gt; 0.6) in the non-immobilized leg. Immobilization induced a 27% decline in the rate of post-absorptive MPS (immobilized, 0.027 +/- 0.003: non-immobilized, 0.037 +/- 0.003% h(-1); P &lt; 0.001). Regardless of dose, AA infusion stimulated a greater rise in MPS in the non-immobilized legs; at 4 h MPS was greater by +54 +/- 12% with low dose and +68 +/- 17% with high dose AA infusion (both P &lt; 0.001). There was some evidence of delayed responsiveness of phosphorylation of Akt to high doses of AA and p70S6k at both doses but no marked differences in that of mTOR, GSK3beta or eEF2. Phosphorylation of focal adhesion kinase (Tyr(576/577)) was reduced (P &lt; 0.05) with immobilization. We observed no change in polyubiquitinated protein content after immobilization. We confirm that 14 days of immobilization reduces MPS in the post-absorptive state and this diminution is reduced but not abolished by increased provision of AA, even at high rates. The immobilization-induced decline in post-absorptive MPS with the 'anabolic resistance' to amino acids can account for much of immobilization-induced muscle atrophy.", "author" : [ { "dropping-particle" : "", "family" : "Glover", "given" : "Elisa I", "non-dropping-particle" : "", "parse-names" : false, "suffix" : "" }, { "dropping-particle" : "", "family" : "Phillips", "given" : "Stuart M", "non-dropping-particle" : "", "parse-names" : false, "suffix" : "" }, { "dropping-particle" : "", "family" : "Oates", "given" : "Bryan R", "non-dropping-particle" : "", "parse-names" : false, "suffix" : "" }, { "dropping-particle" : "", "family" : "Tang", "given" : "Jason E", "non-dropping-particle" : "", "parse-names" : false, "suffix" : "" }, { "dropping-particle" : "", "family" : "Tarnopolsky", "given" : "Mark a", "non-dropping-particle" : "", "parse-names" : false, "suffix" : "" }, { "dropping-particle" : "", "family" : "Selby", "given" : "Anna", "non-dropping-particle" : "", "parse-names" : false, "suffix" : "" }, { "dropping-particle" : "", "family" : "Smith", "given" : "Kenneth", "non-dropping-particle" : "", "parse-names" : false, "suffix" : "" }, { "dropping-particle" : "", "family" : "Rennie", "given" : "Michael J", "non-dropping-particle" : "", "parse-names" : false, "suffix" : "" } ], "container-title" : "The Journal of physiology", "id" : "ITEM-1", "issue" : "Pt 24", "issued" : { "date-parts" : [ [ "2008", "12", "15" ] ] }, "page" : "6049-6061", "title" : "Immobilization induces anabolic resistance in human myofibrillar protein synthesis with low and high dose amino acid infusion.", "type" : "article-journal", "volume" : "586" }, "uris" : [ "http://www.mendeley.com/documents/?uuid=f66dabfc-e949-4056-8754-e2e88db633e3" ] } ], "mendeley" : { "formattedCitation" : "&lt;sup&gt;57&lt;/sup&gt;", "plainTextFormattedCitation" : "57", "previouslyFormattedCitation" : "&lt;sup&gt;57&lt;/sup&gt;" }, "properties" : { "noteIndex" : 0 }, "schema" : "https://github.com/citation-style-language/schema/raw/master/csl-citation.json" }</w:instrText>
      </w:r>
      <w:r w:rsidR="00851834">
        <w:rPr>
          <w:rFonts w:cs="Times New Roman"/>
        </w:rPr>
        <w:fldChar w:fldCharType="separate"/>
      </w:r>
      <w:r w:rsidR="003605CC" w:rsidRPr="003605CC">
        <w:rPr>
          <w:rFonts w:cs="Times New Roman"/>
          <w:noProof/>
          <w:vertAlign w:val="superscript"/>
        </w:rPr>
        <w:t>57</w:t>
      </w:r>
      <w:r w:rsidR="00851834">
        <w:rPr>
          <w:rFonts w:cs="Times New Roman"/>
        </w:rPr>
        <w:fldChar w:fldCharType="end"/>
      </w:r>
      <w:r w:rsidR="00851834">
        <w:rPr>
          <w:rFonts w:cs="Times New Roman"/>
        </w:rPr>
        <w:t xml:space="preserve"> </w:t>
      </w:r>
      <w:r>
        <w:rPr>
          <w:rFonts w:cs="Times New Roman"/>
        </w:rPr>
        <w:t xml:space="preserve">found that amino acid infusion stimulated a greater rise in MPS in a normally active limb (control leg) compared to an immobilized leg. Older adults, whose skeletal muscle already possesses an inherent anabolic </w:t>
      </w:r>
      <w:r>
        <w:rPr>
          <w:rFonts w:cs="Times New Roman"/>
        </w:rPr>
        <w:lastRenderedPageBreak/>
        <w:t>resistance</w:t>
      </w:r>
      <w:r>
        <w:rPr>
          <w:rFonts w:cs="Times New Roman"/>
        </w:rPr>
        <w:fldChar w:fldCharType="begin" w:fldLock="1"/>
      </w:r>
      <w:r w:rsidR="00225DB1">
        <w:rPr>
          <w:rFonts w:cs="Times New Roman"/>
        </w:rPr>
        <w:instrText>ADDIN CSL_CITATION { "citationItems" : [ { "id" : "ITEM-1", "itemData" : { "DOI" : "10.1093/gerona/glu103", "ISSN" : "1079-5006", "PMID" : "25056502", "abstract" : "BACKGROUND: Adequate protein ingestion-mediated stimulation of myofibrillar protein synthesis (MPS) is required to maintain skeletal muscle mass. It is currently unknown what per meal protein intake is required to maximally stimulate the response in older men and whether it differs from that of younger men.\\n\\nMETHODS: We retrospectively analyzed data from our laboratories that measured MPS in healthy older (~71 years) and younger (~22 years) men by primed constant infusion of l-ring-[(13)C6]phenylalanine after ingestion of varying amounts (0-40 g) of high-quality dietary protein as a single bolus and normalized to body mass and, where available, lean body mass (LBM).\\n\\nRESULTS: There was no difference (p = .53) in basal MPS rates between older (0.027\u00b10.04%/h; means \u00b1 95% CI) and young (0.028 \u00b1 0.03%/h) men. Biphase linear regression and breakpoint analysis revealed the slope of first line segment was lower (p &lt; .05) in older men and that MPS reached a plateau after ingestion of 0.40 \u00b1 0.19 and 0.24 \u00b1 0.06 g/kg body mass (p = .055) and 0.60 \u00b1 0.29 and 0.25 \u00b1 0.13 g/kg lean body mass (p &lt; .01) in older and younger men, respectively.\\n\\nCONCLUSIONS: This is the first report of the relative (to body weight) protein ingested dose response of MPS in younger and older men. Our data suggest that healthy older men are less sensitive to low protein intakes and require a greater relative protein intake, in a single meal, than young men to maximally stimulate postprandial rates of MPS. These results should be considered when developing nutritional solutions to maximize MPS for the maintenance or enhancement of muscle mass with advancing age.", "author" : [ { "dropping-particle" : "", "family" : "Moore", "given" : "D. R.", "non-dropping-particle" : "", "parse-names" : false, "suffix" : "" }, { "dropping-particle" : "", "family" : "Churchward-Venne", "given" : "T. a.", "non-dropping-particle" : "", "parse-names" : false, "suffix" : "" }, { "dropping-particle" : "", "family" : "Witard", "given" : "O.", "non-dropping-particle" : "", "parse-names" : false, "suffix" : "" }, { "dropping-particle" : "", "family" : "Breen", "given" : "L.", "non-dropping-particle" : "", "parse-names" : false, "suffix" : "" }, { "dropping-particle" : "", "family" : "Burd", "given" : "N. a.", "non-dropping-particle" : "", "parse-names" : false, "suffix" : "" }, { "dropping-particle" : "", "family" : "Tipton", "given" : "K. D.", "non-dropping-particle" : "", "parse-names" : false, "suffix" : "" }, { "dropping-particle" : "", "family" : "Phillips", "given" : "S. M.", "non-dropping-particle" : "", "parse-names" : false, "suffix" : "" } ], "container-title" : "The Journals of Gerontology Series A: Biological Sciences and Medical Sciences", "id" : "ITEM-1", "issue" : "9", "issued" : { "date-parts" : [ [ "2014", "7", "23" ] ] }, "page" : "5-8", "title" : "Protein Ingestion to Stimulate Myofibrillar Protein Synthesis Requires Greater Relative Protein Intakes in Healthy Older Versus Younger Men", "type" : "article-journal" }, "uris" : [ "http://www.mendeley.com/documents/?uuid=979f899e-7039-49e1-bb8d-fd411306cbd4" ] } ], "mendeley" : { "formattedCitation" : "&lt;sup&gt;58&lt;/sup&gt;", "plainTextFormattedCitation" : "58", "previouslyFormattedCitation" : "&lt;sup&gt;58&lt;/sup&gt;"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58</w:t>
      </w:r>
      <w:r>
        <w:rPr>
          <w:rFonts w:cs="Times New Roman"/>
        </w:rPr>
        <w:fldChar w:fldCharType="end"/>
      </w:r>
      <w:r>
        <w:rPr>
          <w:rFonts w:cs="Times New Roman"/>
        </w:rPr>
        <w:t>, also exhibit a blunt</w:t>
      </w:r>
      <w:r w:rsidR="00623F5A">
        <w:rPr>
          <w:rFonts w:cs="Times New Roman"/>
        </w:rPr>
        <w:t xml:space="preserve">ed feeding-induced </w:t>
      </w:r>
      <w:r>
        <w:rPr>
          <w:rFonts w:cs="Times New Roman"/>
        </w:rPr>
        <w:t xml:space="preserve">MPS </w:t>
      </w:r>
      <w:r w:rsidR="00623F5A">
        <w:rPr>
          <w:rFonts w:cs="Times New Roman"/>
        </w:rPr>
        <w:t xml:space="preserve">response </w:t>
      </w:r>
      <w:r>
        <w:rPr>
          <w:rFonts w:cs="Times New Roman"/>
        </w:rPr>
        <w:t>with muscle disuse anywhere from 21-40%</w:t>
      </w:r>
      <w:r>
        <w:rPr>
          <w:rFonts w:cs="Times New Roman"/>
        </w:rPr>
        <w:fldChar w:fldCharType="begin" w:fldLock="1"/>
      </w:r>
      <w:r w:rsidR="005C68EA">
        <w:rPr>
          <w:rFonts w:cs="Times New Roman"/>
        </w:rPr>
        <w:instrText>ADDIN CSL_CITATION { "citationItems" : [ { "id" : "ITEM-1", "itemData" : { "author" : [ { "dropping-particle" : "", "family" : "Kortebein", "given" : "P", "non-dropping-particle" : "", "parse-names" : false, "suffix" : "" }, { "dropping-particle" : "", "family" : "Ferrando", "given" : "A", "non-dropping-particle" : "", "parse-names" : false, "suffix" : "" }, { "dropping-particle" : "", "family" : "Lombeida", "given" : "J", "non-dropping-particle" : "", "parse-names" : false, "suffix" : "" } ], "container-title" : "Jama", "id" : "ITEM-1", "issued" : { "date-parts" : [ [ "2007" ] ] }, "page" : "4-6", "title" : "Effect of 10 Days of Bed Rest on Skeletal Muscle in Healthy Older Adults", "type" : "article-journal" }, "uris" : [ "http://www.mendeley.com/documents/?uuid=10b6a57d-9307-4ca0-a883-b8fde2f048a1" ] }, { "id" : "ITEM-2", "itemData" : { "DOI" : "10.1016/j.clnu.2009.03.009", "ISBN" : "0261-5614", "ISSN" : "02615614", "PMID" : "19419806", "abstract" : "Background &amp; aims: Older individuals are more likely to experience extended hospitalization and become protein malnourished during hospitalization. The concomitant compulsory inactivity results in functional decline. Increasing protein intake in hospitalized patients improves nitrogen balance, but effects on function are unknown. In the present study, we examined the effects of increasing protein intake by essential amino acid (EAA) supplementation in older individuals subjected to 10. d bed rest on LBM and muscle function. Methods: Subjects were given a placebo (n=12, 68 \u00b1 5 (SD) yrs, 83 \u00b1 19 kg) or 15. g of EAA (n=10, 71 \u00b1 6, 72 \u00b1 8 kg) 3 times per day throughout 10. d of bed rest. LBM, muscle protein synthesis, and muscle function were determined before and after bed rest. Due to an imbalance in randomized gender distribution between groups, gender and beginning functional and LBM measures were utilized for analyses by repeated measures analysis of covariance (RMANCOVA). Results: Analyses revealed the potential for the preservation of functional outcomes with EAA supplementation. Conclusions: Increasing protein intake above the RDA may preserve muscle function in the elderly during compulsory inactivity. EAA supplementation is potentially an efficient method of increasing protein intake without affecting satiety. \u00a9 2009 Elsevier Ltd and European Society for Clinical Nutrition and Metabolism.", "author" : [ { "dropping-particle" : "", "family" : "Ferrando", "given" : "Arny a.", "non-dropping-particle" : "", "parse-names" : false, "suffix" : "" }, { "dropping-particle" : "", "family" : "Paddon-Jones", "given" : "Doug", "non-dropping-particle" : "", "parse-names" : false, "suffix" : "" }, { "dropping-particle" : "", "family" : "Hays", "given" : "Nicholas P.", "non-dropping-particle" : "", "parse-names" : false, "suffix" : "" }, { "dropping-particle" : "", "family" : "Kortebein", "given" : "Patrick", "non-dropping-particle" : "", "parse-names" : false, "suffix" : "" }, { "dropping-particle" : "", "family" : "Ronsen", "given" : "Ola", "non-dropping-particle" : "", "parse-names" : false, "suffix" : "" }, { "dropping-particle" : "", "family" : "Williams", "given" : "Rick H.", "non-dropping-particle" : "", "parse-names" : false, "suffix" : "" }, { "dropping-particle" : "", "family" : "McComb", "given" : "Ashley", "non-dropping-particle" : "", "parse-names" : false, "suffix" : "" }, { "dropping-particle" : "", "family" : "Symons", "given" : "T. Brock", "non-dropping-particle" : "", "parse-names" : false, "suffix" : "" }, { "dropping-particle" : "", "family" : "Wolfe", "given" : "Robert R.", "non-dropping-particle" : "", "parse-names" : false, "suffix" : "" }, { "dropping-particle" : "", "family" : "Evans", "given" : "William", "non-dropping-particle" : "", "parse-names" : false, "suffix" : "" } ], "container-title" : "Clinical Nutrition", "id" : "ITEM-2", "issue" : "1", "issued" : { "date-parts" : [ [ "2010", "2" ] ] }, "page" : "18-23", "title" : "EAA supplementation to increase nitrogen intake improves muscle function during bed rest in the elderly", "type" : "article-journal", "volume" : "29" }, "uris" : [ "http://www.mendeley.com/documents/?uuid=48a30b09-289e-45b8-8a1c-5b33bd66e7a4" ] }, { "id" : "ITEM-3", "itemData" : { "DOI" : "10.1152/ajpendo.00603.2011", "ISSN" : "0193-1849", "PMID" : "22338078", "abstract" : "Skeletal muscle atrophy during bed rest is attributed, at least in part, to slower basal muscle protein synthesis (MPS). Essential amino acids (EAA) stimulate mammalian target of rapamycin (mTORC1) signaling, amino acid transporter expression, and MPS and are necessary for muscle mass maintenance, but there are no data on the effect of inactivity on this anabolic mechanism. We hypothesized that bed rest decreases muscle mass in older adults by blunting the EAA stimulation of MPS through reduced mTORC1 signaling and amino acid transporter expression in older adults. Six healthy older adults (67 \u00b1 2 yr) participated in a 7-day bed rest study. We used stable isotope tracers, Western blotting, and real-time qPCR to determine the effect of bed rest on MPS, muscle mTORC1 signaling, and amino acid transporter expression and content in the postabsorptive state and after acute EAA ingestion. Bed rest decreased leg lean mass by \u223c4% (P &lt; 0.05) and increased postabsorptive mTOR protein (P &lt; 0.05) levels while postabsorptive MPS was unchanged (P &gt; 0.05). Before bed rest acute EAA ingestion increased MPS, mTOR (Ser(2448)), S6 kinase 1 (Thr(389), Thr(421)/Ser(424)), and ribosomal protein S6 (Ser(240/244)) phosphorylation, activating transcription factor 4, L-type amino acid transporter 1 and sodium-coupled amino acid transporter 2 protein content (P &lt; 0.05). However, bed rest blunted the EAA-induced increase in MPS, mTORC1 signaling, and amino acid transporter protein content. We conclude that bed rest in older adults significantly attenuated the EAA-induced increase in MPS with a mechanism involving reduced mTORC1 signaling and amino acid transporter protein content. Together, our data suggest that a blunted EAA stimulation of MPS may contribute to muscle loss with inactivity in older persons.", "author" : [ { "dropping-particle" : "", "family" : "Drummond", "given" : "M. J.", "non-dropping-particle" : "", "parse-names" : false, "suffix" : "" }, { "dropping-particle" : "", "family" : "Dickinson", "given" : "J. M.", "non-dropping-particle" : "", "parse-names" : false, "suffix" : "" }, { "dropping-particle" : "", "family" : "Fry", "given" : "C. S.", "non-dropping-particle" : "", "parse-names" : false, "suffix" : "" }, { "dropping-particle" : "", "family" : "Walker", "given" : "D. K.", "non-dropping-particle" : "", "parse-names" : false, "suffix" : "" }, { "dropping-particle" : "", "family" : "Gundermann", "given" : "D. M.", "non-dropping-particle" : "", "parse-names" : false, "suffix" : "" }, { "dropping-particle" : "", "family" : "Reidy", "given" : "P. T.", "non-dropping-particle" : "", "parse-names" : false, "suffix" : "" }, { "dropping-particle" : "", "family" : "Timmerman", "given" : "K. L.", "non-dropping-particle" : "", "parse-names" : false, "suffix" : "" }, { "dropping-particle" : "", "family" : "Markofski", "given" : "M. M.", "non-dropping-particle" : "", "parse-names" : false, "suffix" : "" }, { "dropping-particle" : "", "family" : "Paddon-Jones", "given" : "D.", "non-dropping-particle" : "", "parse-names" : false, "suffix" : "" }, { "dropping-particle" : "", "family" : "Rasmussen", "given" : "B. B.", "non-dropping-particle" : "", "parse-names" : false, "suffix" : "" }, { "dropping-particle" : "", "family" : "Volpi", "given" : "E.", "non-dropping-particle" : "", "parse-names" : false, "suffix" : "" } ], "container-title" : "AJP: Endocrinology and Metabolism", "id" : "ITEM-3", "issue" : "9", "issued" : { "date-parts" : [ [ "2012", "5", "15" ] ] }, "page" : "E1113-E1122", "title" : "Bed rest impairs skeletal muscle amino acid transporter expression, mTORC1 signaling, and protein synthesis in response to essential amino acids in older adults", "type" : "article-journal", "volume" : "302" }, "uris" : [ "http://www.mendeley.com/documents/?uuid=b9cab28b-326b-427c-93be-ac50e4310459" ] }, { "id" : "ITEM-4", "itemData" : { "DOI" : "10.1016/j.clnu.2013.02.011", "ISSN" : "02615614", "PMID" : "23514626", "abstract" : "Background: Loss of muscle mass due to prolonged bed rest decreases functional capacity and increases hospital morbidity and mortality in older adults. Objective: To determine if HMB, a leucine metabolite, is capable of attenuating muscle decline in healthy older adults during complete bed rest. Design: A randomized, controlled, double-blinded, parallel-group design study was carried out in 24 healthy (SPPB\u22659) older adult subjects (20 women, 4 men), confined to complete bed rest for ten days, followed by resistance training rehabilitation for eight weeks. Subjects in the experimental group were treated with HMB (calcium salt, 1.5g twice daily - total 3g/day). Control subjects were treated with an inactive placebo powder. Treatments were provided starting 5 days prior to bed rest till the end rehabilitation phase. DXA was used to measure body composition. Results: Nineteen eligible older adults (BMI: 21-33; age: 60-76year) were evaluable at the end of the bed rest period (Control n=8; Ca-HMB n=11). Bed rest caused a significant decrease in total lean body mass (LBM) (2.05\u00b10.66kg; p=0.02, paired t-test) in the Control group. With the exclusion of one subject, treatment with HMB prevented the decline in LBM over bed rest -0.17\u00b10.19kg; p=0.23, paired t-test). There was a statistically significant difference between treatment groups for change in LBM over bed rest (p=0.02, ANOVA). Sub-analysis on female subjects (Control=7, HMB=8) also revealed a significant difference in change in LBM over bed rest between treatment groups (p=0.04, ANOVA). However, differences in function parameters could not be observed, probably due to the sample size of the study. Conclusions: In healthy older adults, HMB supplementation preserves muscle mass during 10 days of bed rest. These results need to be confirmed in a larger trial.This trial is registered at http://ClinicalTrials.gov under NCT00945581. \u00a9 2013 Elsevier Ltd and European Society for Clinical Nutrition and Metabolism.", "author" : [ { "dropping-particle" : "", "family" : "Deutz", "given" : "Nicolaas E P", "non-dropping-particle" : "", "parse-names" : false, "suffix" : "" }, { "dropping-particle" : "", "family" : "Pereira", "given" : "Suzette L.", "non-dropping-particle" : "", "parse-names" : false, "suffix" : "" }, { "dropping-particle" : "", "family" : "Hays", "given" : "Nicholas P.", "non-dropping-particle" : "", "parse-names" : false, "suffix" : "" }, { "dropping-particle" : "", "family" : "Oliver", "given" : "Jeffery S.", "non-dropping-particle" : "", "parse-names" : false, "suffix" : "" }, { "dropping-particle" : "", "family" : "Edens", "given" : "Neile K.", "non-dropping-particle" : "", "parse-names" : false, "suffix" : "" }, { "dropping-particle" : "", "family" : "Evans", "given" : "Chris M.", "non-dropping-particle" : "", "parse-names" : false, "suffix" : "" }, { "dropping-particle" : "", "family" : "Wolfe", "given" : "Robert R.", "non-dropping-particle" : "", "parse-names" : false, "suffix" : "" } ], "container-title" : "Clinical Nutrition", "id" : "ITEM-4", "issue" : "5", "issued" : { "date-parts" : [ [ "2013", "10" ] ] }, "page" : "704-712", "publisher" : "Elsevier Ltd", "title" : "Effect of \u03b2-hydroxy-\u03b2-methylbutyrate (HMB) on lean body mass during 10 days of bed rest in older adults", "type" : "article-journal", "volume" : "32" }, "uris" : [ "http://www.mendeley.com/documents/?uuid=e7a4fcc5-da64-4a51-8196-8fe2aca772ea" ] } ], "mendeley" : { "formattedCitation" : "&lt;sup&gt;51\u201354&lt;/sup&gt;", "plainTextFormattedCitation" : "51\u201354", "previouslyFormattedCitation" : "&lt;sup&gt;51\u201354&lt;/sup&gt;" }, "properties" : { "noteIndex" : 0 }, "schema" : "https://github.com/citation-style-language/schema/raw/master/csl-citation.json" }</w:instrText>
      </w:r>
      <w:r>
        <w:rPr>
          <w:rFonts w:cs="Times New Roman"/>
        </w:rPr>
        <w:fldChar w:fldCharType="separate"/>
      </w:r>
      <w:r w:rsidR="004238C1" w:rsidRPr="004238C1">
        <w:rPr>
          <w:rFonts w:cs="Times New Roman"/>
          <w:noProof/>
          <w:vertAlign w:val="superscript"/>
        </w:rPr>
        <w:t>51–54</w:t>
      </w:r>
      <w:r>
        <w:rPr>
          <w:rFonts w:cs="Times New Roman"/>
        </w:rPr>
        <w:fldChar w:fldCharType="end"/>
      </w:r>
      <w:r w:rsidR="00623F5A">
        <w:rPr>
          <w:rFonts w:cs="Times New Roman"/>
        </w:rPr>
        <w:t xml:space="preserve">; however, an unresolved question </w:t>
      </w:r>
      <w:r>
        <w:rPr>
          <w:rFonts w:cs="Times New Roman"/>
        </w:rPr>
        <w:t>is whether or not sexual</w:t>
      </w:r>
      <w:r w:rsidR="00623F5A">
        <w:rPr>
          <w:rFonts w:cs="Times New Roman"/>
        </w:rPr>
        <w:t xml:space="preserve"> </w:t>
      </w:r>
      <w:r>
        <w:rPr>
          <w:rFonts w:cs="Times New Roman"/>
        </w:rPr>
        <w:t>dimorphi</w:t>
      </w:r>
      <w:r w:rsidR="00623F5A">
        <w:rPr>
          <w:rFonts w:cs="Times New Roman"/>
        </w:rPr>
        <w:t>sm</w:t>
      </w:r>
      <w:r>
        <w:rPr>
          <w:rFonts w:cs="Times New Roman"/>
        </w:rPr>
        <w:t xml:space="preserve"> exist</w:t>
      </w:r>
      <w:r w:rsidR="00623F5A">
        <w:rPr>
          <w:rFonts w:cs="Times New Roman"/>
        </w:rPr>
        <w:t>s</w:t>
      </w:r>
      <w:r>
        <w:rPr>
          <w:rFonts w:cs="Times New Roman"/>
        </w:rPr>
        <w:t xml:space="preserve"> </w:t>
      </w:r>
      <w:r w:rsidR="00623F5A">
        <w:rPr>
          <w:rFonts w:cs="Times New Roman"/>
        </w:rPr>
        <w:t xml:space="preserve">in this response. </w:t>
      </w:r>
      <w:r>
        <w:rPr>
          <w:rFonts w:cs="Times New Roman"/>
        </w:rPr>
        <w:t>W</w:t>
      </w:r>
      <w:r w:rsidRPr="00EE257D">
        <w:rPr>
          <w:rFonts w:cs="Times New Roman"/>
        </w:rPr>
        <w:t>hile most</w:t>
      </w:r>
      <w:r w:rsidRPr="00EE257D">
        <w:rPr>
          <w:lang w:val="en-US"/>
        </w:rPr>
        <w:t xml:space="preserve"> research examining short-term unloading in younger adults</w:t>
      </w:r>
      <w:r w:rsidRPr="00EE257D">
        <w:rPr>
          <w:lang w:val="en-US"/>
        </w:rPr>
        <w:fldChar w:fldCharType="begin" w:fldLock="1"/>
      </w:r>
      <w:r w:rsidR="00225DB1">
        <w:rPr>
          <w:lang w:val="en-US"/>
        </w:rPr>
        <w:instrText>ADDIN CSL_CITATION { "citationItems" : [ { "id" : "ITEM-1", "itemData" : { "DOI" : "10.1139/H10-067", "ISBN" : "1715-5312 (Print)", "ISSN" : "1715-5312", "PMID" : "20962927", "abstract" : "The term \"saropenia\" was coined by Irwin Rosenberg in 1989 to refer to age-related loss of skeletal muscle mass. The purpose of this current opinion is to provide an evolutionary overview of sarcopenia research since 1989. This includes the creation of an operational definition of sarcopenia; consideration of the impacts of sarcopenia on physical function, chronic disease, and mortality risk; the distinction between the process of sarcopenia and the process of age-related loss of muscle strength, a phenomenon that has recently been termed dynapenia; a comparison of the independent effects of sarcopenia and dynapenia on physical function, chronic disease, and mortality risk; and consideration of the combined influence of sarcopenia and dynapenia with obesity (i.e., sarcopenic-obesity and dynapenic-obesity) on physical function, chronic disease, and mortality risk.", "author" : [ { "dropping-particle" : "", "family" : "Janssen", "given" : "Ian", "non-dropping-particle" : "", "parse-names" : false, "suffix" : "" } ], "container-title" : "Applied physiology, nutrition, and metabolism = Physiologie appliquee, nutrition et metabolisme", "id" : "ITEM-1", "issue" : "5", "issued" : { "date-parts" : [ [ "2010", "10" ] ] }, "page" : "707-712", "title" : "Evolution of sarcopenia research.", "type" : "article-journal", "volume" : "35" }, "uris" : [ "http://www.mendeley.com/documents/?uuid=457324d8-d159-4c6c-b4fc-476198cdae6a" ] }, { "id" : "ITEM-2", "itemData" : { "DOI" : "10.1113/jphysiol.2008.160333", "ISBN" : "0022-3751", "ISSN" : "1469-7793", "PMID" : "18955382", "abstract" : "We tested the hypothesis that increasing blood amino acid (AA) availability would counter the physical inactivity-induced reduction in muscle protein synthesis. We determined how 14 days of unilateral knee immobilization affected quadriceps myofibrillar protein synthesis (MPS) in young healthy subjects (10 men, 2 women, 21 +/- 1 years; 80.2 +/- 4.0 kg, mean +/- S.E.M.) in the post-absorptive state and after infusing AA (10% Primene) at low or high doses (43 and 261 mg kg(-1) h(-1)). Muscle cross-sectional area (MRI) and peak isometric torque declined in the immobilized leg (-5.0 +/- 1.2% and -25 +/- 3%, respectively, both P &lt; 0.005), but were unchanged (all P &gt; 0.6) in the non-immobilized leg. Immobilization induced a 27% decline in the rate of post-absorptive MPS (immobilized, 0.027 +/- 0.003: non-immobilized, 0.037 +/- 0.003% h(-1); P &lt; 0.001). Regardless of dose, AA infusion stimulated a greater rise in MPS in the non-immobilized legs; at 4 h MPS was greater by +54 +/- 12% with low dose and +68 +/- 17% with high dose AA infusion (both P &lt; 0.001). There was some evidence of delayed responsiveness of phosphorylation of Akt to high doses of AA and p70S6k at both doses but no marked differences in that of mTOR, GSK3beta or eEF2. Phosphorylation of focal adhesion kinase (Tyr(576/577)) was reduced (P &lt; 0.05) with immobilization. We observed no change in polyubiquitinated protein content after immobilization. We confirm that 14 days of immobilization reduces MPS in the post-absorptive state and this diminution is reduced but not abolished by increased provision of AA, even at high rates. The immobilization-induced decline in post-absorptive MPS with the 'anabolic resistance' to amino acids can account for much of immobilization-induced muscle atrophy.", "author" : [ { "dropping-particle" : "", "family" : "Glover", "given" : "Elisa I", "non-dropping-particle" : "", "parse-names" : false, "suffix" : "" }, { "dropping-particle" : "", "family" : "Phillips", "given" : "Stuart M", "non-dropping-particle" : "", "parse-names" : false, "suffix" : "" }, { "dropping-particle" : "", "family" : "Oates", "given" : "Bryan R", "non-dropping-particle" : "", "parse-names" : false, "suffix" : "" }, { "dropping-particle" : "", "family" : "Tang", "given" : "Jason E", "non-dropping-particle" : "", "parse-names" : false, "suffix" : "" }, { "dropping-particle" : "", "family" : "Tarnopolsky", "given" : "Mark a", "non-dropping-particle" : "", "parse-names" : false, "suffix" : "" }, { "dropping-particle" : "", "family" : "Selby", "given" : "Anna", "non-dropping-particle" : "", "parse-names" : false, "suffix" : "" }, { "dropping-particle" : "", "family" : "Smith", "given" : "Kenneth", "non-dropping-particle" : "", "parse-names" : false, "suffix" : "" }, { "dropping-particle" : "", "family" : "Rennie", "given" : "Michael J", "non-dropping-particle" : "", "parse-names" : false, "suffix" : "" } ], "container-title" : "The Journal of physiology", "id" : "ITEM-2", "issue" : "Pt 24", "issued" : { "date-parts" : [ [ "2008", "12", "15" ] ] }, "page" : "6049-6061", "title" : "Immobilization induces anabolic resistance in human myofibrillar protein synthesis with low and high dose amino acid infusion.", "type" : "article-journal", "volume" : "586" }, "uris" : [ "http://www.mendeley.com/documents/?uuid=f66dabfc-e949-4056-8754-e2e88db633e3" ] }, { "id" : "ITEM-3", "itemData" : { "DOI" : "10.1186/2042-6410-3-11", "ISSN" : "2042-6410", "PMID" : "22620287", "abstract" : "BACKGROUND: Although there appear to be no differences in muscle protein turnover in young and middle aged men and women, we have reported significant differences in the rate of muscle protein synthesis between older adult men and women. This suggests that aging may affect muscle protein turnover differently in men and women.\\n\\nMETHODS: We measured the skeletal muscle protein fractional synthesis rate (FSR) by using stable isotope-labeled tracer methods during basal postabsorptive conditions and during a hyperaminoacidemic-hyperinsulinemic-euglycemic clamp in eight young men (25-45 y), ten young women (25-45 y), ten old men (65-85 y) and ten old women (65-85 y).\\n\\nRESULTS: The basal muscle protein FSR was not different in young and old men (0.040\u2009\u00b1\u20090.004 and 0.043\u2009\u00b1\u20090.005%\u00b7h-1, respectively) and combined insulin, glucose and amino acid infusion significantly increased the muscle protein FSR both in young (to 0.063\u2009\u00b1\u20090.006%\u00b7h-1) and old (to 0.051\u2009\u00b1\u20090.008%\u00b7h-1) men but the increase (0.023\u2009\u00b1\u20090.004 vs. 0.009\u2009\u00b1\u20090.004%\u00b7h-1, respectively) was ~60% less in the old men (P\u2009=\u20090.03). In contrast, the basal muscle protein FSR was ~30% greater in old than young women (0.060\u2009\u00b1\u20090.003 vs. 0.046\u2009\u00b1\u20090.004%\u00b7h-1, respectively; P\u2009&lt;\u20090.05) and combined insulin, glucose and amino acid infusion significantly increased the muscle protein FSR in young (P\u2009&lt;\u20090.01) but not in old women (P\u2009=\u20090.10) so that the FSR was not different between young and old women during the clamp (0.074\u2009\u00b1\u20090.006%\u00b7h-1 vs. 0.072\u2009\u00b1\u20090.006%\u00b7h-1, respectively).\\n\\nCONCLUSIONS: There is sexual dimorphism in the age-related changes in muscle protein synthesis and thus the metabolic processes responsible for the age-related decline in muscle mass.", "author" : [ { "dropping-particle" : "", "family" : "Smith", "given" : "Gordon I", "non-dropping-particle" : "", "parse-names" : false, "suffix" : "" }, { "dropping-particle" : "", "family" : "Reeds", "given" : "Dominic N", "non-dropping-particle" : "", "parse-names" : false, "suffix" : "" }, { "dropping-particle" : "", "family" : "Hall", "given" : "Angela M", "non-dropping-particle" : "", "parse-names" : false, "suffix" : "" }, { "dropping-particle" : "", "family" : "Chambers", "given" : "Kari T", "non-dropping-particle" : "", "parse-names" : false, "suffix" : "" }, { "dropping-particle" : "", "family" : "Finck", "given" : "Brian N", "non-dropping-particle" : "", "parse-names" : false, "suffix" : "" }, { "dropping-particle" : "", "family" : "Mittendorfer", "given" : "Bettina", "non-dropping-particle" : "", "parse-names" : false, "suffix" : "" } ], "container-title" : "Biology of Sex Differences", "id" : "ITEM-3", "issue" : "1", "issued" : { "date-parts" : [ [ "2012", "1" ] ] }, "page" : "11", "publisher" : "Biology of Sex Differences", "title" : "Sexually dimorphic effect of aging on skeletal muscle protein synthesis", "type" : "article-journal", "volume" : "3" }, "uris" : [ "http://www.mendeley.com/documents/?uuid=a3204dd7-3c24-4a63-89af-ebd2c439873f" ] }, { "id" : "ITEM-4", "itemData" : { "DOI" : "10.1152/japplphysiol.00348.2009", "ISBN" : "1522-1601 (Electronic)\\r0161-7567 (Linking)", "ISSN" : "8750-7587", "PMID" : "19644030", "abstract" : "Men have more muscle than women, but most studies evaluating sex differences in muscle protein metabolism have been unable to discern sexual dimorphism in basal muscle protein turnover rates in young and middle-aged adults. We hypothesized that the anabolic response to nutritional stimuli (i.e., amino acids and insulin) would be greater in young/middle-aged men than women. We therefore measured the rates of muscle protein synthesis (MPS) in 16 healthy individuals [8 men and 8 women, matched for age (mean +/- SE: 37.7 +/- 1.5 yr) and body mass index (25.2 +/- 0.7 kg/m2)] after an overnight fast (plasma insulin approximately 5 microU/ml and plasma phenylalanine approximately 60 microM) and during a hyperinsulinemic-hyperaminoacidemic-euglycemic clamp (plasma insulin approximately 28 microU/ml; plasma phenylalanine approximately 110 microM; plasma glucose approximately 5.4 mM). The rates of MPS were not different between men and women (ANOVA main effect for sex; P = 0.49). During the clamp, the rate of MPS increased by approximately 50% (P = 0.003) with no difference in the increases from basal values between men and women (+0.019 +/- 0.004 vs. +0.018 +/- 0.010%/h, respectively; P = 0.93). There were also no differences between men and women in the basal concentrations of muscle phosphorylated Akt(Ser473), Akt(Thr308), mTOR(Ser2448), and p70s6k(Thr389) or in the hyperinsulinemia-hyperaminoacidemia-induced increases in phosphorylation of those signaling elements (P &gt; or = 0.25). We conclude that there are no major differences in the rate of MPS and its intracellular control during basal conditions and during hyperinsulinemia-hyperaminoacidema between young and middle-aged adult men and women.", "author" : [ { "dropping-particle" : "", "family" : "Smith", "given" : "Gordon I", "non-dropping-particle" : "", "parse-names" : false, "suffix" : "" }, { "dropping-particle" : "", "family" : "Atherton", "given" : "Philip", "non-dropping-particle" : "", "parse-names" : false, "suffix" : "" }, { "dropping-particle" : "", "family" : "Reeds", "given" : "Dominic N", "non-dropping-particle" : "", "parse-names" : false, "suffix" : "" }, { "dropping-particle" : "", "family" : "Mohammed", "given" : "B Selma", "non-dropping-particle" : "", "parse-names" : false, "suffix" : "" }, { "dropping-particle" : "", "family" : "Jaffery", "given" : "Hadia", "non-dropping-particle" : "", "parse-names" : false, "suffix" : "" }, { "dropping-particle" : "", "family" : "Rankin", "given" : "Debbie", "non-dropping-particle" : "", "parse-names" : false, "suffix" : "" }, { "dropping-particle" : "", "family" : "Rennie", "given" : "Michael J", "non-dropping-particle" : "", "parse-names" : false, "suffix" : "" }, { "dropping-particle" : "", "family" : "Mittendorfer", "given" : "Bettina", "non-dropping-particle" : "", "parse-names" : false, "suffix" : "" } ], "container-title" : "Journal of applied physiology (Bethesda, Md. : 1985)", "id" : "ITEM-4", "issue" : "4", "issued" : { "date-parts" : [ [ "2009" ] ] }, "page" : "1308-1315", "title" : "No major sex differences in muscle protein synthesis rates in the postabsorptive state and during hyperinsulinemia-hyperaminoacidemia in middle-aged adults.", "type" : "article-journal", "volume" : "107" }, "uris" : [ "http://www.mendeley.com/documents/?uuid=4116da2e-23ae-482d-bbd8-bf25a01d38fb" ] } ], "mendeley" : { "formattedCitation" : "&lt;sup&gt;39,57,59,60&lt;/sup&gt;", "plainTextFormattedCitation" : "39,57,59,60", "previouslyFormattedCitation" : "&lt;sup&gt;39,57,59,60&lt;/sup&gt;" }, "properties" : { "noteIndex" : 0 }, "schema" : "https://github.com/citation-style-language/schema/raw/master/csl-citation.json" }</w:instrText>
      </w:r>
      <w:r w:rsidRPr="00EE257D">
        <w:rPr>
          <w:lang w:val="en-US"/>
        </w:rPr>
        <w:fldChar w:fldCharType="separate"/>
      </w:r>
      <w:r w:rsidR="003605CC" w:rsidRPr="003605CC">
        <w:rPr>
          <w:noProof/>
          <w:vertAlign w:val="superscript"/>
          <w:lang w:val="en-US"/>
        </w:rPr>
        <w:t>39,57,59,60</w:t>
      </w:r>
      <w:r w:rsidRPr="00EE257D">
        <w:rPr>
          <w:lang w:val="en-US"/>
        </w:rPr>
        <w:fldChar w:fldCharType="end"/>
      </w:r>
      <w:r w:rsidRPr="00EE257D">
        <w:rPr>
          <w:lang w:val="en-US"/>
        </w:rPr>
        <w:t xml:space="preserve"> suggests roughly equal atrophy between males and females</w:t>
      </w:r>
      <w:r w:rsidRPr="00EE257D">
        <w:rPr>
          <w:vertAlign w:val="superscript"/>
          <w:lang w:val="en-US"/>
        </w:rPr>
        <w:fldChar w:fldCharType="begin" w:fldLock="1"/>
      </w:r>
      <w:r w:rsidR="00225DB1">
        <w:rPr>
          <w:vertAlign w:val="superscript"/>
          <w:lang w:val="en-US"/>
        </w:rPr>
        <w:instrText>ADDIN CSL_CITATION { "citationItems" : [ { "id" : "ITEM-1", "itemData" : { "DOI" : "10.1152/japplphysiol.00247.2005", "ISBN" : "8750-7587 (Print)", "ISSN" : "8750-7587", "PMID" : "15860685", "abstract" : "The purpose of this study was to determine the effects of short-term (14-day) unilateral leg immobilization using a simple knee brace (60 degree flexion)- or crutch-mediated model on muscle function and morphology in men (M, n = 13) and women (W, n = 14). Isometric and isokinetic (concentric-slow, 0.52 rad/s and fast, 5.24 rad/s) knee extensor peak torque was determined at three time points (Pre, Day-2, and Day-14). At the same time points, magnetic resonance imaging was used to measure the cross-sectional area of the quadriceps femoris and dual-energy X-ray absorptiometry scanning was used to calculate leg lean mass. Muscle biopsies were taken from vastus lateralis at Pre and Day-14 for myosin ATPase and myosin heavy chain analysis. Women showed greater decreases (Pre vs. Day-14) compared with men in specific strength (N/cm2) for isometric [M = 3.1 +/- 13.3, W = 17.1 +/- 15.9%; P = 0.055 (mean +/- SD)] and concentric-slow (M = 4.7 +/- 11.3, W = 16.6 +/- 18.4%; P &lt; 0.05) contractions. There were no immobilization-induced sex-specific differences in the decrease in quadriceps femoris cross-sectional area (M = 5.7 +/- 5.0, W = 5.9 +/- 5.2%) or leg lean mass (M = 3.7 +/- 4.2, W = 2.7 +/- 2.8%). There were no fiber-type transformations, and the decreases in type I (M = 4.8 +/- 5.0, W = 5.9 +/- 3.4%), IIa (M = 7.9 +/- 9.9, W = 8.8 +/- 8.0%), and IIx (M = 10.7 +/- 10.8, W = 10.8 +/- 12.1%) fiber areas were similar between sexes. These findings indicate that immobilization-induced loss of knee extensor muscle strength is greater in women compared with men despite a similar extent of atrophy at the myofiber and whole muscle levels after 14 days of unilateral leg immobilization. Furthermore, we have described an effective and safe knee immobilization method that results in reductions in quadriceps muscle strength and size.", "author" : [ { "dropping-particle" : "", "family" : "Yasuda", "given" : "Nobuo", "non-dropping-particle" : "", "parse-names" : false, "suffix" : "" }, { "dropping-particle" : "", "family" : "Glover", "given" : "Elisa I", "non-dropping-particle" : "", "parse-names" : false, "suffix" : "" }, { "dropping-particle" : "", "family" : "Phillips", "given" : "Stuart M", "non-dropping-particle" : "", "parse-names" : false, "suffix" : "" }, { "dropping-particle" : "", "family" : "Isfort", "given" : "Robert J", "non-dropping-particle" : "", "parse-names" : false, "suffix" : "" }, { "dropping-particle" : "", "family" : "Tarnopolsky", "given" : "Mark a", "non-dropping-particle" : "", "parse-names" : false, "suffix" : "" } ], "container-title" : "Journal of applied physiology (Bethesda, Md. : 1985)", "id" : "ITEM-1", "issue" : "3", "issued" : { "date-parts" : [ [ "2005" ] ] }, "page" : "1085-1092", "title" : "Sex-based differences in skeletal muscle function and morphology with short-term limb immobilization.", "type" : "article-journal", "volume" : "99" }, "uris" : [ "http://www.mendeley.com/documents/?uuid=4a87d020-a7d9-4957-9f25-de9c16e3fb5f" ] } ], "mendeley" : { "formattedCitation" : "&lt;sup&gt;61&lt;/sup&gt;", "plainTextFormattedCitation" : "61", "previouslyFormattedCitation" : "&lt;sup&gt;61&lt;/sup&gt;" }, "properties" : { "noteIndex" : 0 }, "schema" : "https://github.com/citation-style-language/schema/raw/master/csl-citation.json" }</w:instrText>
      </w:r>
      <w:r w:rsidRPr="00EE257D">
        <w:rPr>
          <w:vertAlign w:val="superscript"/>
          <w:lang w:val="en-US"/>
        </w:rPr>
        <w:fldChar w:fldCharType="separate"/>
      </w:r>
      <w:r w:rsidR="003605CC" w:rsidRPr="003605CC">
        <w:rPr>
          <w:noProof/>
          <w:vertAlign w:val="superscript"/>
          <w:lang w:val="en-US"/>
        </w:rPr>
        <w:t>61</w:t>
      </w:r>
      <w:r w:rsidRPr="00EE257D">
        <w:rPr>
          <w:vertAlign w:val="superscript"/>
          <w:lang w:val="en-US"/>
        </w:rPr>
        <w:fldChar w:fldCharType="end"/>
      </w:r>
      <w:r w:rsidRPr="00EE257D">
        <w:rPr>
          <w:lang w:val="en-US"/>
        </w:rPr>
        <w:t>, there are no studies looking at disuse atrophy in older women. Older women may, in fact, be more susceptible the consequences of unloading due to anabolic resistance</w:t>
      </w:r>
      <w:r w:rsidRPr="00EE257D">
        <w:rPr>
          <w:lang w:val="en-US"/>
        </w:rPr>
        <w:fldChar w:fldCharType="begin" w:fldLock="1"/>
      </w:r>
      <w:r w:rsidR="00225DB1">
        <w:rPr>
          <w:lang w:val="en-US"/>
        </w:rPr>
        <w:instrText>ADDIN CSL_CITATION { "citationItems" : [ { "id" : "ITEM-1", "itemData" : { "DOI" : "10.1152/japplphysiol.00348.2009", "ISBN" : "1522-1601 (Electronic)\\r0161-7567 (Linking)", "ISSN" : "8750-7587", "PMID" : "19644030", "abstract" : "Men have more muscle than women, but most studies evaluating sex differences in muscle protein metabolism have been unable to discern sexual dimorphism in basal muscle protein turnover rates in young and middle-aged adults. We hypothesized that the anabolic response to nutritional stimuli (i.e., amino acids and insulin) would be greater in young/middle-aged men than women. We therefore measured the rates of muscle protein synthesis (MPS) in 16 healthy individuals [8 men and 8 women, matched for age (mean +/- SE: 37.7 +/- 1.5 yr) and body mass index (25.2 +/- 0.7 kg/m2)] after an overnight fast (plasma insulin approximately 5 microU/ml and plasma phenylalanine approximately 60 microM) and during a hyperinsulinemic-hyperaminoacidemic-euglycemic clamp (plasma insulin approximately 28 microU/ml; plasma phenylalanine approximately 110 microM; plasma glucose approximately 5.4 mM). The rates of MPS were not different between men and women (ANOVA main effect for sex; P = 0.49). During the clamp, the rate of MPS increased by approximately 50% (P = 0.003) with no difference in the increases from basal values between men and women (+0.019 +/- 0.004 vs. +0.018 +/- 0.010%/h, respectively; P = 0.93). There were also no differences between men and women in the basal concentrations of muscle phosphorylated Akt(Ser473), Akt(Thr308), mTOR(Ser2448), and p70s6k(Thr389) or in the hyperinsulinemia-hyperaminoacidemia-induced increases in phosphorylation of those signaling elements (P &gt; or = 0.25). We conclude that there are no major differences in the rate of MPS and its intracellular control during basal conditions and during hyperinsulinemia-hyperaminoacidema between young and middle-aged adult men and women.", "author" : [ { "dropping-particle" : "", "family" : "Smith", "given" : "Gordon I", "non-dropping-particle" : "", "parse-names" : false, "suffix" : "" }, { "dropping-particle" : "", "family" : "Atherton", "given" : "Philip", "non-dropping-particle" : "", "parse-names" : false, "suffix" : "" }, { "dropping-particle" : "", "family" : "Reeds", "given" : "Dominic N", "non-dropping-particle" : "", "parse-names" : false, "suffix" : "" }, { "dropping-particle" : "", "family" : "Mohammed", "given" : "B Selma", "non-dropping-particle" : "", "parse-names" : false, "suffix" : "" }, { "dropping-particle" : "", "family" : "Jaffery", "given" : "Hadia", "non-dropping-particle" : "", "parse-names" : false, "suffix" : "" }, { "dropping-particle" : "", "family" : "Rankin", "given" : "Debbie", "non-dropping-particle" : "", "parse-names" : false, "suffix" : "" }, { "dropping-particle" : "", "family" : "Rennie", "given" : "Michael J", "non-dropping-particle" : "", "parse-names" : false, "suffix" : "" }, { "dropping-particle" : "", "family" : "Mittendorfer", "given" : "Bettina", "non-dropping-particle" : "", "parse-names" : false, "suffix" : "" } ], "container-title" : "Journal of applied physiology (Bethesda, Md. : 1985)", "id" : "ITEM-1", "issue" : "4", "issued" : { "date-parts" : [ [ "2009" ] ] }, "page" : "1308-1315", "title" : "No major sex differences in muscle protein synthesis rates in the postabsorptive state and during hyperinsulinemia-hyperaminoacidemia in middle-aged adults.", "type" : "article-journal", "volume" : "107" }, "uris" : [ "http://www.mendeley.com/documents/?uuid=4116da2e-23ae-482d-bbd8-bf25a01d38fb" ] }, { "id" : "ITEM-2", "itemData" : { "DOI" : "10.1371/journal.pone.0001875", "ISBN" : "1932-6203 (Electronic)\\r1932-6203 (Linking)", "ISSN" : "19326203", "PMID" : "18365020", "abstract" : "Women have less muscle than men but lose it more slowly during aging. To discover potential underlying mechanism(s) for this we evaluated the muscle protein synthesis process in postabsorptive conditions and during feeding in twenty-nine 65-80 year old men (n = 13) and women (n = 16). We discovered that the basal concentration of phosphorylated eEF2(Thr56) was approximately 40% less (P&lt;0.05) and the basal rate of MPS was approximately 30% greater (P = 0.02) in women than in men; the basal concentrations of muscle phosphorylated Akt(Thr308), p70s6k(Thr389), eIF4E(Ser209), and eIF4E-BP1(Thr37/46) were not different between the sexes. Feeding increased (P&lt;0.05) Akt(Thr308) and p70s6k(Thr389) phosphorylation to the same extent in men and women but increased (P&lt;0.05) the phosphorylation of eIF4E(Ser209) and eIF4E-BP1(Thr37/46) in men only. Accordingly, feeding increased MPS in men (P&lt;0.01) but not in women. The postabsorptive muscle mRNA concentrations for myoD and myostatin were not different between sexes; feeding doubled myoD mRNA (P&lt;0.05) and halved that of myostatin (P&lt;0.05) in both sexes. Thus, there is sexual dimorphism in MPS and its control in older adults; a greater basal rate of MPS, operating over most of the day may partially explain the slower loss of muscle in older women.", "author" : [ { "dropping-particle" : "", "family" : "Smith", "given" : "Gordon I.", "non-dropping-particle" : "", "parse-names" : false, "suffix" : "" }, { "dropping-particle" : "", "family" : "Atherton", "given" : "Philip", "non-dropping-particle" : "", "parse-names" : false, "suffix" : "" }, { "dropping-particle" : "", "family" : "Villareal", "given" : "Dennis T.", "non-dropping-particle" : "", "parse-names" : false, "suffix" : "" }, { "dropping-particle" : "", "family" : "Frimel", "given" : "Tiffany N.", "non-dropping-particle" : "", "parse-names" : false, "suffix" : "" }, { "dropping-particle" : "", "family" : "Rankin", "given" : "Debbie", "non-dropping-particle" : "", "parse-names" : false, "suffix" : "" }, { "dropping-particle" : "", "family" : "Rennie", "given" : "Michael J.", "non-dropping-particle" : "", "parse-names" : false, "suffix" : "" }, { "dropping-particle" : "", "family" : "Mittendorfer", "given" : "Bettina", "non-dropping-particle" : "", "parse-names" : false, "suffix" : "" } ], "container-title" : "PLoS ONE", "id" : "ITEM-2", "issue" : "3", "issued" : { "date-parts" : [ [ "2008", "1" ] ] }, "page" : "e1875", "title" : "Differences in muscle protein synthesis and anabolic signaling in the postabsorptive state and in response to food in 65-80 year old men and women", "type" : "article-journal", "volume" : "3" }, "uris" : [ "http://www.mendeley.com/documents/?uuid=0034efa2-5df9-454e-9165-4363b0ae0f7d" ] } ], "mendeley" : { "formattedCitation" : "&lt;sup&gt;60,62&lt;/sup&gt;", "plainTextFormattedCitation" : "60,62", "previouslyFormattedCitation" : "&lt;sup&gt;60,62&lt;/sup&gt;" }, "properties" : { "noteIndex" : 0 }, "schema" : "https://github.com/citation-style-language/schema/raw/master/csl-citation.json" }</w:instrText>
      </w:r>
      <w:r w:rsidRPr="00EE257D">
        <w:rPr>
          <w:lang w:val="en-US"/>
        </w:rPr>
        <w:fldChar w:fldCharType="separate"/>
      </w:r>
      <w:r w:rsidR="003605CC" w:rsidRPr="003605CC">
        <w:rPr>
          <w:noProof/>
          <w:vertAlign w:val="superscript"/>
          <w:lang w:val="en-US"/>
        </w:rPr>
        <w:t>60,62</w:t>
      </w:r>
      <w:r w:rsidRPr="00EE257D">
        <w:rPr>
          <w:lang w:val="en-US"/>
        </w:rPr>
        <w:fldChar w:fldCharType="end"/>
      </w:r>
      <w:r w:rsidRPr="00EE257D">
        <w:rPr>
          <w:lang w:val="en-US"/>
        </w:rPr>
        <w:t xml:space="preserve"> beyond that which is observed with unloading</w:t>
      </w:r>
      <w:r w:rsidRPr="00EE257D">
        <w:rPr>
          <w:lang w:val="en-US"/>
        </w:rPr>
        <w:fldChar w:fldCharType="begin" w:fldLock="1"/>
      </w:r>
      <w:r w:rsidR="00225DB1">
        <w:rPr>
          <w:lang w:val="en-US"/>
        </w:rPr>
        <w:instrText>ADDIN CSL_CITATION { "citationItems" : [ { "id" : "ITEM-1", "itemData" : { "DOI" : "10.1113/jphysiol.2008.160333", "ISBN" : "0022-3751", "ISSN" : "1469-7793", "PMID" : "18955382", "abstract" : "We tested the hypothesis that increasing blood amino acid (AA) availability would counter the physical inactivity-induced reduction in muscle protein synthesis. We determined how 14 days of unilateral knee immobilization affected quadriceps myofibrillar protein synthesis (MPS) in young healthy subjects (10 men, 2 women, 21 +/- 1 years; 80.2 +/- 4.0 kg, mean +/- S.E.M.) in the post-absorptive state and after infusing AA (10% Primene) at low or high doses (43 and 261 mg kg(-1) h(-1)). Muscle cross-sectional area (MRI) and peak isometric torque declined in the immobilized leg (-5.0 +/- 1.2% and -25 +/- 3%, respectively, both P &lt; 0.005), but were unchanged (all P &gt; 0.6) in the non-immobilized leg. Immobilization induced a 27% decline in the rate of post-absorptive MPS (immobilized, 0.027 +/- 0.003: non-immobilized, 0.037 +/- 0.003% h(-1); P &lt; 0.001). Regardless of dose, AA infusion stimulated a greater rise in MPS in the non-immobilized legs; at 4 h MPS was greater by +54 +/- 12% with low dose and +68 +/- 17% with high dose AA infusion (both P &lt; 0.001). There was some evidence of delayed responsiveness of phosphorylation of Akt to high doses of AA and p70S6k at both doses but no marked differences in that of mTOR, GSK3beta or eEF2. Phosphorylation of focal adhesion kinase (Tyr(576/577)) was reduced (P &lt; 0.05) with immobilization. We observed no change in polyubiquitinated protein content after immobilization. We confirm that 14 days of immobilization reduces MPS in the post-absorptive state and this diminution is reduced but not abolished by increased provision of AA, even at high rates. The immobilization-induced decline in post-absorptive MPS with the 'anabolic resistance' to amino acids can account for much of immobilization-induced muscle atrophy.", "author" : [ { "dropping-particle" : "", "family" : "Glover", "given" : "Elisa I", "non-dropping-particle" : "", "parse-names" : false, "suffix" : "" }, { "dropping-particle" : "", "family" : "Phillips", "given" : "Stuart M", "non-dropping-particle" : "", "parse-names" : false, "suffix" : "" }, { "dropping-particle" : "", "family" : "Oates", "given" : "Bryan R", "non-dropping-particle" : "", "parse-names" : false, "suffix" : "" }, { "dropping-particle" : "", "family" : "Tang", "given" : "Jason E", "non-dropping-particle" : "", "parse-names" : false, "suffix" : "" }, { "dropping-particle" : "", "family" : "Tarnopolsky", "given" : "Mark a", "non-dropping-particle" : "", "parse-names" : false, "suffix" : "" }, { "dropping-particle" : "", "family" : "Selby", "given" : "Anna", "non-dropping-particle" : "", "parse-names" : false, "suffix" : "" }, { "dropping-particle" : "", "family" : "Smith", "given" : "Kenneth", "non-dropping-particle" : "", "parse-names" : false, "suffix" : "" }, { "dropping-particle" : "", "family" : "Rennie", "given" : "Michael J", "non-dropping-particle" : "", "parse-names" : false, "suffix" : "" } ], "container-title" : "The Journal of physiology", "id" : "ITEM-1", "issue" : "Pt 24", "issued" : { "date-parts" : [ [ "2008", "12", "15" ] ] }, "page" : "6049-6061", "title" : "Immobilization induces anabolic resistance in human myofibrillar protein synthesis with low and high dose amino acid infusion.", "type" : "article-journal", "volume" : "586" }, "uris" : [ "http://www.mendeley.com/documents/?uuid=f66dabfc-e949-4056-8754-e2e88db633e3" ] } ], "mendeley" : { "formattedCitation" : "&lt;sup&gt;57&lt;/sup&gt;", "plainTextFormattedCitation" : "57", "previouslyFormattedCitation" : "&lt;sup&gt;57&lt;/sup&gt;" }, "properties" : { "noteIndex" : 0 }, "schema" : "https://github.com/citation-style-language/schema/raw/master/csl-citation.json" }</w:instrText>
      </w:r>
      <w:r w:rsidRPr="00EE257D">
        <w:rPr>
          <w:lang w:val="en-US"/>
        </w:rPr>
        <w:fldChar w:fldCharType="separate"/>
      </w:r>
      <w:r w:rsidR="003605CC" w:rsidRPr="003605CC">
        <w:rPr>
          <w:noProof/>
          <w:vertAlign w:val="superscript"/>
          <w:lang w:val="en-US"/>
        </w:rPr>
        <w:t>57</w:t>
      </w:r>
      <w:r w:rsidRPr="00EE257D">
        <w:rPr>
          <w:lang w:val="en-US"/>
        </w:rPr>
        <w:fldChar w:fldCharType="end"/>
      </w:r>
      <w:r w:rsidRPr="00EE257D">
        <w:rPr>
          <w:lang w:val="en-US"/>
        </w:rPr>
        <w:t xml:space="preserve"> and normally as a consequence of aging</w:t>
      </w:r>
      <w:r w:rsidRPr="00EE257D">
        <w:rPr>
          <w:lang w:val="en-US"/>
        </w:rPr>
        <w:fldChar w:fldCharType="begin" w:fldLock="1"/>
      </w:r>
      <w:r w:rsidR="003D1F84">
        <w:rPr>
          <w:lang w:val="en-US"/>
        </w:rPr>
        <w:instrText>ADDIN CSL_CITATION { "citationItems" : [ { "id" : "ITEM-1", "itemData" : { "DOI" : "10.1210/jcem.85.12.7021", "ISSN" : "0021-972X", "author" : [ { "dropping-particle" : "", "family" : "Volpi", "given" : "Elena", "non-dropping-particle" : "", "parse-names" : false, "suffix" : "" }, { "dropping-particle" : "", "family" : "Mittendorfer", "given" : "Bettina", "non-dropping-particle" : "", "parse-names" : false, "suffix" : "" }, { "dropping-particle" : "", "family" : "Rasmussen", "given" : "Blake B", "non-dropping-particle" : "", "parse-names" : false, "suffix" : "" }, { "dropping-particle" : "", "family" : "Wolfe", "given" : "Robert R", "non-dropping-particle" : "", "parse-names" : false, "suffix" : "" } ], "container-title" : "The Journal of Clinical Endocrinology &amp; Metabolism", "id" : "ITEM-1", "issue" : "12", "issued" : { "date-parts" : [ [ "2000", "12" ] ] }, "page" : "4481-4490", "title" : "The Response of Muscle Protein Anabolism to Combined Hyperaminoacidemia and Glucose-Induced Hyperinsulinemia Is Impaired in the Elderly", "type" : "article-journal", "volume" : "85" }, "uris" : [ "http://www.mendeley.com/documents/?uuid=6b5ff768-1a99-4450-8a78-7eec389a4c1f" ] } ], "mendeley" : { "formattedCitation" : "&lt;sup&gt;63&lt;/sup&gt;", "plainTextFormattedCitation" : "63", "previouslyFormattedCitation" : "&lt;sup&gt;63&lt;/sup&gt;" }, "properties" : { "noteIndex" : 0 }, "schema" : "https://github.com/citation-style-language/schema/raw/master/csl-citation.json" }</w:instrText>
      </w:r>
      <w:r w:rsidRPr="00EE257D">
        <w:rPr>
          <w:lang w:val="en-US"/>
        </w:rPr>
        <w:fldChar w:fldCharType="separate"/>
      </w:r>
      <w:r w:rsidR="003605CC" w:rsidRPr="003605CC">
        <w:rPr>
          <w:noProof/>
          <w:vertAlign w:val="superscript"/>
          <w:lang w:val="en-US"/>
        </w:rPr>
        <w:t>63</w:t>
      </w:r>
      <w:r w:rsidRPr="00EE257D">
        <w:rPr>
          <w:lang w:val="en-US"/>
        </w:rPr>
        <w:fldChar w:fldCharType="end"/>
      </w:r>
      <w:r w:rsidRPr="00EE257D">
        <w:rPr>
          <w:lang w:val="en-US"/>
        </w:rPr>
        <w:t>.</w:t>
      </w:r>
      <w:r w:rsidRPr="00EE257D">
        <w:rPr>
          <w:rFonts w:cs="Times New Roman"/>
        </w:rPr>
        <w:t xml:space="preserve"> </w:t>
      </w:r>
      <w:r w:rsidR="00623F5A">
        <w:rPr>
          <w:rFonts w:cs="Times New Roman"/>
        </w:rPr>
        <w:t>A number of studies</w:t>
      </w:r>
      <w:r w:rsidRPr="00EE257D">
        <w:rPr>
          <w:rFonts w:cs="Times New Roman"/>
        </w:rPr>
        <w:fldChar w:fldCharType="begin" w:fldLock="1"/>
      </w:r>
      <w:r w:rsidR="00225DB1">
        <w:rPr>
          <w:rFonts w:cs="Times New Roman"/>
        </w:rPr>
        <w:instrText>ADDIN CSL_CITATION { "citationItems" : [ { "id" : "ITEM-1", "itemData" : { "author" : [ { "dropping-particle" : "", "family" : "Kortebein", "given" : "P", "non-dropping-particle" : "", "parse-names" : false, "suffix" : "" }, { "dropping-particle" : "", "family" : "Ferrando", "given" : "A", "non-dropping-particle" : "", "parse-names" : false, "suffix" : "" }, { "dropping-particle" : "", "family" : "Lombeida", "given" : "J", "non-dropping-particle" : "", "parse-names" : false, "suffix" : "" } ], "container-title" : "Jama", "id" : "ITEM-1", "issued" : { "date-parts" : [ [ "2007" ] ] }, "page" : "4-6", "title" : "Effect of 10 Days of Bed Rest on Skeletal Muscle in Healthy Older Adults", "type" : "article-journal" }, "uris" : [ "http://www.mendeley.com/documents/?uuid=10b6a57d-9307-4ca0-a883-b8fde2f048a1" ] }, { "id" : "ITEM-2", "itemData" : { "author" : [ { "dropping-particle" : "", "family" : "Kortebein", "given" : "P", "non-dropping-particle" : "", "parse-names" : false, "suffix" : "" }, { "dropping-particle" : "", "family" : "Symons", "given" : "T Brock", "non-dropping-particle" : "", "parse-names" : false, "suffix" : "" }, { "dropping-particle" : "", "family" : "Ferrando", "given" : "Aa", "non-dropping-particle" : "", "parse-names" : false, "suffix" : "" }, { "dropping-particle" : "", "family" : "Paddon-Jones", "given" : "Douglas", "non-dropping-particle" : "", "parse-names" : false, "suffix" : "" } ], "container-title" : "The New England journal of medicine", "id" : "ITEM-2", "issued" : { "date-parts" : [ [ "2008" ] ] }, "page" : "140", "title" : "Functional impact of 10 days of bed rest in healthy older adults", "type" : "article-journal", "volume" : "7" }, "uris" : [ "http://www.mendeley.com/documents/?uuid=3f9b15f6-80bf-4bbb-8258-117c2738fc07" ] }, { "id" : "ITEM-3",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"ITEM-3", "issue" : "4", "issued" : { "date-parts" : [ [ "2009", "10" ] ] }, "page" : "1172-1180", "title" : "Effects of aging on human skeletal muscle after immobilization and retraining.", "type" : "article-journal", "volume" : "107" }, "uris" : [ "http://www.mendeley.com/documents/?uuid=03fe0af6-3cbe-40fc-8c94-5ae48ae103c2" ] }, { "id" : "ITEM-4", "itemData" : { "DOI" : "10.1016/j.clnu.2009.03.009", "ISBN" : "0261-5614", "ISSN" : "02615614", "PMID" : "19419806", "abstract" : "Background &amp; aims: Older individuals are more likely to experience extended hospitalization and become protein malnourished during hospitalization. The concomitant compulsory inactivity results in functional decline. Increasing protein intake in hospitalized patients improves nitrogen balance, but effects on function are unknown. In the present study, we examined the effects of increasing protein intake by essential amino acid (EAA) supplementation in older individuals subjected to 10. d bed rest on LBM and muscle function. Methods: Subjects were given a placebo (n=12, 68 \u00b1 5 (SD) yrs, 83 \u00b1 19 kg) or 15. g of EAA (n=10, 71 \u00b1 6, 72 \u00b1 8 kg) 3 times per day throughout 10. d of bed rest. LBM, muscle protein synthesis, and muscle function were determined before and after bed rest. Due to an imbalance in randomized gender distribution between groups, gender and beginning functional and LBM measures were utilized for analyses by repeated measures analysis of covariance (RMANCOVA). Results: Analyses revealed the potential for the preservation of functional outcomes with EAA supplementation. Conclusions: Increasing protein intake above the RDA may preserve muscle function in the elderly during compulsory inactivity. EAA supplementation is potentially an efficient method of increasing protein intake without affecting satiety. \u00a9 2009 Elsevier Ltd and European Society for Clinical Nutrition and Metabolism.", "author" : [ { "dropping-particle" : "", "family" : "Ferrando", "given" : "Arny a.", "non-dropping-particle" : "", "parse-names" : false, "suffix" : "" }, { "dropping-particle" : "", "family" : "Paddon-Jones", "given" : "Doug", "non-dropping-particle" : "", "parse-names" : false, "suffix" : "" }, { "dropping-particle" : "", "family" : "Hays", "given" : "Nicholas P.", "non-dropping-particle" : "", "parse-names" : false, "suffix" : "" }, { "dropping-particle" : "", "family" : "Kortebein", "given" : "Patrick", "non-dropping-particle" : "", "parse-names" : false, "suffix" : "" }, { "dropping-particle" : "", "family" : "Ronsen", "given" : "Ola", "non-dropping-particle" : "", "parse-names" : false, "suffix" : "" }, { "dropping-particle" : "", "family" : "Williams", "given" : "Rick H.", "non-dropping-particle" : "", "parse-names" : false, "suffix" : "" }, { "dropping-particle" : "", "family" : "McComb", "given" : "Ashley", "non-dropping-particle" : "", "parse-names" : false, "suffix" : "" }, { "dropping-particle" : "", "family" : "Symons", "given" : "T. Brock", "non-dropping-particle" : "", "parse-names" : false, "suffix" : "" }, { "dropping-particle" : "", "family" : "Wolfe", "given" : "Robert R.", "non-dropping-particle" : "", "parse-names" : false, "suffix" : "" }, { "dropping-particle" : "", "family" : "Evans", "given" : "William", "non-dropping-particle" : "", "parse-names" : false, "suffix" : "" } ], "container-title" : "Clinical Nutrition", "id" : "ITEM-4", "issue" : "1", "issued" : { "date-parts" : [ [ "2010", "2" ] ] }, "page" : "18-23", "title" : "EAA supplementation to increase nitrogen intake improves muscle function during bed rest in the elderly", "type" : "article-journal", "volume" : "29" }, "uris" : [ "http://www.mendeley.com/documents/?uuid=48a30b09-289e-45b8-8a1c-5b33bd66e7a4" ] }, { "id" : "ITEM-5", "itemData" : { "DOI" : "10.1152/japplphysiol.00637.2010", "ISBN" : "1522-1601 (Electronic)\\n0161-7567 (Linking)", "ISSN" : "8750-7587", "PMID" : "20864557", "abstract" : "Very little attention has been given to the combined effects of aging and disuse as separate factors causing deterioration in muscle mechanical function. Thus the purpose of this study was to investigate the effects of 2 wk of immobilization followed by 4 wk of retraining on knee extensor muscle mechanical function (e.g., maximal strength and rapid force capacity) and muscle fiber morphology in 9 old (OM: 67.3 \u00b1 1.3 yr) and 11 young healthy men (YM: 24.4 \u00b1 0.5 yr) with comparable levels of physical activity. Following immobilization, OM demonstrated markedly larger decreases in rapid force capacity (i.e., rate of force development, impulse) than YM (\u223c 20-37 vs. \u223c 13-16%; P &lt; 0.05). In contrast, muscle fiber area decreased in YM for type I, IIA, and IIx fibers (\u223c 15-30%; P &lt; 0.05), whereas only type IIa area decreased in OM (13.2%; P &lt; 0.05). Subsequent retraining fully restored muscle mechanical function and muscle fiber area in YM, whereas OM showed an attenuated recovery in muscle fiber area and rapid force capacity (tendency). Changes in maximal isometric and dynamic muscle strength were similar between OM and YM. In conclusion, the present data reveal that OM may be more susceptible to the deleterious effects of short-term muscle disuse on muscle fiber size and rapid force capacity than YM. Furthermore, OM seems to require longer time to recover and regain rapid muscle force capacity, which may lead to a larger risk of falling in aged individuals after periods of short-term disuse.", "author" : [ { "dropping-particle" : "", "family" : "Hvid", "given" : "Lars", "non-dropping-particle" : "", "parse-names" : false, "suffix" : "" }, { "dropping-particle" : "", "family" : "Aagaard", "given" : "Per", "non-dropping-particle" : "", "parse-names" : false, "suffix" : "" }, { "dropping-particle" : "", "family" : "Justesen", "given" : "Lene", "non-dropping-particle" : "", "parse-names" : false, "suffix" : "" }, { "dropping-particle" : "", "family" : "Bayer", "given" : "Monika L", "non-dropping-particle" : "", "parse-names" : false, "suffix" : "" }, { "dropping-particle" : "", "family" : "Andersen", "given" : "Jesper L", "non-dropping-particle" : "", "parse-names" : false, "suffix" : "" }, { "dropping-particle" : "", "family" : "\u00d8rtenblad", "given" : "Niels", "non-dropping-particle" : "", "parse-names" : false, "suffix" : "" }, { "dropping-particle" : "", "family" : "Kjaer", "given" : "Michael", "non-dropping-particle" : "", "parse-names" : false, "suffix" : "" }, { "dropping-particle" : "", "family" : "Suetta", "given" : "Charlotte", "non-dropping-particle" : "", "parse-names" : false, "suffix" : "" } ], "container-title" : "Journal of applied physiology (Bethesda, Md. : 1985)", "id" : "ITEM-5", "issue" : "6", "issued" : { "date-parts" : [ [ "2010" ] ] }, "page" : "1628-1634", "title" : "Effects of aging on muscle mechanical function and muscle fiber morphology during short-term immobilization and subsequent retraining.", "type" : "article-journal", "volume" : "109" }, "uris" : [ "http://www.mendeley.com/documents/?uuid=19df41c5-6620-4315-9c2a-fbf7029a597a" ] }, { "id" : "ITEM-6", "itemData" : { "DOI" : "10.1152/ajpendo.00603.2011", "ISSN" : "0193-1849", "PMID" : "22338078", "abstract" : "Skeletal muscle atrophy during bed rest is attributed, at least in part, to slower basal muscle protein synthesis (MPS). Essential amino acids (EAA) stimulate mammalian target of rapamycin (mTORC1) signaling, amino acid transporter expression, and MPS and are necessary for muscle mass maintenance, but there are no data on the effect of inactivity on this anabolic mechanism. We hypothesized that bed rest decreases muscle mass in older adults by blunting the EAA stimulation of MPS through reduced mTORC1 signaling and amino acid transporter expression in older adults. Six healthy older adults (67 \u00b1 2 yr) participated in a 7-day bed rest study. We used stable isotope tracers, Western blotting, and real-time qPCR to determine the effect of bed rest on MPS, muscle mTORC1 signaling, and amino acid transporter expression and content in the postabsorptive state and after acute EAA ingestion. Bed rest decreased leg lean mass by \u223c4% (P &lt; 0.05) and increased postabsorptive mTOR protein (P &lt; 0.05) levels while postabsorptive MPS was unchanged (P &gt; 0.05). Before bed rest acute EAA ingestion increased MPS, mTOR (Ser(2448)), S6 kinase 1 (Thr(389), Thr(421)/Ser(424)), and ribosomal protein S6 (Ser(240/244)) phosphorylation, activating transcription factor 4, L-type amino acid transporter 1 and sodium-coupled amino acid transporter 2 protein content (P &lt; 0.05). However, bed rest blunted the EAA-induced increase in MPS, mTORC1 signaling, and amino acid transporter protein content. We conclude that bed rest in older adults significantly attenuated the EAA-induced increase in MPS with a mechanism involving reduced mTORC1 signaling and amino acid transporter protein content. Together, our data suggest that a blunted EAA stimulation of MPS may contribute to muscle loss with inactivity in older persons.", "author" : [ { "dropping-particle" : "", "family" : "Drummond", "given" : "M. J.", "non-dropping-particle" : "", "parse-names" : false, "suffix" : "" }, { "dropping-particle" : "", "family" : "Dickinson", "given" : "J. M.", "non-dropping-particle" : "", "parse-names" : false, "suffix" : "" }, { "dropping-particle" : "", "family" : "Fry", "given" : "C. S.", "non-dropping-particle" : "", "parse-names" : false, "suffix" : "" }, { "dropping-particle" : "", "family" : "Walker", "given" : "D. K.", "non-dropping-particle" : "", "parse-names" : false, "suffix" : "" }, { "dropping-particle" : "", "family" : "Gundermann", "given" : "D. M.", "non-dropping-particle" : "", "parse-names" : false, "suffix" : "" }, { "dropping-particle" : "", "family" : "Reidy", "given" : "P. T.", "non-dropping-particle" : "", "parse-names" : false, "suffix" : "" }, { "dropping-particle" : "", "family" : "Timmerman", "given" : "K. L.", "non-dropping-particle" : "", "parse-names" : false, "suffix" : "" }, { "dropping-particle" : "", "family" : "Markofski", "given" : "M. M.", "non-dropping-particle" : "", "parse-names" : false, "suffix" : "" }, { "dropping-particle" : "", "family" : "Paddon-Jones", "given" : "D.", "non-dropping-particle" : "", "parse-names" : false, "suffix" : "" }, { "dropping-particle" : "", "family" : "Rasmussen", "given" : "B. B.", "non-dropping-particle" : "", "parse-names" : false, "suffix" : "" }, { "dropping-particle" : "", "family" : "Volpi", "given" : "E.", "non-dropping-particle" : "", "parse-names" : false, "suffix" : "" } ], "container-title" : "AJP: Endocrinology and Metabolism", "id" : "ITEM-6", "issue" : "9", "issued" : { "date-parts" : [ [ "2012", "5", "15" ] ] }, "page" : "E1113-E1122", "title" : "Bed rest impairs skeletal muscle amino acid transporter expression, mTORC1 signaling, and protein synthesis in response to essential amino acids in older adults", "type" : "article-journal", "volume" : "302" }, "uris" : [ "http://www.mendeley.com/documents/?uuid=b9cab28b-326b-427c-93be-ac50e4310459" ] }, { "id" : "ITEM-7", "itemData" : { "DOI" : "10.1016/j.clnu.2013.02.011", "ISSN" : "02615614", "PMID" : "23514626", "abstract" : "Background: Loss of muscle mass due to prolonged bed rest decreases functional capacity and increases hospital morbidity and mortality in older adults. Objective: To determine if HMB, a leucine metabolite, is capable of attenuating muscle decline in healthy older adults during complete bed rest. Design: A randomized, controlled, double-blinded, parallel-group design study was carried out in 24 healthy (SPPB\u22659) older adult subjects (20 women, 4 men), confined to complete bed rest for ten days, followed by resistance training rehabilitation for eight weeks. Subjects in the experimental group were treated with HMB (calcium salt, 1.5g twice daily - total 3g/day). Control subjects were treated with an inactive placebo powder. Treatments were provided starting 5 days prior to bed rest till the end rehabilitation phase. DXA was used to measure body composition. Results: Nineteen eligible older adults (BMI: 21-33; age: 60-76year) were evaluable at the end of the bed rest period (Control n=8; Ca-HMB n=11). Bed rest caused a significant decrease in total lean body mass (LBM) (2.05\u00b10.66kg; p=0.02, paired t-test) in the Control group. With the exclusion of one subject, treatment with HMB prevented the decline in LBM over bed rest -0.17\u00b10.19kg; p=0.23, paired t-test). There was a statistically significant difference between treatment groups for change in LBM over bed rest (p=0.02, ANOVA). Sub-analysis on female subjects (Control=7, HMB=8) also revealed a significant difference in change in LBM over bed rest between treatment groups (p=0.04, ANOVA). However, differences in function parameters could not be observed, probably due to the sample size of the study. Conclusions: In healthy older adults, HMB supplementation preserves muscle mass during 10 days of bed rest. These results need to be confirmed in a larger trial.This trial is registered at http://ClinicalTrials.gov under NCT00945581. \u00a9 2013 Elsevier Ltd and European Society for Clinical Nutrition and Metabolism.", "author" : [ { "dropping-particle" : "", "family" : "Deutz", "given" : "Nicolaas E P", "non-dropping-particle" : "", "parse-names" : false, "suffix" : "" }, { "dropping-particle" : "", "family" : "Pereira", "given" : "Suzette L.", "non-dropping-particle" : "", "parse-names" : false, "suffix" : "" }, { "dropping-particle" : "", "family" : "Hays", "given" : "Nicholas P.", "non-dropping-particle" : "", "parse-names" : false, "suffix" : "" }, { "dropping-particle" : "", "family" : "Oliver", "given" : "Jeffery S.", "non-dropping-particle" : "", "parse-names" : false, "suffix" : "" }, { "dropping-particle" : "", "family" : "Edens", "given" : "Neile K.", "non-dropping-particle" : "", "parse-names" : false, "suffix" : "" }, { "dropping-particle" : "", "family" : "Evans", "given" : "Chris M.", "non-dropping-particle" : "", "parse-names" : false, "suffix" : "" }, { "dropping-particle" : "", "family" : "Wolfe", "given" : "Robert R.", "non-dropping-particle" : "", "parse-names" : false, "suffix" : "" } ], "container-title" : "Clinical Nutrition", "id" : "ITEM-7", "issue" : "5", "issued" : { "date-parts" : [ [ "2013", "10" ] ] }, "page" : "704-712", "publisher" : "Elsevier Ltd", "title" : "Effect of \u03b2-hydroxy-\u03b2-methylbutyrate (HMB) on lean body mass during 10 days of bed rest in older adults", "type" : "article-journal", "volume" : "32" }, "uris" : [ "http://www.mendeley.com/documents/?uuid=e7a4fcc5-da64-4a51-8196-8fe2aca772ea" ] }, { "id" : "ITEM-8", "itemData" : { "DOI" : "10.1113/jphysiol.2011.215434", "ISBN" : "1469-7793", "ISSN" : "1469-7793", "PMID" : "21825028", "abstract" : "Very little attention has been given to the combined effects of healthy ageing and short-term disuse on the contractile function of human single muscle fibres. Therefore, the present study investigated the effects of 2 weeks of lower limb cast immobilisation (i.e. disuse) on selected contractile properties of single muscle fibres (n = 378) from vastus lateralis of nine young (24 \u00b1 1 years) and eight old (67 \u00b1 2 years) healthy men with comparable levels of physical activity. Prior to immobilisation, MHC IIa fibres produced higher maximum Ca(2+)-activated force (approx. 32%) and specific force (approx. 33%) and had lower Ca(2+) sensitivity than MHC I fibres (P &lt; 0.05), with no differences between young and old. After immobilisation, the decline in single fibre force (MHC I: young 21% and old 22%; MHC IIa: young 22% and old 30%; P &lt; 0.05) as well as specific force (MHC I: young 14% and old 13%; MHC IIa: young 18% and old 25%; P &lt; 0.05) was more pronounced in MHC IIa fibres compared to MHC I fibres (P &lt; 0.05), with no differences between young and old. Notably, there was a selective decrease in Ca(2+) sensitivity in MHC IIa fibres of young (P &lt; 0.05) and in MHC I fibres of old individuals (P &lt; 0.05), respectively. In conclusion, 2 weeks of lower limb immobilisation caused greater impairments in single muscle fibre force and specific force in MHC IIa than MHC I fibres independently of age. In contrast, immobilisation-induced changes in Ca(2+) sensitivity that were dependent on age and MHC isoform.", "author" : [ { "dropping-particle" : "", "family" : "Hvid", "given" : "Lars G", "non-dropping-particle" : "", "parse-names" : false, "suffix" : "" }, { "dropping-particle" : "", "family" : "Ortenblad", "given" : "Niels", "non-dropping-particle" : "", "parse-names" : false, "suffix" : "" }, { "dropping-particle" : "", "family" : "Aagaard", "given" : "Per", "non-dropping-particle" : "", "parse-names" : false, "suffix" : "" }, { "dropping-particle" : "", "family" : "Kjaer", "given" : "Michael", "non-dropping-particle" : "", "parse-names" : false, "suffix" : "" }, { "dropping-particle" : "", "family" : "Suetta", "given" : "Charlotte", "non-dropping-particle" : "", "parse-names" : false, "suffix" : "" } ], "container-title" : "The Journal of physiology", "id" : "ITEM-8", "issue" : "Pt 19", "issued" : { "date-parts" : [ [ "2011", "10", "1" ] ] }, "page" : "4745-57", "title" : "Effects of ageing on single muscle fibre contractile function following short-term immobilisation.", "type" : "article-journal", "volume" : "589" }, "uris" : [ "http://www.mendeley.com/documents/?uuid=bdc4cdb4-95f2-4bbd-b853-4bb145c17756" ] } ], "mendeley" : { "formattedCitation" : "&lt;sup&gt;51\u201356,64,65&lt;/sup&gt;", "plainTextFormattedCitation" : "51\u201356,64,65", "previouslyFormattedCitation" : "&lt;sup&gt;51\u201356,64,65&lt;/sup&gt;" }, "properties" : { "noteIndex" : 0 }, "schema" : "https://github.com/citation-style-language/schema/raw/master/csl-citation.json" }</w:instrText>
      </w:r>
      <w:r w:rsidRPr="00EE257D">
        <w:rPr>
          <w:rFonts w:cs="Times New Roman"/>
        </w:rPr>
        <w:fldChar w:fldCharType="separate"/>
      </w:r>
      <w:r w:rsidR="003605CC" w:rsidRPr="003605CC">
        <w:rPr>
          <w:rFonts w:cs="Times New Roman"/>
          <w:noProof/>
          <w:vertAlign w:val="superscript"/>
        </w:rPr>
        <w:t>51–56,64,65</w:t>
      </w:r>
      <w:r w:rsidRPr="00EE257D">
        <w:rPr>
          <w:rFonts w:cs="Times New Roman"/>
        </w:rPr>
        <w:fldChar w:fldCharType="end"/>
      </w:r>
      <w:r w:rsidRPr="00EE257D">
        <w:rPr>
          <w:rFonts w:cs="Times New Roman"/>
        </w:rPr>
        <w:t xml:space="preserve"> </w:t>
      </w:r>
      <w:r>
        <w:rPr>
          <w:rFonts w:cs="Times New Roman"/>
        </w:rPr>
        <w:t xml:space="preserve">have </w:t>
      </w:r>
      <w:r w:rsidR="00623F5A">
        <w:rPr>
          <w:rFonts w:cs="Times New Roman"/>
        </w:rPr>
        <w:t xml:space="preserve">reported data from models of </w:t>
      </w:r>
      <w:r w:rsidRPr="00EE257D">
        <w:rPr>
          <w:rFonts w:cs="Times New Roman"/>
        </w:rPr>
        <w:t xml:space="preserve">complete immobilization of a limb or bed-rest and </w:t>
      </w:r>
      <w:r w:rsidR="00623F5A">
        <w:rPr>
          <w:rFonts w:cs="Times New Roman"/>
        </w:rPr>
        <w:t xml:space="preserve">as such </w:t>
      </w:r>
      <w:r w:rsidRPr="00EE257D">
        <w:rPr>
          <w:rFonts w:cs="Times New Roman"/>
        </w:rPr>
        <w:t xml:space="preserve">are models of </w:t>
      </w:r>
      <w:r w:rsidRPr="003274B7">
        <w:rPr>
          <w:rFonts w:cs="Times New Roman"/>
          <w:i/>
        </w:rPr>
        <w:t>complete</w:t>
      </w:r>
      <w:r w:rsidRPr="00EE257D">
        <w:rPr>
          <w:rFonts w:cs="Times New Roman"/>
        </w:rPr>
        <w:t xml:space="preserve"> inactivity and recapitulate recovery from fracture and illness with no ambulation. Thus, as models </w:t>
      </w:r>
      <w:r w:rsidR="00623F5A">
        <w:rPr>
          <w:rFonts w:cs="Times New Roman"/>
        </w:rPr>
        <w:t>bed rest and limb immobilization</w:t>
      </w:r>
      <w:r w:rsidRPr="00EE257D">
        <w:rPr>
          <w:rFonts w:cs="Times New Roman"/>
        </w:rPr>
        <w:t xml:space="preserve"> do not represent </w:t>
      </w:r>
      <w:r w:rsidR="00623F5A">
        <w:rPr>
          <w:rFonts w:cs="Times New Roman"/>
        </w:rPr>
        <w:t xml:space="preserve">what I view as </w:t>
      </w:r>
      <w:r w:rsidRPr="00EE257D">
        <w:rPr>
          <w:rFonts w:cs="Times New Roman"/>
        </w:rPr>
        <w:t>a more common form of muscle disuse/inactivity in older adults that would occur during illness that allows ambulation</w:t>
      </w:r>
      <w:r w:rsidR="00623F5A">
        <w:rPr>
          <w:rFonts w:cs="Times New Roman"/>
        </w:rPr>
        <w:t>,</w:t>
      </w:r>
      <w:r w:rsidRPr="00EE257D">
        <w:rPr>
          <w:rFonts w:cs="Times New Roman"/>
        </w:rPr>
        <w:t xml:space="preserve"> albeit at a reduced level. I propose that an accurate model to capture the more frequent nature of immobility intermittently </w:t>
      </w:r>
      <w:r w:rsidRPr="00A17A44">
        <w:rPr>
          <w:rFonts w:cs="Times New Roman"/>
        </w:rPr>
        <w:t xml:space="preserve">present in the years after onset of sarcopenia would simply be a period of reduced </w:t>
      </w:r>
      <w:r w:rsidR="00623F5A">
        <w:rPr>
          <w:rFonts w:cs="Times New Roman"/>
        </w:rPr>
        <w:t>daily steps</w:t>
      </w:r>
      <w:r w:rsidRPr="00A17A44">
        <w:rPr>
          <w:rFonts w:cs="Times New Roman"/>
        </w:rPr>
        <w:t>.</w:t>
      </w:r>
      <w:r w:rsidR="00875699">
        <w:rPr>
          <w:rFonts w:cs="Times New Roman"/>
        </w:rPr>
        <w:br/>
      </w:r>
    </w:p>
    <w:p w14:paraId="1DE1BDF6" w14:textId="05768055" w:rsidR="005A1D98" w:rsidRPr="00795B8F" w:rsidRDefault="005A1D98" w:rsidP="00875699">
      <w:pPr>
        <w:pStyle w:val="Heading2"/>
      </w:pPr>
      <w:bookmarkStart w:id="12" w:name="_Toc296814783"/>
      <w:bookmarkStart w:id="13" w:name="_Toc296932762"/>
      <w:r>
        <w:t>STEP-REDUCTION</w:t>
      </w:r>
      <w:bookmarkEnd w:id="12"/>
      <w:bookmarkEnd w:id="13"/>
    </w:p>
    <w:p w14:paraId="78414F58" w14:textId="7B4B05AF" w:rsidR="005A1D98" w:rsidRPr="00795B8F" w:rsidRDefault="005A1D98" w:rsidP="005A1D98">
      <w:pPr>
        <w:spacing w:line="480" w:lineRule="auto"/>
        <w:ind w:firstLine="720"/>
        <w:rPr>
          <w:rFonts w:cs="Times New Roman"/>
        </w:rPr>
      </w:pPr>
      <w:r>
        <w:rPr>
          <w:rFonts w:cs="Times New Roman"/>
        </w:rPr>
        <w:t>Relative</w:t>
      </w:r>
      <w:r w:rsidRPr="00795B8F">
        <w:rPr>
          <w:rFonts w:cs="Times New Roman"/>
        </w:rPr>
        <w:t xml:space="preserve"> reductions in daily ambu</w:t>
      </w:r>
      <w:r>
        <w:rPr>
          <w:rFonts w:cs="Times New Roman"/>
        </w:rPr>
        <w:t xml:space="preserve">lation result in seemingly benign periods of inactivity. In the elderly, reductions in ambulation can be the result of anything from inclement weather (e.g. winter </w:t>
      </w:r>
      <w:r w:rsidR="00623F5A">
        <w:rPr>
          <w:rFonts w:cs="Times New Roman"/>
        </w:rPr>
        <w:t>in Canada</w:t>
      </w:r>
      <w:r>
        <w:rPr>
          <w:rFonts w:cs="Times New Roman"/>
        </w:rPr>
        <w:t>) to a brief period of hospitalization. H</w:t>
      </w:r>
      <w:r w:rsidRPr="00795B8F">
        <w:rPr>
          <w:rFonts w:cs="Times New Roman"/>
        </w:rPr>
        <w:t>osp</w:t>
      </w:r>
      <w:r>
        <w:rPr>
          <w:rFonts w:cs="Times New Roman"/>
        </w:rPr>
        <w:t xml:space="preserve">ital-associated deconditioning is common </w:t>
      </w:r>
      <w:r w:rsidR="00BE7FB5">
        <w:rPr>
          <w:rFonts w:cs="Times New Roman"/>
        </w:rPr>
        <w:t>for</w:t>
      </w:r>
      <w:r w:rsidRPr="00795B8F">
        <w:rPr>
          <w:rFonts w:cs="Times New Roman"/>
        </w:rPr>
        <w:t xml:space="preserve"> older adults </w:t>
      </w:r>
      <w:r w:rsidR="00BE7FB5">
        <w:rPr>
          <w:rFonts w:cs="Times New Roman"/>
        </w:rPr>
        <w:t xml:space="preserve">as they </w:t>
      </w:r>
      <w:r w:rsidRPr="00795B8F">
        <w:rPr>
          <w:rFonts w:cs="Times New Roman"/>
        </w:rPr>
        <w:t xml:space="preserve">are </w:t>
      </w:r>
      <w:r>
        <w:rPr>
          <w:rFonts w:cs="Times New Roman"/>
        </w:rPr>
        <w:lastRenderedPageBreak/>
        <w:t xml:space="preserve">oftentimes told </w:t>
      </w:r>
      <w:r w:rsidRPr="00795B8F">
        <w:rPr>
          <w:rFonts w:cs="Times New Roman"/>
        </w:rPr>
        <w:t xml:space="preserve">to remain in bed for periods of time during hospitalization, </w:t>
      </w:r>
      <w:r>
        <w:rPr>
          <w:rFonts w:cs="Times New Roman"/>
        </w:rPr>
        <w:t xml:space="preserve">which is often a </w:t>
      </w:r>
      <w:r w:rsidRPr="00795B8F">
        <w:rPr>
          <w:rFonts w:cs="Times New Roman"/>
        </w:rPr>
        <w:t>prescription without reason</w:t>
      </w:r>
      <w:r w:rsidRPr="00795B8F">
        <w:rPr>
          <w:rFonts w:cs="Times New Roman"/>
        </w:rPr>
        <w:fldChar w:fldCharType="begin" w:fldLock="1"/>
      </w:r>
      <w:r w:rsidR="00225DB1">
        <w:rPr>
          <w:rFonts w:cs="Times New Roman"/>
        </w:rPr>
        <w:instrText>ADDIN CSL_CITATION { "citationItems" : [ { "id" : "ITEM-1", "itemData" : { "DOI" : "10.1111/j.1532-5415.2004.52354.x", "ISBN" : "0002-8614", "ISSN" : "00028614", "PMID" : "15271112", "abstract" : "OBJECTIVES: To estimate the prevalence of different levels of mobility in a hospitalized older cohort, to measure the degree and rate of adverse outcomes associated with different mobility levels, and to examine the physician activity orders and documented reasons for bedrest in the lowest mobility group. DESIGN: A prospective cohort study. SETTING: An 800-bed university teaching hospital. PARTICIPANTS: Four hundred ninety-eight hospitalized medical patients, aged 70 and older. MEASUREMENTS: Using average mobility level, scored from 0 to 12, the low-mobility group was defined as having a score of 4 or less, intermediate as a score of higher than 4 to 8, and high as higher than 8. Outcomes were functional decline, new institutionalization, death, and death or new institutionalization. RESULTS: Low and intermediate levels of mobility were common, accounting for 80 (16%) and 157 (32%) study patients, respectively. Overall, any activity of daily living (ADL) decline occurred in 29%, new institutionalization in 13%, death in 7%, and death or new institutionalization in 22% of patients in this cohort. When compared with the high mobility group, the low and intermediate groups were associated with the adverse outcomes in a graded fashion, even after controlling for multiple confounders. The low-mobility group had an adjusted odds ratio (OR) of 5.6 (95% confidence interval (CI)=2.9-11.0) for ADL decline, 6.0 (95% CI=2.5-14.8) for new institutionalization, 34.3 (95% CI=6.3-185.9) for death, and 7.2 (95% CI=3.6-14.4) for death or new institutionalization. The intermediate group had adjusted ORs of 2.5 (95% CI=1.5-4.1), 2.9 (95% CI=1.4-6.0), 10.1 (95% CI=1.9-52.9), and 3.3 (95% CI=1.8-5.9) for ADL decline, new institutionalization, death, and death or new institutionalization, respectively. Bedrest was ordered at some point during hospitalization in 165 (33%) patients. For most patients, mobility was limited involuntarily (bedrest orders), and almost 60% of bedrest episodes in the lowest mobility group had no documented medical indication. CONCLUSION: Low mobility and bedrest are common in hospitalized older patients and are important predictors of adverse outcomes. This study demonstrated that the adverse outcomes associated with low mobility and bedrest may be viewed as iatrogenic events leading to complications, such as functional decline.", "author" : [ { "dropping-particle" : "", "family" : "Brown", "given" : "Cynthia J.", "non-dropping-particle" : "", "parse-names" : false, "suffix" : "" }, { "dropping-particle" : "", "family" : "Friedkin", "given" : "Rebecca J.", "non-dropping-particle" : "", "parse-names" : false, "suffix" : "" }, { "dropping-particle" : "", "family" : "Inouye", "given" : "Sharon K.", "non-dropping-particle" : "", "parse-names" : false, "suffix" : "" } ], "container-title" : "Journal of the American Geriatrics Society", "id" : "ITEM-1", "issue" : "8", "issued" : { "date-parts" : [ [ "2004" ] ] }, "page" : "1263-1270", "title" : "Prevalence and outcomes of low mobility in hospitalized older patients", "type" : "article-journal", "volume" : "52" }, "uris" : [ "http://www.mendeley.com/documents/?uuid=24204b2a-6268-4a29-9611-2110af680394" ] } ], "mendeley" : { "formattedCitation" : "&lt;sup&gt;66&lt;/sup&gt;", "plainTextFormattedCitation" : "66", "previouslyFormattedCitation" : "&lt;sup&gt;66&lt;/sup&gt;"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66</w:t>
      </w:r>
      <w:r w:rsidRPr="00795B8F">
        <w:rPr>
          <w:rFonts w:cs="Times New Roman"/>
        </w:rPr>
        <w:fldChar w:fldCharType="end"/>
      </w:r>
      <w:r w:rsidRPr="00795B8F">
        <w:rPr>
          <w:rFonts w:cs="Times New Roman"/>
        </w:rPr>
        <w:t>.</w:t>
      </w:r>
      <w:r>
        <w:rPr>
          <w:rFonts w:cs="Times New Roman"/>
        </w:rPr>
        <w:t xml:space="preserve"> </w:t>
      </w:r>
      <w:r w:rsidRPr="00795B8F">
        <w:rPr>
          <w:rFonts w:cs="Times New Roman"/>
        </w:rPr>
        <w:t>Th</w:t>
      </w:r>
      <w:r>
        <w:rPr>
          <w:rFonts w:cs="Times New Roman"/>
        </w:rPr>
        <w:t xml:space="preserve">us a </w:t>
      </w:r>
      <w:r w:rsidRPr="00795B8F">
        <w:rPr>
          <w:rFonts w:cs="Times New Roman"/>
        </w:rPr>
        <w:t>num</w:t>
      </w:r>
      <w:r>
        <w:rPr>
          <w:rFonts w:cs="Times New Roman"/>
        </w:rPr>
        <w:t>b</w:t>
      </w:r>
      <w:r w:rsidRPr="00795B8F">
        <w:rPr>
          <w:rFonts w:cs="Times New Roman"/>
        </w:rPr>
        <w:t xml:space="preserve">er </w:t>
      </w:r>
      <w:r>
        <w:rPr>
          <w:rFonts w:cs="Times New Roman"/>
        </w:rPr>
        <w:t xml:space="preserve">of </w:t>
      </w:r>
      <w:r w:rsidRPr="00795B8F">
        <w:rPr>
          <w:rFonts w:cs="Times New Roman"/>
        </w:rPr>
        <w:t xml:space="preserve">hospitalized older adults remain immobile during </w:t>
      </w:r>
      <w:r>
        <w:rPr>
          <w:rFonts w:cs="Times New Roman"/>
        </w:rPr>
        <w:t>a hospital</w:t>
      </w:r>
      <w:r w:rsidRPr="00795B8F">
        <w:rPr>
          <w:rFonts w:cs="Times New Roman"/>
        </w:rPr>
        <w:t xml:space="preserve"> stay despite possessing the capacity to remain ambula</w:t>
      </w:r>
      <w:r>
        <w:rPr>
          <w:rFonts w:cs="Times New Roman"/>
        </w:rPr>
        <w:t>tory</w:t>
      </w:r>
      <w:r w:rsidRPr="00795B8F">
        <w:rPr>
          <w:rFonts w:cs="Times New Roman"/>
        </w:rPr>
        <w:t xml:space="preserve"> </w:t>
      </w:r>
      <w:r w:rsidRPr="00795B8F">
        <w:rPr>
          <w:rFonts w:cs="Times New Roman"/>
        </w:rPr>
        <w:fldChar w:fldCharType="begin" w:fldLock="1"/>
      </w:r>
      <w:r w:rsidR="00225DB1">
        <w:rPr>
          <w:rFonts w:cs="Times New Roman"/>
        </w:rPr>
        <w:instrText>ADDIN CSL_CITATION { "citationItems" : [ { "id" : "ITEM-1", "itemData" : { "DOI" : "10.1111/j.1532-5415.2009.02393.x", "ISBN" : "0002-8614", "ISSN" : "00028614", "PMID" : "19682121", "abstract" : "OBJECTIVES: To examine the proportion of time spent in three levels of mobility (lying, sitting, and standing or walking) by a cohort of hospitalized older veterans as measured by validated wireless accelerometers. DESIGN: A prospective, observational cohort study. SETTING: One hundred fifty-bed Department of Veterans Affairs hospital. PARTICIPANTS: Forty-five hospitalized medical patients, aged 65 and older who were not delirious, did not have dementia, and were able to walk in the 2 weeks before admission were eligible. MEASUREMENTS: Wireless accelerometers were attached to the thigh and ankle of patients for the first 7 days after admission or until hospital discharge, whichever came first. The mean proportion of time spent lying, sitting, and standing or walking was determined for each hour after hospital admission using a previously validated algorithm. RESULTS: Forty-five male patients (mean age 74.2) with a mean length of stay of 5.1 days generated 2,592 one-hour periods of data. A baseline functional assessment indicated that 35 (77.8%) study patients were willing and able to walk a short distance independently. No patient remained in bed the entire measured hospital stay, but on average, 83% of the measured hospital stay was spent lying in bed. The average amount of time that any one individual spent standing or walking ranged from a low of 0.2% to a high of 21%, with a median of 3%, or 43 minutes per day. CONCLUSION: This is the first study to continuously monitor mobility levels early during a hospital stay. On average, older hospitalized patients spent most of their time lying in bed, despite an ability to walk independently.", "author" : [ { "dropping-particle" : "", "family" : "Brown", "given" : "Cynthia J.", "non-dropping-particle" : "", "parse-names" : false, "suffix" : "" }, { "dropping-particle" : "", "family" : "Redden", "given" : "David T.", "non-dropping-particle" : "", "parse-names" : false, "suffix" : "" }, { "dropping-particle" : "", "family" : "Flood", "given" : "Kellie L.", "non-dropping-particle" : "", "parse-names" : false, "suffix" : "" }, { "dropping-particle" : "", "family" : "Allman", "given" : "Richard M.", "non-dropping-particle" : "", "parse-names" : false, "suffix" : "" } ], "container-title" : "Journal of the American Geriatrics Society", "id" : "ITEM-1", "issue" : "9", "issued" : { "date-parts" : [ [ "2009", "9" ] ] }, "page" : "1660-1665", "title" : "The underrecognized epidemic of low mobility during hospitalization of older adults", "type" : "article-journal", "volume" : "57" }, "uris" : [ "http://www.mendeley.com/documents/?uuid=1dfd85d6-53f1-4d7d-849f-3a49ed4c4233" ] }, { "id" : "ITEM-2", "itemData" : { "DOI" : "10.1111/j.1532-5415.2004.52354.x", "ISBN" : "0002-8614", "ISSN" : "00028614", "PMID" : "15271112", "abstract" : "OBJECTIVES: To estimate the prevalence of different levels of mobility in a hospitalized older cohort, to measure the degree and rate of adverse outcomes associated with different mobility levels, and to examine the physician activity orders and documented reasons for bedrest in the lowest mobility group. DESIGN: A prospective cohort study. SETTING: An 800-bed university teaching hospital. PARTICIPANTS: Four hundred ninety-eight hospitalized medical patients, aged 70 and older. MEASUREMENTS: Using average mobility level, scored from 0 to 12, the low-mobility group was defined as having a score of 4 or less, intermediate as a score of higher than 4 to 8, and high as higher than 8. Outcomes were functional decline, new institutionalization, death, and death or new institutionalization. RESULTS: Low and intermediate levels of mobility were common, accounting for 80 (16%) and 157 (32%) study patients, respectively. Overall, any activity of daily living (ADL) decline occurred in 29%, new institutionalization in 13%, death in 7%, and death or new institutionalization in 22% of patients in this cohort. When compared with the high mobility group, the low and intermediate groups were associated with the adverse outcomes in a graded fashion, even after controlling for multiple confounders. The low-mobility group had an adjusted odds ratio (OR) of 5.6 (95% confidence interval (CI)=2.9-11.0) for ADL decline, 6.0 (95% CI=2.5-14.8) for new institutionalization, 34.3 (95% CI=6.3-185.9) for death, and 7.2 (95% CI=3.6-14.4) for death or new institutionalization. The intermediate group had adjusted ORs of 2.5 (95% CI=1.5-4.1), 2.9 (95% CI=1.4-6.0), 10.1 (95% CI=1.9-52.9), and 3.3 (95% CI=1.8-5.9) for ADL decline, new institutionalization, death, and death or new institutionalization, respectively. Bedrest was ordered at some point during hospitalization in 165 (33%) patients. For most patients, mobility was limited involuntarily (bedrest orders), and almost 60% of bedrest episodes in the lowest mobility group had no documented medical indication. CONCLUSION: Low mobility and bedrest are common in hospitalized older patients and are important predictors of adverse outcomes. This study demonstrated that the adverse outcomes associated with low mobility and bedrest may be viewed as iatrogenic events leading to complications, such as functional decline.", "author" : [ { "dropping-particle" : "", "family" : "Brown", "given" : "Cynthia J.", "non-dropping-particle" : "", "parse-names" : false, "suffix" : "" }, { "dropping-particle" : "", "family" : "Friedkin", "given" : "Rebecca J.", "non-dropping-particle" : "", "parse-names" : false, "suffix" : "" }, { "dropping-particle" : "", "family" : "Inouye", "given" : "Sharon K.", "non-dropping-particle" : "", "parse-names" : false, "suffix" : "" } ], "container-title" : "Journal of the American Geriatrics Society", "id" : "ITEM-2", "issue" : "8", "issued" : { "date-parts" : [ [ "2004" ] ] }, "page" : "1263-1270", "title" : "Prevalence and outcomes of low mobility in hospitalized older patients", "type" : "article-journal", "volume" : "52" }, "uris" : [ "http://www.mendeley.com/documents/?uuid=24204b2a-6268-4a29-9611-2110af680394" ] } ], "mendeley" : { "formattedCitation" : "&lt;sup&gt;66,67&lt;/sup&gt;", "plainTextFormattedCitation" : "66,67", "previouslyFormattedCitation" : "&lt;sup&gt;66,67&lt;/sup&gt;"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66,67</w:t>
      </w:r>
      <w:r w:rsidRPr="00795B8F">
        <w:rPr>
          <w:rFonts w:cs="Times New Roman"/>
        </w:rPr>
        <w:fldChar w:fldCharType="end"/>
      </w:r>
      <w:r w:rsidRPr="00795B8F">
        <w:rPr>
          <w:rFonts w:cs="Times New Roman"/>
        </w:rPr>
        <w:t xml:space="preserve">. </w:t>
      </w:r>
      <w:r>
        <w:rPr>
          <w:rFonts w:cs="Times New Roman"/>
        </w:rPr>
        <w:t>S</w:t>
      </w:r>
      <w:r w:rsidRPr="00795B8F">
        <w:rPr>
          <w:rFonts w:cs="Times New Roman"/>
        </w:rPr>
        <w:t xml:space="preserve">tudies of hospitalized </w:t>
      </w:r>
      <w:r>
        <w:rPr>
          <w:rFonts w:cs="Times New Roman"/>
        </w:rPr>
        <w:t xml:space="preserve">older </w:t>
      </w:r>
      <w:r w:rsidRPr="00795B8F">
        <w:rPr>
          <w:rFonts w:cs="Times New Roman"/>
        </w:rPr>
        <w:t>patient</w:t>
      </w:r>
      <w:r>
        <w:rPr>
          <w:rFonts w:cs="Times New Roman"/>
        </w:rPr>
        <w:t>s</w:t>
      </w:r>
      <w:r w:rsidRPr="00795B8F">
        <w:rPr>
          <w:rFonts w:cs="Times New Roman"/>
        </w:rPr>
        <w:t xml:space="preserve"> indicate averages of 45-60 minutes of standing or walking </w:t>
      </w:r>
      <w:r>
        <w:rPr>
          <w:rFonts w:cs="Times New Roman"/>
        </w:rPr>
        <w:t>per</w:t>
      </w:r>
      <w:r w:rsidRPr="00795B8F">
        <w:rPr>
          <w:rFonts w:cs="Times New Roman"/>
        </w:rPr>
        <w:t xml:space="preserve"> day</w:t>
      </w:r>
      <w:r w:rsidRPr="00795B8F">
        <w:rPr>
          <w:rFonts w:cs="Times New Roman"/>
        </w:rPr>
        <w:fldChar w:fldCharType="begin" w:fldLock="1"/>
      </w:r>
      <w:r w:rsidR="00225DB1">
        <w:rPr>
          <w:rFonts w:cs="Times New Roman"/>
        </w:rPr>
        <w:instrText>ADDIN CSL_CITATION { "citationItems" : [ { "id" : "ITEM-1", "itemData" : { "DOI" : "10.1111/j.1532-5415.2009.02393.x", "ISBN" : "0002-8614", "ISSN" : "00028614", "PMID" : "19682121", "abstract" : "OBJECTIVES: To examine the proportion of time spent in three levels of mobility (lying, sitting, and standing or walking) by a cohort of hospitalized older veterans as measured by validated wireless accelerometers. DESIGN: A prospective, observational cohort study. SETTING: One hundred fifty-bed Department of Veterans Affairs hospital. PARTICIPANTS: Forty-five hospitalized medical patients, aged 65 and older who were not delirious, did not have dementia, and were able to walk in the 2 weeks before admission were eligible. MEASUREMENTS: Wireless accelerometers were attached to the thigh and ankle of patients for the first 7 days after admission or until hospital discharge, whichever came first. The mean proportion of time spent lying, sitting, and standing or walking was determined for each hour after hospital admission using a previously validated algorithm. RESULTS: Forty-five male patients (mean age 74.2) with a mean length of stay of 5.1 days generated 2,592 one-hour periods of data. A baseline functional assessment indicated that 35 (77.8%) study patients were willing and able to walk a short distance independently. No patient remained in bed the entire measured hospital stay, but on average, 83% of the measured hospital stay was spent lying in bed. The average amount of time that any one individual spent standing or walking ranged from a low of 0.2% to a high of 21%, with a median of 3%, or 43 minutes per day. CONCLUSION: This is the first study to continuously monitor mobility levels early during a hospital stay. On average, older hospitalized patients spent most of their time lying in bed, despite an ability to walk independently.", "author" : [ { "dropping-particle" : "", "family" : "Brown", "given" : "Cynthia J.", "non-dropping-particle" : "", "parse-names" : false, "suffix" : "" }, { "dropping-particle" : "", "family" : "Redden", "given" : "David T.", "non-dropping-particle" : "", "parse-names" : false, "suffix" : "" }, { "dropping-particle" : "", "family" : "Flood", "given" : "Kellie L.", "non-dropping-particle" : "", "parse-names" : false, "suffix" : "" }, { "dropping-particle" : "", "family" : "Allman", "given" : "Richard M.", "non-dropping-particle" : "", "parse-names" : false, "suffix" : "" } ], "container-title" : "Journal of the American Geriatrics Society", "id" : "ITEM-1", "issue" : "9", "issued" : { "date-parts" : [ [ "2009", "9" ] ] }, "page" : "1660-1665", "title" : "The underrecognized epidemic of low mobility during hospitalization of older adults", "type" : "article-journal", "volume" : "57" }, "uris" : [ "http://www.mendeley.com/documents/?uuid=1dfd85d6-53f1-4d7d-849f-3a49ed4c4233" ] }, { "id" : "ITEM-2", "itemData" : { "DOI" : "10.1093/gerona/gls165", "ISSN" : "10795006", "PMID" : "22972940", "abstract" : "BACKGROUND: Inactivity during hospitalization in older medical patients may lead to functional decline. This study quantified 24-hour mobility, validated the accelerometers used, and assessed the daily level of basic mobility in acutely admitted older medical patients during their hospitalization.\\n\\nMETHODS: This is a prospective cohort study in older medical patients able to walk independently (ambulatory patients) and those not able to walk independently (nonambulatory patients) on admission. The 24-hour mobility level during hospitalization was assessed by measuring the time in lying, sitting, and standing and/or walking, by two accelerometers. Basic mobility was quantified within 48 hours of admission and repeated daily throughout hospitalization.\\n\\nRESULTS: Forty-three ambulatory patients and six nonambulatory patients were included. The ambulatory patients tended to be hospitalized for fewer days than the nonambulatory patients (7 vs 16, p = .13). The ambulatory patients were lying median 17 hours, (interquartile range [IQR]: 14.4-19.1), sitting 5.1 hours (IQR: 2.9-7.1), and standing and/or walking 1.1 hours (IQR: 0.6-1.7) per day. On days with independency in basic mobility, the ambulatory patients were lying 4.1 hours less compared with days with dependency in basic mobility (p &lt; .0001), sitting 2.4 hours more (p = .0004), and standing 0.9 hours more (p &lt; .0001). The algorithm identification for lying, sitting, and standing and/or walking of the accelerometers, corresponded by 89%-100% with positions performed by older medical patients.\\n\\nCONCLUSIONS: Older acutely hospitalized medical patients with walking ability spent 17h/d of their in-hospital time in bed, and the level of in-hospital mobility seemed to depend on the patients' level of basic mobility. The accelerometers were valid in assessing mobility in older medical patients.", "author" : [ { "dropping-particle" : "", "family" : "Pedersen", "given" : "Mette Merete", "non-dropping-particle" : "", "parse-names" : false, "suffix" : "" }, { "dropping-particle" : "", "family" : "Bodilsen", "given" : "Ann Christine", "non-dropping-particle" : "", "parse-names" : false, "suffix" : "" }, { "dropping-particle" : "", "family" : "Petersen", "given" : "Janne", "non-dropping-particle" : "", "parse-names" : false, "suffix" : "" }, { "dropping-particle" : "", "family" : "Beyer", "given" : "Nina", "non-dropping-particle" : "", "parse-names" : false, "suffix" : "" }, { "dropping-particle" : "", "family" : "Andersen", "given" : "Ove", "non-dropping-particle" : "", "parse-names" : false, "suffix" : "" }, { "dropping-particle" : "", "family" : "Lawson-Smith", "given" : "Louise", "non-dropping-particle" : "", "parse-names" : false, "suffix" : "" }, { "dropping-particle" : "", "family" : "Kehlet", "given" : "Henrik", "non-dropping-particle" : "", "parse-names" : false, "suffix" : "" }, { "dropping-particle" : "", "family" : "Bandholm", "given" : "Thomas", "non-dropping-particle" : "", "parse-names" : false, "suffix" : "" } ], "container-title" : "Journals of Gerontology - Series A Biological Sciences and Medical Sciences", "id" : "ITEM-2", "issue" : "3", "issued" : { "date-parts" : [ [ "2013", "3" ] ] }, "page" : "331-337", "title" : "Twenty-four-hour mobility during acute hospitalization in older medical patients", "type" : "article-journal", "volume" : "68" }, "uris" : [ "http://www.mendeley.com/documents/?uuid=351d9bb7-a6b9-4a40-98a9-0745dde08ae0" ] } ], "mendeley" : { "formattedCitation" : "&lt;sup&gt;67,68&lt;/sup&gt;", "plainTextFormattedCitation" : "67,68", "previouslyFormattedCitation" : "&lt;sup&gt;67,68&lt;/sup&gt;"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67,68</w:t>
      </w:r>
      <w:r w:rsidRPr="00795B8F">
        <w:rPr>
          <w:rFonts w:cs="Times New Roman"/>
        </w:rPr>
        <w:fldChar w:fldCharType="end"/>
      </w:r>
      <w:r w:rsidRPr="00795B8F">
        <w:rPr>
          <w:rFonts w:cs="Times New Roman"/>
        </w:rPr>
        <w:t xml:space="preserve"> </w:t>
      </w:r>
      <w:r>
        <w:rPr>
          <w:rFonts w:cs="Times New Roman"/>
        </w:rPr>
        <w:t xml:space="preserve">resulting in </w:t>
      </w:r>
      <w:r w:rsidRPr="00795B8F">
        <w:rPr>
          <w:rFonts w:cs="Times New Roman"/>
        </w:rPr>
        <w:t xml:space="preserve">approximately </w:t>
      </w:r>
      <w:r w:rsidR="00623F5A">
        <w:rPr>
          <w:rFonts w:cs="Times New Roman"/>
        </w:rPr>
        <w:t>500-700</w:t>
      </w:r>
      <w:r w:rsidRPr="00795B8F">
        <w:rPr>
          <w:rFonts w:cs="Times New Roman"/>
        </w:rPr>
        <w:t xml:space="preserve"> steps per day</w:t>
      </w:r>
      <w:r w:rsidRPr="00795B8F">
        <w:rPr>
          <w:rFonts w:cs="Times New Roman"/>
        </w:rPr>
        <w:fldChar w:fldCharType="begin" w:fldLock="1"/>
      </w:r>
      <w:r w:rsidR="00225DB1">
        <w:rPr>
          <w:rFonts w:cs="Times New Roman"/>
        </w:rPr>
        <w:instrText>ADDIN CSL_CITATION { "citationItems" : [ { "id" : "ITEM-1", "itemData" : { "DOI" : "10.1001/archinternmed.2010.422.Early", "ISSN" : "1538-3679", "PMID" : "21098357", "abstract" : "There are no therapeutic guidelines regarding ambulation for older adults hospitalized for acute illness.1 The importance of early ambulation to recovery in other patient populations is well established.2,3 For example, time to ambulation after hip fracture surgery is a predictor of complications such as prolonged length of stay (LOS).4 In the present study, we examined the association between ambulation and LOS in geriatric patients admitted for acute illnesses. We hypothesized that increase in ambulation within the 48 hours after admission would predict LOS after adjusting for risk factors", "author" : [ { "dropping-particle" : "", "family" : "Fisher", "given" : "Steve R", "non-dropping-particle" : "", "parse-names" : false, "suffix" : "" }, { "dropping-particle" : "", "family" : "Kuo", "given" : "Yong-fang", "non-dropping-particle" : "", "parse-names" : false, "suffix" : "" }, { "dropping-particle" : "", "family" : "Graham", "given" : "James E", "non-dropping-particle" : "", "parse-names" : false, "suffix" : "" }, { "dropping-particle" : "", "family" : "Ottenbacher", "given" : "Kenneth J", "non-dropping-particle" : "", "parse-names" : false, "suffix" : "" }, { "dropping-particle" : "V", "family" : "Ostir", "given" : "Glenn", "non-dropping-particle" : "", "parse-names" : false, "suffix" : "" } ], "container-title" : "Archives of internal medicine", "id" : "ITEM-1", "issue" : "21", "issued" : { "date-parts" : [ [ "2010" ] ] }, "page" : "1942-1943", "title" : "Early ambulation and length of stay in older adults hospitalized for acute illness.", "type" : "article-journal", "volume" : "170" }, "uris" : [ "http://www.mendeley.com/documents/?uuid=d198d152-a6d1-45aa-a9f5-dbc31e7dbad9" ] }, { "id" : "ITEM-2", "itemData" : { "DOI" : "10.1001/archinternmed.2011.322", "ISSN" : "0003-9926", "PMID" : "21788551", "author" : [ { "dropping-particle" : "", "family" : "Shadmi", "given" : "Efrat", "non-dropping-particle" : "", "parse-names" : false, "suffix" : "" }, { "dropping-particle" : "", "family" : "Zisberg", "given" : "Anna", "non-dropping-particle" : "", "parse-names" : false, "suffix" : "" } ], "container-title" : "Archives of internal medicine", "id" : "ITEM-2", "issue" : "14", "issued" : { "date-parts" : [ [ "2011" ] ] }, "page" : "1298; author reply 1298-1299", "title" : "In-hospital mobility and length of stay.", "type" : "article-journal", "volume" : "171" }, "uris" : [ "http://www.mendeley.com/documents/?uuid=105c0ce2-6cb9-4e56-ac9e-b720033a2b80" ] }, { "id" : "ITEM-3", "itemData" : { "DOI" : "10.1093/ageing/afr127", "ISSN" : "00020729", "PMID" : "21948856", "author" : [ { "dropping-particle" : "", "family" : "Fryer", "given" : "Caroline", "non-dropping-particle" : "", "parse-names" : false, "suffix" : "" }, { "dropping-particle" : "", "family" : "Mackintosh", "given" : "Shylie", "non-dropping-particle" : "", "parse-names" : false, "suffix" : "" }, { "dropping-particle" : "", "family" : "Batchelor", "given" : "Frances", "non-dropping-particle" : "", "parse-names" : false, "suffix" : "" }, { "dropping-particle" : "", "family" : "Hill", "given" : "Keith", "non-dropping-particle" : "", "parse-names" : false, "suffix" : "" }, { "dropping-particle" : "", "family" : "Said", "given" : "Catherine", "non-dropping-particle" : "", "parse-names" : false, "suffix" : "" } ], "container-title" : "Age and Ageing", "id" : "ITEM-3", "issue" : "1", "issued" : { "date-parts" : [ [ "2012", "1" ] ] }, "page" : "104-107", "title" : "The effect of limited english proficiency on falls risk and falls prevention after stroke", "type" : "article-journal", "volume" : "41" }, "uris" : [ "http://www.mendeley.com/documents/?uuid=64138028-98e2-4536-8fad-39ee3c1bd7fe" ] }, { "id" : "ITEM-4", "itemData" : { "DOI" : "10.1111/j.1532-5415.2010.03202.x.Ambulatory", "author" : [ { "dropping-particle" : "", "family" : "Fisher", "given" : "Sr", "non-dropping-particle" : "", "parse-names" : false, "suffix" : "" }, { "dropping-particle" : "", "family" : "Goodwin", "given" : "Js", "non-dropping-particle" : "", "parse-names" : false, "suffix" : "" }, { "dropping-particle" : "", "family" : "Protas", "given" : "Elizabeth J", "non-dropping-particle" : "", "parse-names" : false, "suffix" : "" }, { "dropping-particle" : "", "family" : "Kuo", "given" : "Yong-Fan", "non-dropping-particle" : "", "parse-names" : false, "suffix" : "" }, { "dropping-particle" : "", "family" : "Graham", "given" : "James E", "non-dropping-particle" : "", "parse-names" : false, "suffix" : "" }, { "dropping-particle" : "", "family" : "Ottenbacker", "given" : "Kenneth J", "non-dropping-particle" : "", "parse-names" : false, "suffix" : "" }, { "dropping-particle" : "V", "family" : "Ostir", "given" : "Glenn", "non-dropping-particle" : "", "parse-names" : false, "suffix" : "" } ], "container-title" : "Journal of the \u2026", "id" : "ITEM-4", "issue" : "1", "issued" : { "date-parts" : [ [ "2011" ] ] }, "page" : "91-95", "title" : "Ambulatory Activity of Older Adults Hospitalized with Acute Medical Illness", "type" : "article-journal", "volume" : "59" }, "uris" : [ "http://www.mendeley.com/documents/?uuid=165f34e4-d25f-48e8-979d-06e576766711" ] } ], "mendeley" : { "formattedCitation" : "&lt;sup&gt;69\u201372&lt;/sup&gt;", "plainTextFormattedCitation" : "69\u201372", "previouslyFormattedCitation" : "&lt;sup&gt;69\u201372&lt;/sup&gt;"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69–72</w:t>
      </w:r>
      <w:r w:rsidRPr="00795B8F">
        <w:rPr>
          <w:rFonts w:cs="Times New Roman"/>
        </w:rPr>
        <w:fldChar w:fldCharType="end"/>
      </w:r>
      <w:r w:rsidRPr="00795B8F">
        <w:rPr>
          <w:rFonts w:cs="Times New Roman"/>
        </w:rPr>
        <w:t xml:space="preserve">. </w:t>
      </w:r>
      <w:r>
        <w:rPr>
          <w:rFonts w:cs="Times New Roman"/>
        </w:rPr>
        <w:t xml:space="preserve">Periods of limited ambulation </w:t>
      </w:r>
      <w:r w:rsidRPr="00795B8F">
        <w:rPr>
          <w:rFonts w:cs="Times New Roman"/>
        </w:rPr>
        <w:t>such as these are, much like bed-rest and aging, associated with functional declines in ADL and increased mortality even after controlling for comorbidi</w:t>
      </w:r>
      <w:r>
        <w:rPr>
          <w:rFonts w:cs="Times New Roman"/>
        </w:rPr>
        <w:t>es</w:t>
      </w:r>
      <w:r w:rsidRPr="00795B8F">
        <w:rPr>
          <w:rFonts w:cs="Times New Roman"/>
        </w:rPr>
        <w:fldChar w:fldCharType="begin" w:fldLock="1"/>
      </w:r>
      <w:r w:rsidR="00225DB1">
        <w:rPr>
          <w:rFonts w:cs="Times New Roman"/>
        </w:rPr>
        <w:instrText>ADDIN CSL_CITATION { "citationItems" : [ { "id" : "ITEM-1", "itemData" : { "DOI" : "10.1046/j.1532-5415.2003.51152.x", "ISBN" : "0002-8614 (Print) 0002-8614 (Linking)", "ISSN" : "00028614", "PMID" : "12657063", "abstract" : "OBJECTIVES: To describe the changes in activities of daily living (ADL) function occurring before and after hospital admission in older people hospitalized with medical illness and to assess the effect of age on loss of ADL function. DESIGN: Prospective observational study. SETTING: The general medical service of two hospitals. PARTICIPANTS: Two thousand two hundred ninety-three patients aged 70 and older (mean age 80, 64% women, 24% nonwhite). MEASUREMENTS: At the time of hospital admission, patients or their surrogates were interviewed about their independence in five ADLs (bathing, dressing, eating, transferring, and toileting) 2 weeks before admission (baseline) and at admission. Subjects were interviewed about ADL function at discharge. Outcome measures included functional decline between baseline and discharge and functional changes between baseline and admission and between admission and discharge. RESULTS: Thirty-five percent of patients declined in ADL function between baseline and discharge. This included the 23% of patients who declined between baseline and admission and failed to recover to baseline function between admission and discharge and the 12% of patients who did not decline between baseline and admission but declined between hospital admission and discharge. Twenty percent of patients declined between baseline and admission but recovered to baseline function between admission and discharge. The frequency of ADL decline between baseline and discharge varied markedly with age (23%, 28%, 38%, 50%, and 63% in patients aged 70-74, 75-79, 80-84, 85-89, and &gt; or =90, respectively, P &lt;.001). After adjustment for potential confounders, age was not associated with ADL decline before hospitalization (odds ratio (OR) for patients aged &gt; or =90 compared with patients aged 70-74 = 1.26, 95% confidence interval (CI) = 0.88-1.82). In contrast, age was associated with the failure to recover ADL function during hospitalization in patients who declined before admission (OR for patients aged &gt; or =90 compared with patients aged 70-74 = 2.09, 95% CI = 1.20-3.65) and with new losses of ADL function during hospitalization in patients who did not decline before admission (OR for patients aged &gt; or =90 compared with patients aged 70-74 = 3.43, 95% CI = 1.92-6.12). CONCLUSION: Many hospitalized older people are discharged with ADL function that is worse than their baseline function. The oldest patients are at particularly high risk of poor functional outcome\u2026", "author" : [ { "dropping-particle" : "", "family" : "Covinsky", "given" : "Kenneth E.", "non-dropping-particle" : "", "parse-names" : false, "suffix" : "" }, { "dropping-particle" : "", "family" : "Palmer", "given" : "Robert M.", "non-dropping-particle" : "", "parse-names" : false, "suffix" : "" }, { "dropping-particle" : "", "family" : "Fortinsky", "given" : "Richard H.", "non-dropping-particle" : "", "parse-names" : false, "suffix" : "" }, { "dropping-particle" : "", "family" : "Counsell", "given" : "Steven R.", "non-dropping-particle" : "", "parse-names" : false, "suffix" : "" }, { "dropping-particle" : "", "family" : "Stewart", "given" : "Anita L.", "non-dropping-particle" : "", "parse-names" : false, "suffix" : "" }, { "dropping-particle" : "", "family" : "Kresevic", "given" : "Denise", "non-dropping-particle" : "", "parse-names" : false, "suffix" : "" }, { "dropping-particle" : "", "family" : "Burant", "given" : "Christopher J.", "non-dropping-particle" : "", "parse-names" : false, "suffix" : "" }, { "dropping-particle" : "", "family" : "Landefeld", "given" : "C. Seth", "non-dropping-particle" : "", "parse-names" : false, "suffix" : "" } ], "container-title" : "Journal of the American Geriatrics Society", "id" : "ITEM-1", "issue" : "4", "issued" : { "date-parts" : [ [ "2003", "4" ] ] }, "page" : "451-458", "title" : "Loss of independence in activities of daily living in older adults hospitalized with medical illnesses: Increased vulnerability with age", "type" : "article-journal", "volume" : "51" }, "uris" : [ "http://www.mendeley.com/documents/?uuid=1a753f89-c36f-4b0a-8616-7d3ebd2ef692" ] }, { "id" : "ITEM-2", "itemData" : { "DOI" : "10.1111/j.1532-5415.2004.52354.x", "ISBN" : "0002-8614", "ISSN" : "00028614", "PMID" : "15271112", "abstract" : "OBJECTIVES: To estimate the prevalence of different levels of mobility in a hospitalized older cohort, to measure the degree and rate of adverse outcomes associated with different mobility levels, and to examine the physician activity orders and documented reasons for bedrest in the lowest mobility group. DESIGN: A prospective cohort study. SETTING: An 800-bed university teaching hospital. PARTICIPANTS: Four hundred ninety-eight hospitalized medical patients, aged 70 and older. MEASUREMENTS: Using average mobility level, scored from 0 to 12, the low-mobility group was defined as having a score of 4 or less, intermediate as a score of higher than 4 to 8, and high as higher than 8. Outcomes were functional decline, new institutionalization, death, and death or new institutionalization. RESULTS: Low and intermediate levels of mobility were common, accounting for 80 (16%) and 157 (32%) study patients, respectively. Overall, any activity of daily living (ADL) decline occurred in 29%, new institutionalization in 13%, death in 7%, and death or new institutionalization in 22% of patients in this cohort. When compared with the high mobility group, the low and intermediate groups were associated with the adverse outcomes in a graded fashion, even after controlling for multiple confounders. The low-mobility group had an adjusted odds ratio (OR) of 5.6 (95% confidence interval (CI)=2.9-11.0) for ADL decline, 6.0 (95% CI=2.5-14.8) for new institutionalization, 34.3 (95% CI=6.3-185.9) for death, and 7.2 (95% CI=3.6-14.4) for death or new institutionalization. The intermediate group had adjusted ORs of 2.5 (95% CI=1.5-4.1), 2.9 (95% CI=1.4-6.0), 10.1 (95% CI=1.9-52.9), and 3.3 (95% CI=1.8-5.9) for ADL decline, new institutionalization, death, and death or new institutionalization, respectively. Bedrest was ordered at some point during hospitalization in 165 (33%) patients. For most patients, mobility was limited involuntarily (bedrest orders), and almost 60% of bedrest episodes in the lowest mobility group had no documented medical indication. CONCLUSION: Low mobility and bedrest are common in hospitalized older patients and are important predictors of adverse outcomes. This study demonstrated that the adverse outcomes associated with low mobility and bedrest may be viewed as iatrogenic events leading to complications, such as functional decline.", "author" : [ { "dropping-particle" : "", "family" : "Brown", "given" : "Cynthia J.", "non-dropping-particle" : "", "parse-names" : false, "suffix" : "" }, { "dropping-particle" : "", "family" : "Friedkin", "given" : "Rebecca J.", "non-dropping-particle" : "", "parse-names" : false, "suffix" : "" }, { "dropping-particle" : "", "family" : "Inouye", "given" : "Sharon K.", "non-dropping-particle" : "", "parse-names" : false, "suffix" : "" } ], "container-title" : "Journal of the American Geriatrics Society", "id" : "ITEM-2", "issue" : "8", "issued" : { "date-parts" : [ [ "2004" ] ] }, "page" : "1263-1270", "title" : "Prevalence and outcomes of low mobility in hospitalized older patients", "type" : "article-journal", "volume" : "52" }, "uris" : [ "http://www.mendeley.com/documents/?uuid=24204b2a-6268-4a29-9611-2110af680394" ] }, { "id" : "ITEM-3", "itemData" : { "DOI" : "10.1111/j.1532-5415.2010.03276.x", "ISBN" : "0002-8614", "ISSN" : "00028614", "PMID" : "21314647", "abstract" : "To examine the association between mobility levels of older hospitalized adults and functional outcomes.", "author" : [ { "dropping-particle" : "", "family" : "Zisberg", "given" : "Anna", "non-dropping-particle" : "", "parse-names" : false, "suffix" : "" }, { "dropping-particle" : "", "family" : "Shadmi", "given" : "Efrat", "non-dropping-particle" : "", "parse-names" : false, "suffix" : "" }, { "dropping-particle" : "", "family" : "Sinoff", "given" : "Gary", "non-dropping-particle" : "", "parse-names" : false, "suffix" : "" }, { "dropping-particle" : "", "family" : "Gur-Yaish", "given" : "Nurit", "non-dropping-particle" : "", "parse-names" : false, "suffix" : "" }, { "dropping-particle" : "", "family" : "Srulovici", "given" : "Einav", "non-dropping-particle" : "", "parse-names" : false, "suffix" : "" }, { "dropping-particle" : "", "family" : "Admi", "given" : "Hanna", "non-dropping-particle" : "", "parse-names" : false, "suffix" : "" } ], "container-title" : "Journal of the American Geriatrics Society", "id" : "ITEM-3", "issue" : "2", "issued" : { "date-parts" : [ [ "2011", "2" ] ] }, "page" : "266-273", "title" : "Low mobility during hospitalization and functional decline in older adults", "type" : "article-journal", "volume" : "59" }, "uris" : [ "http://www.mendeley.com/documents/?uuid=94bee17c-dced-48d4-94c1-87075bc45639" ] } ], "mendeley" : { "formattedCitation" : "&lt;sup&gt;66,73,74&lt;/sup&gt;", "plainTextFormattedCitation" : "66,73,74", "previouslyFormattedCitation" : "&lt;sup&gt;66,73,74&lt;/sup&gt;"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66,73,74</w:t>
      </w:r>
      <w:r w:rsidRPr="00795B8F">
        <w:rPr>
          <w:rFonts w:cs="Times New Roman"/>
        </w:rPr>
        <w:fldChar w:fldCharType="end"/>
      </w:r>
      <w:r w:rsidRPr="00795B8F">
        <w:rPr>
          <w:rFonts w:cs="Times New Roman"/>
        </w:rPr>
        <w:t>.</w:t>
      </w:r>
    </w:p>
    <w:p w14:paraId="7C8DE005" w14:textId="5446BC82" w:rsidR="005A1D98" w:rsidRPr="00795B8F" w:rsidRDefault="005A1D98" w:rsidP="005A1D98">
      <w:pPr>
        <w:spacing w:line="480" w:lineRule="auto"/>
        <w:rPr>
          <w:rFonts w:cs="Times New Roman"/>
        </w:rPr>
      </w:pPr>
      <w:r w:rsidRPr="00795B8F">
        <w:rPr>
          <w:rFonts w:cs="Times New Roman"/>
        </w:rPr>
        <w:tab/>
        <w:t xml:space="preserve">Despite being a moderate, and seemingly benign form of inactivity, </w:t>
      </w:r>
      <w:r w:rsidR="002B63BD">
        <w:rPr>
          <w:rFonts w:cs="Times New Roman"/>
        </w:rPr>
        <w:t>step-reduction (</w:t>
      </w:r>
      <w:r w:rsidR="00851834">
        <w:rPr>
          <w:rFonts w:cs="Times New Roman"/>
        </w:rPr>
        <w:t>SR</w:t>
      </w:r>
      <w:r w:rsidR="002B63BD">
        <w:rPr>
          <w:rFonts w:cs="Times New Roman"/>
        </w:rPr>
        <w:t>)</w:t>
      </w:r>
      <w:r w:rsidRPr="00795B8F">
        <w:rPr>
          <w:rFonts w:cs="Times New Roman"/>
        </w:rPr>
        <w:t xml:space="preserve"> </w:t>
      </w:r>
      <w:r>
        <w:rPr>
          <w:rFonts w:cs="Times New Roman"/>
        </w:rPr>
        <w:t>results in a</w:t>
      </w:r>
      <w:r w:rsidRPr="00795B8F">
        <w:rPr>
          <w:rFonts w:cs="Times New Roman"/>
        </w:rPr>
        <w:t xml:space="preserve"> potent metabolic disturbance </w:t>
      </w:r>
      <w:r w:rsidR="00623F5A">
        <w:rPr>
          <w:rFonts w:cs="Times New Roman"/>
        </w:rPr>
        <w:t>for</w:t>
      </w:r>
      <w:r w:rsidRPr="00795B8F">
        <w:rPr>
          <w:rFonts w:cs="Times New Roman"/>
        </w:rPr>
        <w:t xml:space="preserve"> both young and old</w:t>
      </w:r>
      <w:r w:rsidR="00623F5A">
        <w:rPr>
          <w:rFonts w:cs="Times New Roman"/>
        </w:rPr>
        <w:t>er adults</w:t>
      </w:r>
      <w:r w:rsidRPr="00795B8F">
        <w:rPr>
          <w:rFonts w:cs="Times New Roman"/>
        </w:rPr>
        <w:t>.</w:t>
      </w:r>
      <w:r>
        <w:rPr>
          <w:rFonts w:cs="Times New Roman"/>
        </w:rPr>
        <w:t xml:space="preserve"> As a result, the </w:t>
      </w:r>
      <w:r w:rsidR="00E569AA">
        <w:rPr>
          <w:rFonts w:cs="Times New Roman"/>
        </w:rPr>
        <w:t>SR</w:t>
      </w:r>
      <w:r>
        <w:rPr>
          <w:rFonts w:cs="Times New Roman"/>
        </w:rPr>
        <w:t xml:space="preserve"> model is now being employed in experimental research as a means of mimicking periods of reduced PA (Table 1).</w:t>
      </w:r>
      <w:r w:rsidRPr="00795B8F">
        <w:rPr>
          <w:rFonts w:cs="Times New Roman"/>
        </w:rPr>
        <w:t xml:space="preserve"> Studies looking at </w:t>
      </w:r>
      <w:r w:rsidR="002B63BD">
        <w:rPr>
          <w:rFonts w:cs="Times New Roman"/>
        </w:rPr>
        <w:t>SR</w:t>
      </w:r>
      <w:r w:rsidRPr="00795B8F">
        <w:rPr>
          <w:rFonts w:cs="Times New Roman"/>
        </w:rPr>
        <w:t xml:space="preserve"> </w:t>
      </w:r>
      <w:r>
        <w:rPr>
          <w:rFonts w:cs="Times New Roman"/>
        </w:rPr>
        <w:t xml:space="preserve">generally </w:t>
      </w:r>
      <w:r w:rsidRPr="00795B8F">
        <w:rPr>
          <w:rFonts w:cs="Times New Roman"/>
        </w:rPr>
        <w:t xml:space="preserve">do so </w:t>
      </w:r>
      <w:r w:rsidR="00AB3BAC">
        <w:rPr>
          <w:rFonts w:cs="Times New Roman"/>
        </w:rPr>
        <w:t xml:space="preserve">with the purpose of investigating </w:t>
      </w:r>
      <w:r w:rsidRPr="00795B8F">
        <w:rPr>
          <w:rFonts w:cs="Times New Roman"/>
        </w:rPr>
        <w:t xml:space="preserve">the consequences associated with walking less than </w:t>
      </w:r>
      <w:r w:rsidR="00623F5A">
        <w:rPr>
          <w:rFonts w:cs="Times New Roman"/>
        </w:rPr>
        <w:t xml:space="preserve">what is recommended in </w:t>
      </w:r>
      <w:r w:rsidRPr="00795B8F">
        <w:rPr>
          <w:rFonts w:cs="Times New Roman"/>
        </w:rPr>
        <w:t xml:space="preserve">public health </w:t>
      </w:r>
      <w:r w:rsidR="00623F5A">
        <w:rPr>
          <w:rFonts w:cs="Times New Roman"/>
        </w:rPr>
        <w:t>guidelines</w:t>
      </w:r>
      <w:r>
        <w:rPr>
          <w:rFonts w:cs="Times New Roman"/>
        </w:rPr>
        <w:t>,</w:t>
      </w:r>
      <w:r w:rsidRPr="00795B8F">
        <w:rPr>
          <w:rFonts w:cs="Times New Roman"/>
        </w:rPr>
        <w:t xml:space="preserve"> reflecting general physical inactivity</w:t>
      </w:r>
      <w:r w:rsidRPr="00795B8F">
        <w:rPr>
          <w:rFonts w:cs="Times New Roman"/>
        </w:rPr>
        <w:fldChar w:fldCharType="begin" w:fldLock="1"/>
      </w:r>
      <w:r w:rsidR="003D1F84">
        <w:rPr>
          <w:rFonts w:cs="Times New Roman"/>
        </w:rPr>
        <w:instrText>ADDIN CSL_CITATION { "citationItems" : [ { "id" : "ITEM-1", "itemData" : { "DOI" : "10.1113/jphysiol.2013.262709", "ISBN" : "1469-7793 (Electronic)\\r0022-3751 (Linking)", "ISSN" : "1469-7793", "PMID" : "24167223", "abstract" : "Physical activity can affect many aspects of metabolism but it is unclear to what extent this relies on manipulation of energy balance. Twenty-six active men age 25 \u00b1 7 years (mean \u00b1 SD) were randomly assigned either to consume 50% more energy than normal by over-consuming their habitual diet for 7 days whilst simultaneously restricting their physical activity below 4000 steps day(-1) to induce an energy surplus (SUR group; n = 14) or to the same regimen but with 45 min of daily treadmill running at 70% of maximum oxygen uptake (SUR+EX group; n = 12). Critically, the SUR+EX group received additional dietary energy intake to account for the energy expended by exercise, thus maintaining a matched energy surplus. At baseline and follow-up, fasted blood samples and abdominal subcutaneous adipose tissue biopsies were obtained and oral glucose tolerance tests conducted. Insulinaemic responses to a standard glucose load increased 2-fold from baseline to follow-up in the SUR group (17 \u00b1 16 nmol (120 min) l(-1); P = 0.002) whereas there was no change in the SUR+EX group (1 \u00b1 6 nmol (120 min) l(-1)). Seven of 17 genes within adipose tissue were differentially expressed in the SUR group; expression of SREBP-1c, FAS and GLUT4 was significantly up-regulated and expression of PDK4, IRS2, HSL and visfatin was significantly down-regulated (P \u2264 0.05). The pAMPK/AMPK protein ratio in adipose tissue was significantly down-regulated in the SUR group (P = 0.005). Vigorous-intensity exercise counteracted most of the effects of short-term overfeeding and under-activity at the whole-body level and in adipose tissue, even in the face of a standardised energy surplus.", "author" : [ { "dropping-particle" : "", "family" : "Walhin", "given" : "JP Jean-Philippe", "non-dropping-particle" : "", "parse-names" : false, "suffix" : "" }, { "dropping-particle" : "", "family" : "Richardson", "given" : "JD Judith D", "non-dropping-particle" : "", "parse-names" : false, "suffix" : "" }, { "dropping-particle" : "", "family" : "Betts", "given" : "James a", "non-dropping-particle" : "", "parse-names" : false, "suffix" : "" }, { "dropping-particle" : "", "family" : "Thompson", "given" : "Dylan", "non-dropping-particle" : "", "parse-names" : false, "suffix" : "" } ], "container-title" : "Journal of Physiology", "id" : "ITEM-1", "issue" : "24", "issued" : { "date-parts" : [ [ "2013", "12", "15" ] ] }, "page" : "1-38", "title" : "Exercise counteracts the effects of short-term overfeeding and reduced physical activity independent of energy imbalance in healthy young men", "type" : "article-journal", "volume" : "591" }, "uris" : [ "http://www.mendeley.com/documents/?uuid=f251daef-7658-4d84-b0a9-7b26ccda647d" ] }, { "id" : "ITEM-2", "itemData" : { "DOI" : "10.1139/apnm-2012-0235", "ISSN" : "1715-5312", "PMID" : "23438219", "abstract" : "Step counting (using pedometers or accelerometers) is widely accepted by researchers, practitioners, and the general public. Given the mounting evidence of the link between low steps/day and time spent in sedentary behaviours, how few steps/day some populations actually perform, and the growing interest in the potentially deleterious effects of excessive sedentary behaviours on health, an emerging question is \"How many steps/day are too few?\" This review examines the utility, appropriateness, and limitations of using a reoccurring candidate for a step-defined sedentary lifestyle index: &lt;5000 steps/day. Adults taking &lt;5000 steps/day are more likely to have a lower household income and be female, older, of African-American vs. European-American heritage, a current vs. never smoker, and (or) living with chronic disease and (or) disability. Little is known about how contextual factors (e.g., built environment) foster such low levels of step-defined physical activity. Unfavorable indicators of body composition and cardiometabolic risk have been consistently associated with taking &lt;5000 steps/day. The acute transition (3-14 days) of healthy active young people from higher (&gt;10 000) to lower (&lt;5000 or as low as 1500) daily step counts induces reduced insulin sensitivity and glycemic control, increased adiposity, and other negative changes in health parameters. Although few alternative values have been considered, the continued use of &lt;5000 steps/day as a step-defined sedentary lifestyle index for adults is appropriate for researchers and practitioners and for communicating with the general public. There is little evidence to advocate any specific value indicative of a step-defined sedentary lifestyle index in children and adolescents.", "author" : [ { "dropping-particle" : "", "family" : "Tudor-Locke", "given" : "Catrine", "non-dropping-particle" : "", "parse-names" : false, "suffix" : "" }, { "dropping-particle" : "", "family" : "Craig", "given" : "Cora L.", "non-dropping-particle" : "", "parse-names" : false, "suffix" : "" }, { "dropping-particle" : "", "family" : "Thyfault", "given" : "John P.", "non-dropping-particle" : "", "parse-names" : false, "suffix" : "" }, { "dropping-particle" : "", "family" : "Spence", "given" : "John C.", "non-dropping-particle" : "", "parse-names" : false, "suffix" : "" } ], "container-title" : "Applied Physiology, Nutrition, and Metabolism", "id" : "ITEM-2", "issue" : "2", "issued" : { "date-parts" : [ [ "2013", "2", "8" ] ] }, "language" : "en", "page" : "100-114", "publisher" : "NRC Research Press", "title" : "A step-defined sedentary lifestyle index: &amp;lt;5000 steps/day", "type" : "article-journal", "volume" : "38" }, "uris" : [ "http://www.mendeley.com/documents/?uuid=beb01a7b-f58c-43bd-989e-640a8103a592" ] }, { "id" : "ITEM-3", "itemData" : { "DOI" : "10.1249/MSS.0b013e31822ac0c0", "ISBN" : "1530-0315 (Electronic)\\n0195-9131 (Linking)", "ISSN" : "01959131", "PMID" : "21716152", "abstract" : "INTRODUCTION: Postprandial glucose (PPG) is an independent predictor of cardiovascular events and death, regardless of diabetes status. Whereas changes in physical activity produce changes in insulin sensitivity, it is not clear whether changes in daily physical activity directly affect PPG in healthy free-living persons.\\n\\nMETHODS: We used continuous glucose monitors to measure PPG and PPG excursions (\u0394PPG, postmeal - premeal blood glucose) at 30-min increments after meals in healthy habitually active volunteers (n = 12, age = 29 \u00b1 1 yr, body mass index = 23.6 \u00b1 0.9 kg\u00b7m(-2), VO2max = 53.6 \u00b1 3.0 mL\u00b7kg(-1)\u00b7min(-1)) during 3 d of habitual (\u226510,000 steps per day) and reduced (&lt;5000 steps per day) physical activity. Diets were standardized across monitoring periods, and fasting-state oral glucose tolerance tests (OGTT) were performed on the fourth day of each monitoring period.\\n\\nRESULTS: During 3 d of reduced physical activity (12,956 \u00b1 769 to 4319 \u00b1 256 steps per day), PPG increased at 30 and 60 min after a meal (6.31 \u00b1 0.19 to 6.68 \u00b1 0.23 mmol\u00b7L(-1) and 5.75 \u00b1 0.16 to 6.26 \u00b1 0.28 mmol\u00b7L(-1), P &lt; 0.05 relative to corresponding active time point), and \u0394PPG increased by 42%, 97%, and 33% at 30, 60, and 90 min after a meal, respectively (P &lt; 0.05). Insulin and C-peptide responses to the OGTT increased after 3 d of reduced activity (P &lt; 0.05), and the glucose response to the OGTT did not change significantly.\\n\\nCONCLUSIONS: Thus, despite evidence of compensatory increases in plasma insulin during an OGTT, \u0394PPG assessed by continuous glucose monitoring systems increased markedly during 3 d of reduced physical activity in otherwise healthy free-living individuals. These data indicate that daily physical activity is an important mediator of glycemic control, even among healthy individuals, and reinforce the utility of physical activity in preventing pathologies associated with elevated PPG.", "author" : [ { "dropping-particle" : "", "family" : "Mikus", "given" : "Catherine R.", "non-dropping-particle" : "", "parse-names" : false, "suffix" : "" }, { "dropping-particle" : "", "family" : "Oberlin", "given" : "Douglas J.", "non-dropping-particle" : "", "parse-names" : false, "suffix" : "" }, { "dropping-particle" : "", "family" : "Libla", "given" : "Jessica L.", "non-dropping-particle" : "", "parse-names" : false, "suffix" : "" }, { "dropping-particle" : "", "family" : "Taylor", "given" : "Angelina M.", "non-dropping-particle" : "", "parse-names" : false, "suffix" : "" }, { "dropping-particle" : "", "family" : "Booth", "given" : "Frank W.", "non-dropping-particle" : "", "parse-names" : false, "suffix" : "" }, { "dropping-particle" : "", "family" : "Thyfault", "given" : "John P.", "non-dropping-particle" : "", "parse-names" : false, "suffix" : "" } ], "container-title" : "Medicine and Science in Sports and Exercise", "id" : "ITEM-3", "issue" : "2", "issued" : { "date-parts" : [ [ "2012", "2" ] ] }, "page" : "225-231", "title" : "Lowering physical activity impairs glycemic control in healthy volunteers", "type" : "article-journal", "volume" : "44" }, "uris" : [ "http://www.mendeley.com/documents/?uuid=acc31cb0-2fb1-42d8-92b8-d5715575448c" ] }, { "id" : "ITEM-4", "itemData" : { "DOI" : "10.1152/japplphysiol.00977.2009", "ISBN" : "8750-7587\\r1522-1601", "ISSN" : "8750-7587", "PMID" : "20044474", "abstract" : "US adults take between approximately 2,000 and approximately 12,000 steps per day, a wide range of ambulatory activity that at the low range could increase risk for developing chronic metabolic diseases. Dramatic reductions in physical activity induce insulin resistance; however, it is uncertain if and how low ambulatory activity would influence peripheral insulin sensitivity. We aimed to explore if healthy, nonexercising subjects who went from a normal to a low level of ambulatory activity for 2 wk would display metabolic alterations including reduced peripheral insulin sensitivity. To do this, ten healthy young men decreased their daily activity level from a mean of 10,501+/-808 to 1,344+/-33 steps/day for 2 wk. Hyperinsulinemic-euglycemic clamps with stable isotopes and muscle biopsies, maximal oxygen consumption (VO2 max) tests, and blood samples were performed pre- and postintervention. A reduced number of daily steps induced a significant reduction of 17% in the glucose infusion rate (GIR) during the clamp. This reduction was due to a decline in peripheral insulin sensitivity with no effect on hepatic endogenous glucose production. The insulin-stimulated ratio of pAktthr308/total Akt decreased after step reduction, with a post hoc analysis revealing the most pronounced effect after 4 h of insulin infusion. In addition, the 2-wk period induced a 7% decline in VO2 max (ml/min; cardiovascular fitness). Lean mass of legs, but not arms and trunk, decreased concurrently. Taken together, one possible biological cause for the public health problem of Type 2 diabetes has been identified. Reduced ambulatory activity for 2 wk in healthy, nonexercising young men significantly reduced peripheral insulin sensitivity, cardiovascular fitness, and lean leg mass.", "author" : [ { "dropping-particle" : "", "family" : "Krogh-Madsen", "given" : "Rikke", "non-dropping-particle" : "", "parse-names" : false, "suffix" : "" }, { "dropping-particle" : "", "family" : "Thyfault", "given" : "John P", "non-dropping-particle" : "", "parse-names" : false, "suffix" : "" }, { "dropping-particle" : "", "family" : "Broholm", "given" : "Christa", "non-dropping-particle" : "", "parse-names" : false, "suffix" : "" }, { "dropping-particle" : "", "family" : "Mortensen", "given" : "Ole Hartvig", "non-dropping-particle" : "", "parse-names" : false, "suffix" : "" }, { "dropping-particle" : "", "family" : "Olsen", "given" : "Rasmus H", "non-dropping-particle" : "", "parse-names" : false, "suffix" : "" }, { "dropping-particle" : "", "family" : "Mounier", "given" : "Remi", "non-dropping-particle" : "", "parse-names" : false, "suffix" : "" }, { "dropping-particle" : "", "family" : "Plomgaard", "given" : "Peter", "non-dropping-particle" : "", "parse-names" : false, "suffix" : "" }, { "dropping-particle" : "", "family" : "Hall", "given" : "Gerrit", "non-dropping-particle" : "van", "parse-names" : false, "suffix" : "" }, { "dropping-particle" : "", "family" : "Booth", "given" : "Frank W", "non-dropping-particle" : "", "parse-names" : false, "suffix" : "" }, { "dropping-particle" : "", "family" : "Pedersen", "given" : "Bente K", "non-dropping-particle" : "", "parse-names" : false, "suffix" : "" } ], "container-title" : "Journal of applied physiology (Bethesda, Md. : 1985)", "id" : "ITEM-4", "issue" : "5", "issued" : { "date-parts" : [ [ "2010", "5" ] ] }, "note" : "From Duplicate 1 ( ", "page" : "1034-1040", "title" : "A 2-wk reduction of ambulatory activity attenuates peripheral insulin sensitivity.", "type" : "article-journal", "volume" : "108" }, "uris" : [ "http://www.mendeley.com/documents/?uuid=e79211db-25b4-4bf9-a2d1-c4c657021667" ] }, { "id" : "ITEM-5", "itemData" : { "DOI" : "10.1152/japplphysiol.00189.2011", "ISBN" : "8750-7587\\r1522-1601", "ISSN" : "8750-7587", "PMID" : "22556394", "abstract" : "A lifestyle characterized by inactivity and a high-calorie diet is a known risk factor for impaired insulin sensitivity and development of Type 2 diabetes mellitus. To investigate possible links, nine young healthy men (24 \u00b1 3 yr; body mass index of 21.6 \u00b1 2.5 kg/m(2)) completed 14 days of step reduction (10,000 to 1,500 steps/day) and overfeeding (+50% kcal). Body composition (dual X-ray absorptiometry, MRI), aerobic fitness (maximal O(2) consumption), systemic inflammation and insulin sensitivity [oral glucose tolerance test (OGTT), hyperinsulinemic euglycemic clamp] were assessed before (day 0), during (days 3 and 7), and immediately after the intervention (day 14), with follow-up tests (day 30). Body weight had increased at days 7 and 14 (P &lt; 0.05). The amount of visceral fat had increased at day 14 compared with day 0 (P &lt; 0.05). The insulin response to the OGTT had increased at days 7 and 14 (P &lt; 0.05). Insulin sensitivity, estimated using the Matsuda index, had decreased at days 3 and 7 (P &lt; 0.01). At day 14, glucose infusion rates had decreased by \u223c44% during the euglycemic clamps (P &lt; 0.05). Also, plasma levels of leptin and adiponectin had increased (P &lt; 0.05), whereas no changes were seen in inflammatory markers. At day 30, body weight and whole body adiposity were still elevated compared with day 0 (P &lt; 0.05), whereas the insulin sensitivity as well as the insulin response to the OGTT did not differ from baseline. The glucose response to the OGTT was only affected at day 30, with a decrease compared with day 0. Our data show that insulin sensitivity was impaired after 3 days of inactivity and overfeeding. Impairments in insulin sensitivity occurred before changes in body composition, supporting the notion that the initial steps in impairment of insulin sensitivity may be linked directly to the effects of inactivity and a high calorie intake.", "author" : [ { "dropping-particle" : "", "family" : "Knudsen", "given" : "S. H.", "non-dropping-particle" : "", "parse-names" : false, "suffix" : "" }, { "dropping-particle" : "", "family" : "Hansen", "given" : "L. S.", "non-dropping-particle" : "", "parse-names" : false, "suffix" : "" }, { "dropping-particle" : "", "family" : "Pedersen", "given" : "M.", "non-dropping-particle" : "", "parse-names" : false, "suffix" : "" }, { "dropping-particle" : "", "family" : "Dejgaard", "given" : "T.", "non-dropping-particle" : "", "parse-names" : false, "suffix" : "" }, { "dropping-particle" : "", "family" : "Hansen", "given" : "J.", "non-dropping-particle" : "", "parse-names" : false, "suffix" : "" }, { "dropping-particle" : "V.", "family" : "Hall", "given" : "G.", "non-dropping-particle" : "", "parse-names" : false, "suffix" : "" }, { "dropping-particle" : "", "family" : "Thomsen", "given" : "C.", "non-dropping-particle" : "", "parse-names" : false, "suffix" : "" }, { "dropping-particle" : "", "family" : "Solomon", "given" : "T. P. J.", "non-dropping-particle" : "", "parse-names" : false, "suffix" : "" }, { "dropping-particle" : "", "family" : "Pedersen", "given" : "B. K.", "non-dropping-particle" : "", "parse-names" : false, "suffix" : "" }, { "dropping-particle" : "", "family" : "Krogh-Madsen", "given" : "R.", "non-dropping-particle" : "", "parse-names" : false, "suffix" : "" } ], "container-title" : "Journal of Applied Physiology", "id" : "ITEM-5", "issue" : "1", "issued" : { "date-parts" : [ [ "2012", "7" ] ] }, "page" : "7-15", "title" : "Changes in insulin sensitivity precede changes in body composition during 14 days of step reduction combined with overfeeding in healthy young men", "type" : "article-journal", "volume" : "113" }, "uris" : [ "http://www.mendeley.com/documents/?uuid=fd55b369-3ad5-4fab-a9be-62ff792b9582" ] }, { "id" : "ITEM-6", "itemData" : { "DOI" : "10.1001/jama.299.11.1259", "ISBN" : "1538-3598 (Electronic)", "ISSN" : "0098-7484", "PMID" : "18349087", "author" : [ { "dropping-particle" : "", "family" : "Olsen", "given" : "Rasmus H", "non-dropping-particle" : "", "parse-names" : false, "suffix" : "" }, { "dropping-particle" : "", "family" : "Krogh-Madsen", "given" : "Rikke", "non-dropping-particle" : "", "parse-names" : false, "suffix" : "" }, { "dropping-particle" : "", "family" : "Thomsen", "given" : "Carsten", "non-dropping-particle" : "", "parse-names" : false, "suffix" : "" }, { "dropping-particle" : "", "family" : "Booth", "given" : "Frank W", "non-dropping-particle" : "", "parse-names" : false, "suffix" : "" }, { "dropping-particle" : "", "family" : "Pedersen", "given" : "Bente K", "non-dropping-particle" : "", "parse-names" : false, "suffix" : "" } ], "container-title" : "JAMA : the journal of the American Medical Association", "id" : "ITEM-6", "issue" : "11", "issued" : { "date-parts" : [ [ "2008" ] ] }, "page" : "1261-1263", "title" : "Metabolic responses to reduced daily steps in healthy nonexercising men.", "type" : "article-journal", "volume" : "299" }, "uris" : [ "http://www.mendeley.com/documents/?uuid=7b767cba-3236-4912-90c4-f87b3d9780ad" ] }, { "id" : "ITEM-7", "itemData" : { "DOI" : "10.1152/japplphysiol.00478.2011", "ISBN" : "5738820185", "ISSN" : "8750-7587", "PMID" : "21636564", "abstract" : "Physical inactivity likely plays a role in the development of insulin resistance and obesity; however, direct evidence is minimal and mechanisms of action remain unknown. Studying metabolic outcomes that occur after transitioning from higher to lower levels of physical activity is the best tool to answer these questions. Previous studies have successfully used more extreme models of inactivity, including bed rest, or the cessation of exercise in highly trained endurance athletes, to provide novel findings. However, these models do not accurately reflect the type of inactivity experienced by a large majority of the population. Recent studies have used a more applicable model in which active (\u223c10,000 steps/day), healthy young controls are asked to transition to an inactive lifestyle (\u223c1,500 steps/day) for a 14-day period. The transition to inactivity resulted in reduced insulin sensitivity and increased central adiposity. This review will discuss the outcomes of these studies, their implications for the cause/effect relationship between central adiposity and insulin resistance, and provide rationale for why inactivity induces these factors. In addition, the experimental challenges of directly linking acute responses to inactivity to chronic disease will also be discussed.", "author" : [ { "dropping-particle" : "", "family" : "Thyfault", "given" : "J. P.", "non-dropping-particle" : "", "parse-names" : false, "suffix" : "" }, { "dropping-particle" : "", "family" : "Krogh-Madsen", "given" : "R.", "non-dropping-particle" : "", "parse-names" : false, "suffix" : "" } ], "container-title" : "Journal of Applied Physiology", "id" : "ITEM-7", "issue" : "4", "issued" : { "date-parts" : [ [ "2011", "10" ] ] }, "page" : "1218-1224", "title" : "Metabolic disruptions induced by reduced ambulatory activity in free-living humans", "type" : "article-journal", "volume" : "111" }, "uris" : [ "http://www.mendeley.com/documents/?uuid=12628ee4-5856-4492-973c-afe1691841d0" ] } ], "mendeley" : { "formattedCitation" : "&lt;sup&gt;75\u201381&lt;/sup&gt;", "plainTextFormattedCitation" : "75\u201381", "previouslyFormattedCitation" : "&lt;sup&gt;75\u201381&lt;/sup&gt;"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75–81</w:t>
      </w:r>
      <w:r w:rsidRPr="00795B8F">
        <w:rPr>
          <w:rFonts w:cs="Times New Roman"/>
        </w:rPr>
        <w:fldChar w:fldCharType="end"/>
      </w:r>
      <w:r>
        <w:rPr>
          <w:rFonts w:cs="Times New Roman"/>
        </w:rPr>
        <w:t>,</w:t>
      </w:r>
      <w:r w:rsidRPr="00795B8F">
        <w:rPr>
          <w:rFonts w:cs="Times New Roman"/>
        </w:rPr>
        <w:t xml:space="preserve"> or</w:t>
      </w:r>
      <w:r w:rsidR="00F95641">
        <w:rPr>
          <w:rFonts w:cs="Times New Roman"/>
        </w:rPr>
        <w:t xml:space="preserve"> to reflect</w:t>
      </w:r>
      <w:r w:rsidRPr="00795B8F">
        <w:rPr>
          <w:rFonts w:cs="Times New Roman"/>
        </w:rPr>
        <w:t xml:space="preserve"> the periods of reduced mobility with acute disability </w:t>
      </w:r>
      <w:r>
        <w:rPr>
          <w:rFonts w:cs="Times New Roman"/>
        </w:rPr>
        <w:t>such as might be seen in h</w:t>
      </w:r>
      <w:r w:rsidRPr="00795B8F">
        <w:rPr>
          <w:rFonts w:cs="Times New Roman"/>
        </w:rPr>
        <w:t xml:space="preserve">ospitalized </w:t>
      </w:r>
      <w:r>
        <w:rPr>
          <w:rFonts w:cs="Times New Roman"/>
        </w:rPr>
        <w:t>older persons</w:t>
      </w:r>
      <w:r w:rsidRPr="00795B8F">
        <w:rPr>
          <w:rFonts w:cs="Times New Roman"/>
        </w:rPr>
        <w:fldChar w:fldCharType="begin" w:fldLock="1"/>
      </w:r>
      <w:r w:rsidR="00225DB1">
        <w:rPr>
          <w:rFonts w:cs="Times New Roman"/>
        </w:rPr>
        <w:instrText>ADDIN CSL_CITATION { "citationItems" : [ { "id" : "ITEM-1", "itemData" : { "DOI" : "10.1210/jc.2013-1502", "ISBN" : "0000000000000", "ISSN" : "0021972X", "PMID" : "23589526", "abstract" : "BACKGROUND: Alterations in muscle protein metabolism underlie age-related muscle atrophy. During periods of muscle disuse, muscle protein synthesis is blunted, and muscle atrophy occurs in young and old. The impact of a short reduction in physical activity on muscle protein metabolism in older adults is unknown.\\n\\nPURPOSE: The aim of this study was to investigate the impact of 14 days of reduced daily steps on fasted and fed-state rates of myofibrillar protein synthesis (MPS) to provide insight into the mechanisms for changes in muscle mass and markers of metabolic health.\\n\\nMETHODS: Before and after 14 days of reduced daily step-count, 10 healthy older adults (age, 72 \u00b1 1 y) underwent measures of insulin sensitivity, muscle strength, physical function, and body composition. Using a primed constant infusion of L-[ring-(13)C6]phenylalanine with serial muscle biopsies, basal, postabsorptive, and postprandial rates of MPS were determined before and after the 14-day intervention.\\n\\nRESULTS: Daily step-count was reduced by approximately 76% to 1413 \u00b1 110 steps per day. Leg fat-free mass was reduced by approximately 3.9% (P &lt; .001). Postabsorptive insulin resistance was increased by approximately 12%, and postprandial insulin sensitivity was reduced by approximately 43% after step reduction (P &lt; .005). Concentrations of TNF-\u03b1 and C-reactive protein were increased by approximately 12 and 25%, respectively, after step reduction (P &lt; .05). Postprandial rates of MPS were reduced by approximately 26% after the intervention (P = .028), with no difference in postabsorptive rates.\\n\\nCONCLUSION: The present study demonstrates that 14 days of reduced steps in older adults induces small but measurable reductions in muscle mass that appear to be underpinned by reductions in postprandial MPS and are accompanied by impairments in insulin sensitivity and systemic inflammatory markers and postprandial MPS.", "author" : [ { "dropping-particle" : "", "family" : "Breen", "given" : "Leigh", "non-dropping-particle" : "", "parse-names" : false, "suffix" : "" }, { "dropping-particle" : "", "family" : "Stokes", "given" : "Keith a.", "non-dropping-particle" : "", "parse-names" : false, "suffix" : "" }, { "dropping-particle" : "", "family" : "Churchward-Venne", "given" : "Tyler a.", "non-dropping-particle" : "", "parse-names" : false, "suffix" : "" }, { "dropping-particle" : "", "family" : "Moore", "given" : "Daniel R.", "non-dropping-particle" : "", "parse-names" : false, "suffix" : "" }, { "dropping-particle" : "", "family" : "Baker", "given" : "Stephen K.", "non-dropping-particle" : "", "parse-names" : false, "suffix" : "" }, { "dropping-particle" : "", "family" : "Smith", "given" : "Kenneth", "non-dropping-particle" : "", "parse-names" : false, "suffix" : "" }, { "dropping-particle" : "", "family" : "Atherton", "given" : "Philip J.", "non-dropping-particle" : "", "parse-names" : false, "suffix" : "" }, { "dropping-particle" : "", "family" : "Phillips", "given" : "Stuart M.", "non-dropping-particle" : "", "parse-names" : false, "suffix" : "" } ], "container-title" : "Journal of Clinical Endocrinology and Metabolism", "id" : "ITEM-1", "issue" : "6", "issued" : { "date-parts" : [ [ "2013", "6" ] ] }, "note" : "From Duplicate 1 ( ", "page" : "2604-2612", "title" : "Two weeks of reduced activity decreases leg lean mass and induces \"anabolic resistance\" of myofibrillar protein synthesis in healthy elderly", "type" : "article-journal", "volume" : "98" }, "uris" : [ "http://www.mendeley.com/documents/?uuid=7b247101-8e58-4f48-a336-f3d4e1f8abfc" ] } ], "mendeley" : { "formattedCitation" : "&lt;sup&gt;82&lt;/sup&gt;", "plainTextFormattedCitation" : "82", "previouslyFormattedCitation" : "&lt;sup&gt;82&lt;/sup&gt;"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82</w:t>
      </w:r>
      <w:r w:rsidRPr="00795B8F">
        <w:rPr>
          <w:rFonts w:cs="Times New Roman"/>
        </w:rPr>
        <w:fldChar w:fldCharType="end"/>
      </w:r>
      <w:r>
        <w:rPr>
          <w:rFonts w:cs="Times New Roman"/>
        </w:rPr>
        <w:t xml:space="preserve">. </w:t>
      </w:r>
      <w:r w:rsidRPr="00795B8F">
        <w:rPr>
          <w:rFonts w:cs="Times New Roman"/>
        </w:rPr>
        <w:t xml:space="preserve">The implications of </w:t>
      </w:r>
      <w:r w:rsidR="002B63BD">
        <w:rPr>
          <w:rFonts w:cs="Times New Roman"/>
        </w:rPr>
        <w:t>SR</w:t>
      </w:r>
      <w:r w:rsidRPr="00795B8F">
        <w:rPr>
          <w:rFonts w:cs="Times New Roman"/>
        </w:rPr>
        <w:t xml:space="preserve"> outside of the hospital setting are profound</w:t>
      </w:r>
      <w:r w:rsidR="00AB3BAC">
        <w:rPr>
          <w:rFonts w:cs="Times New Roman"/>
        </w:rPr>
        <w:t>,</w:t>
      </w:r>
      <w:r w:rsidRPr="00795B8F">
        <w:rPr>
          <w:rFonts w:cs="Times New Roman"/>
        </w:rPr>
        <w:t xml:space="preserve"> with physically inactive older adults twice as likely to be sarcopenic compared to those who are even moderately active</w:t>
      </w:r>
      <w:r w:rsidRPr="00795B8F">
        <w:rPr>
          <w:rFonts w:cs="Times New Roman"/>
        </w:rPr>
        <w:fldChar w:fldCharType="begin" w:fldLock="1"/>
      </w:r>
      <w:r w:rsidR="005C68EA">
        <w:rPr>
          <w:rFonts w:cs="Times New Roman"/>
        </w:rPr>
        <w:instrText>ADDIN CSL_CITATION { "citationItems" : [ { "id" : "ITEM-1", "itemData" : { "author" : [ { "dropping-particle" : "", "family" : "Janssen", "given" : "Ian", "non-dropping-particle" : "", "parse-names" : false, "suffix" : "" }, { "dropping-particle" : "", "family" : "Heymsfield", "given" : "Steven B", "non-dropping-particle" : "", "parse-names" : false, "suffix" : "" }, { "dropping-particle" : "", "family" : "Ross", "given" : "Robert", "non-dropping-particle" : "", "parse-names" : false, "suffix" : "" } ], "container-title" : "Journal of the American Geriatrics Society", "id" : "ITEM-1", "issued" : { "date-parts" : [ [ "2002" ] ] }, "page" : "889-896", "title" : "Low Relative Skeletal Muscle Mass(Sarcopenia) in older persons is assoaciated with Functional Impairment an Physical Disability.", "type" : "article-journal" }, "uris" : [ "http://www.mendeley.com/documents/?uuid=5e489b88-9b8e-456d-8bbb-1af92bfe1684" ] } ], "mendeley" : { "formattedCitation" : "&lt;sup&gt;13&lt;/sup&gt;", "plainTextFormattedCitation" : "13", "previouslyFormattedCitation" : "&lt;sup&gt;13&lt;/sup&gt;"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13</w:t>
      </w:r>
      <w:r w:rsidRPr="00795B8F">
        <w:rPr>
          <w:rFonts w:cs="Times New Roman"/>
        </w:rPr>
        <w:fldChar w:fldCharType="end"/>
      </w:r>
      <w:r w:rsidRPr="00795B8F">
        <w:rPr>
          <w:rFonts w:cs="Times New Roman"/>
        </w:rPr>
        <w:t xml:space="preserve">. A recent clinical trial investigating mobility in older men found </w:t>
      </w:r>
      <w:r>
        <w:rPr>
          <w:rFonts w:cs="Times New Roman"/>
        </w:rPr>
        <w:t xml:space="preserve">that those who </w:t>
      </w:r>
      <w:r w:rsidRPr="00795B8F">
        <w:rPr>
          <w:rFonts w:cs="Times New Roman"/>
        </w:rPr>
        <w:t>exhibit</w:t>
      </w:r>
      <w:r>
        <w:rPr>
          <w:rFonts w:cs="Times New Roman"/>
        </w:rPr>
        <w:t>ed</w:t>
      </w:r>
      <w:r w:rsidRPr="00795B8F">
        <w:rPr>
          <w:rFonts w:cs="Times New Roman"/>
        </w:rPr>
        <w:t xml:space="preserve"> the lowest frequency</w:t>
      </w:r>
      <w:r>
        <w:rPr>
          <w:rFonts w:cs="Times New Roman"/>
        </w:rPr>
        <w:t xml:space="preserve"> and </w:t>
      </w:r>
      <w:r w:rsidRPr="00795B8F">
        <w:rPr>
          <w:rFonts w:cs="Times New Roman"/>
        </w:rPr>
        <w:t xml:space="preserve">extent of mobility </w:t>
      </w:r>
      <w:r>
        <w:rPr>
          <w:rFonts w:cs="Times New Roman"/>
        </w:rPr>
        <w:t xml:space="preserve">had a </w:t>
      </w:r>
      <w:r w:rsidRPr="00795B8F">
        <w:rPr>
          <w:rFonts w:cs="Times New Roman"/>
        </w:rPr>
        <w:t xml:space="preserve">non-cancer mortality rate </w:t>
      </w:r>
      <w:r>
        <w:rPr>
          <w:rFonts w:cs="Times New Roman"/>
        </w:rPr>
        <w:t>of ~41%</w:t>
      </w:r>
      <w:r>
        <w:t xml:space="preserve"> </w:t>
      </w:r>
      <w:r w:rsidRPr="00795B8F">
        <w:rPr>
          <w:rFonts w:cs="Times New Roman"/>
        </w:rPr>
        <w:t xml:space="preserve">compared to a rate of </w:t>
      </w:r>
      <w:r>
        <w:rPr>
          <w:rFonts w:cs="Times New Roman"/>
        </w:rPr>
        <w:t>~3</w:t>
      </w:r>
      <w:r w:rsidRPr="00795B8F">
        <w:rPr>
          <w:rFonts w:cs="Times New Roman"/>
        </w:rPr>
        <w:t>% in the most mobile group</w:t>
      </w:r>
      <w:r w:rsidR="00623F5A">
        <w:rPr>
          <w:rFonts w:cs="Times New Roman"/>
        </w:rPr>
        <w:t xml:space="preserve"> </w:t>
      </w:r>
      <w:r w:rsidR="00623F5A" w:rsidRPr="00795B8F">
        <w:rPr>
          <w:rFonts w:cs="Times New Roman"/>
        </w:rPr>
        <w:t>over four years</w:t>
      </w:r>
      <w:r w:rsidR="00623F5A">
        <w:rPr>
          <w:rFonts w:cs="Times New Roman"/>
        </w:rPr>
        <w:t xml:space="preserve"> of follow-up</w:t>
      </w:r>
      <w:r w:rsidRPr="00795B8F">
        <w:rPr>
          <w:rFonts w:cs="Times New Roman"/>
        </w:rPr>
        <w:fldChar w:fldCharType="begin" w:fldLock="1"/>
      </w:r>
      <w:r w:rsidR="00225DB1">
        <w:rPr>
          <w:rFonts w:cs="Times New Roman"/>
        </w:rPr>
        <w:instrText>ADDIN CSL_CITATION { "citationItems" : [ { "id" : "ITEM-1", "itemData" : { "DOI" : "10.1111/jgs.12892", "ISSN" : "15325415", "PMID" : "24934163", "abstract" : "OBJECTIVES: To evaluate the relationship between life-space (the extent, frequency, and independence of an individual's movement) and mortality in older men.\\n\\nDESIGN: Prospective cohort study.\\n\\nSETTING: Six U.S. clinical sites.\\n\\nPARTICIPANTS: Men aged 71 to 98 followed from 2007 to 2011 (N\u00a0=\u00a03,892).\\n\\nMEASUREMENTS: Life-space during the past month was assessed as 0 (daily restriction to one's bedroom) to 120 (daily trips outside one's town without assistance) and categorized into 20-point intervals. The primary outcome was noncancer mortality, and secondary outcomes were all-cause, cardiovascular, cancer, and noncardiovascular noncancer mortality.\\n\\nRESULTS: Over 2.7\u00a0years (2007-2011), 373 (9.6%) men died, 230 from noncancer causes. Unadjusted risk of noncancer mortality was 41.2% in men with the lowest level of life-space (0-20 points, n\u00a0=\u00a034) and 2.4% in men with the highest level of life-space (101-120 points, n\u00a0=\u00a0868), a 17 times difference. In multivariable-adjusted models, there was a strong linear trend between decreasing life-space and increasing risk of noncancer mortality (P\u00a0=\u00a0.005). Risk of noncancer mortality was 3.8 times higher (95% confidence interval (CI)=1.3,11.5) in men with the lowest life-space than in those with the highest life-space. Risk of noncancer mortality was 1.3 times higher (95% CI=1.1-1.5) for each standard-deviation (24 point) decrease in life-space. Risk of noncancer mortality was 1.5 times higher (95% CI=1.0-2.3) in men who did not travel beyond their neighborhood without assistance (n\u00a0=\u00a0471). Results were similar for all-cause mortality and did not change after control for chronic disease burden.\\n\\nCONCLUSION: Life-space predicted a variety of mortality endpoints in older men; scores of 40 or less were associated with mortality independent of other risk factors.", "author" : [ { "dropping-particle" : "", "family" : "Mackey", "given" : "Dawn C.", "non-dropping-particle" : "", "parse-names" : false, "suffix" : "" }, { "dropping-particle" : "", "family" : "Cauley", "given" : "Jane a.", "non-dropping-particle" : "", "parse-names" : false, "suffix" : "" }, { "dropping-particle" : "", "family" : "Barrett-Connor", "given" : "Elizabeth", "non-dropping-particle" : "", "parse-names" : false, "suffix" : "" }, { "dropping-particle" : "", "family" : "Schousboe", "given" : "John T.", "non-dropping-particle" : "", "parse-names" : false, "suffix" : "" }, { "dropping-particle" : "", "family" : "Cawthon", "given" : "Peggy M.", "non-dropping-particle" : "", "parse-names" : false, "suffix" : "" }, { "dropping-particle" : "", "family" : "Cummings", "given" : "Steven R.", "non-dropping-particle" : "", "parse-names" : false, "suffix" : "" } ], "container-title" : "Journal of the American Geriatrics Society", "id" : "ITEM-1", "issue" : "7", "issued" : { "date-parts" : [ [ "2014", "6", "16" ] ] }, "page" : "1288-1296", "title" : "Life-space mobility and mortality in older men: A prospective cohort study", "type" : "article-journal", "volume" : "62" }, "uris" : [ "http://www.mendeley.com/documents/?uuid=ac93c1c9-fbda-47b9-a791-ba7d6d9f011b" ] } ], "mendeley" : { "formattedCitation" : "&lt;sup&gt;83&lt;/sup&gt;", "plainTextFormattedCitation" : "83", "previouslyFormattedCitation" : "&lt;sup&gt;83&lt;/sup&gt;"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83</w:t>
      </w:r>
      <w:r w:rsidRPr="00795B8F">
        <w:rPr>
          <w:rFonts w:cs="Times New Roman"/>
        </w:rPr>
        <w:fldChar w:fldCharType="end"/>
      </w:r>
      <w:r w:rsidRPr="00795B8F">
        <w:rPr>
          <w:rFonts w:cs="Times New Roman"/>
        </w:rPr>
        <w:t xml:space="preserve">. It is now a widely </w:t>
      </w:r>
      <w:r w:rsidRPr="00795B8F">
        <w:rPr>
          <w:rFonts w:cs="Times New Roman"/>
        </w:rPr>
        <w:lastRenderedPageBreak/>
        <w:t xml:space="preserve">accepted guideline that adults of all ages </w:t>
      </w:r>
      <w:r>
        <w:rPr>
          <w:rFonts w:cs="Times New Roman"/>
        </w:rPr>
        <w:t xml:space="preserve">should be trying to achieve </w:t>
      </w:r>
      <w:r w:rsidRPr="00795B8F">
        <w:rPr>
          <w:rFonts w:cs="Times New Roman"/>
        </w:rPr>
        <w:t>10000 step</w:t>
      </w:r>
      <w:r>
        <w:rPr>
          <w:rFonts w:cs="Times New Roman"/>
        </w:rPr>
        <w:t>s</w:t>
      </w:r>
      <w:r w:rsidRPr="00795B8F">
        <w:rPr>
          <w:rFonts w:cs="Times New Roman"/>
        </w:rPr>
        <w:t xml:space="preserve"> daily</w:t>
      </w:r>
      <w:r w:rsidRPr="00795B8F">
        <w:rPr>
          <w:rFonts w:cs="Times New Roman"/>
        </w:rPr>
        <w:fldChar w:fldCharType="begin" w:fldLock="1"/>
      </w:r>
      <w:r w:rsidR="00225DB1">
        <w:rPr>
          <w:rFonts w:cs="Times New Roman"/>
        </w:rPr>
        <w:instrText>ADDIN CSL_CITATION { "citationItems" : [ { "id" : "ITEM-1", "itemData" : { "DOI" : "10.2165/00007256-200434010-00001", "ISBN" : "0112-1642", "ISSN" : "01121642", "PMID" : "14715035", "abstract" : "Pedometers are simple and inexpensive body-worn motion sensors that are readily being used by researchers and practitioners to assess and motivate physical activity behaviours. Pedometer-determined physical activity indices are needed to guide their efforts. Therefore, the purpose of this article is to review the rationale and evidence for general pedometer-based indices for research and practice purposes. Specifically, we evaluate popular recommendations for steps/day and attempt to translate existing physical activity guidelines into steps/day equivalents. Also, we appraise the fragmented evidence currently available from associations derived from cross-sectional studies and a limited number of interventions that have documented improvements (primarily in body composition and/or blood pressure) with increased steps/day.A value of 10000 steps/day is gaining popularity with the media and in practice and can be traced to Japanese walking clubs and a business slogan 30+ years ago. 10000 steps/day appears to be a reasonable estimate of daily activity for apparently healthy adults and studies are emerging documenting the health benefits of attaining similar levels. Preliminary evidence suggests that a goal of 10000 steps/day may not be sustainable for some groups, including older adults and those living with chronic diseases. Another concern about using 10000 steps/day as a universal step goal is that it is probably too low for children, an important target population in the war against obesity. Other approaches to pedometer-determined physical activity recommendations that are showing promise of health benefit and individual sustainability have been based on incremental improvements relative to baseline values. Based on currently available evidence, we propose the following preliminary indices be used to classify pedometer-determined physical activity in healthy adults: (i). &lt;5000 steps/day may be used as a 'sedentary lifestyle index'; (ii). 5000-7499 steps/day is typical of daily activity excluding sports/exercise and might be considered 'low active'; (iii). 7500-9999 likely includes some volitional activities (and/or elevated occupational activity demands) and might be considered 'somewhat active'; and (iv). &gt;or=10000 steps/day indicates the point that should be used to classify individuals as 'active'. Individuals who take &gt;12500 steps/day are likely to be classified as 'highly active'.", "author" : [ { "dropping-particle" : "", "family" : "Tudor-Locke", "given" : "Catrine", "non-dropping-particle" : "", "parse-names" : false, "suffix" : "" }, { "dropping-particle" : "", "family" : "Bassett", "given" : "David R.", "non-dropping-particle" : "", "parse-names" : false, "suffix" : "" } ], "container-title" : "Sports Medicine", "id" : "ITEM-1", "issue" : "1", "issued" : { "date-parts" : [ [ "2004" ] ] }, "page" : "1-8", "title" : "How Many Steps/Day Are Enough? Preliminary Pedometer Indices for Public Health", "type" : "article-journal", "volume" : "34" }, "uris" : [ "http://www.mendeley.com/documents/?uuid=17acce64-6ce2-4b5f-ac41-798334278cff" ] } ], "mendeley" : { "formattedCitation" : "&lt;sup&gt;84&lt;/sup&gt;", "plainTextFormattedCitation" : "84", "previouslyFormattedCitation" : "&lt;sup&gt;84&lt;/sup&gt;"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84</w:t>
      </w:r>
      <w:r w:rsidRPr="00795B8F">
        <w:rPr>
          <w:rFonts w:cs="Times New Roman"/>
        </w:rPr>
        <w:fldChar w:fldCharType="end"/>
      </w:r>
      <w:r w:rsidRPr="00795B8F">
        <w:rPr>
          <w:rFonts w:cs="Times New Roman"/>
        </w:rPr>
        <w:t>, however</w:t>
      </w:r>
      <w:r>
        <w:rPr>
          <w:rFonts w:cs="Times New Roman"/>
        </w:rPr>
        <w:t>,</w:t>
      </w:r>
      <w:r w:rsidRPr="00795B8F">
        <w:rPr>
          <w:rFonts w:cs="Times New Roman"/>
        </w:rPr>
        <w:t xml:space="preserve"> it is estimated that the average American walks </w:t>
      </w:r>
      <w:r w:rsidR="00623F5A">
        <w:rPr>
          <w:rFonts w:cs="Times New Roman"/>
        </w:rPr>
        <w:t>~</w:t>
      </w:r>
      <w:r w:rsidRPr="00795B8F">
        <w:rPr>
          <w:rFonts w:cs="Times New Roman"/>
        </w:rPr>
        <w:t>5000 steps per day</w:t>
      </w:r>
      <w:r w:rsidRPr="00795B8F">
        <w:rPr>
          <w:rFonts w:cs="Times New Roman"/>
        </w:rPr>
        <w:fldChar w:fldCharType="begin" w:fldLock="1"/>
      </w:r>
      <w:r w:rsidR="00225DB1">
        <w:rPr>
          <w:rFonts w:cs="Times New Roman"/>
        </w:rPr>
        <w:instrText>ADDIN CSL_CITATION { "citationItems" : [ { "id" : "ITEM-1", "itemData" : { "DOI" : "10.1249/MSS.0b013e3181dc2e54.Pedometer-Measured", "ISSN" : "1530-0315", "PMID" : "20305579", "abstract" : "U.S. adults may have lower levels of ambulatory physical activity, compared to adults living in other countries. Purpose\u2014To provide descriptive, epidemiological data on the average number of steps per day estimated to be taken by U.S. adults, and to identify predictors of pedometer-measured physical activity, based on demographic characteristics and self-reported behavioral characteristics. Methods\u2014The America On the Move\u00ae study was conducted in 2003. 2,522 individuals ages 13 years and older consented to fill out a survey, including 1,921 adults ages 18 years and older. Valid pedometer data were collected on 1,136 adults with Accusplit AE120 pedometers. Data were weighted to reflect the general U.S. population according to several variables (age, gender, race/ ethnicity, education, income, level of physical activity, and number of 5\u201317 year old children in the household). Differences in steps per day between sub-groups were analyzed using unpaired t-tests when only two subgroups were involved, or one-way ANOVAs if multiple sub-groups were involved. Results\u2014Adults reported taking an average of 5,117 steps per day. Male gender, younger age, higher education level, single marital status, and lower body mass index (BMI) were all positively associated with steps per day. Steps per day were positively related to other self-reported measures of physical activity and negatively related to self-reported measures on physical inactivity. Living environment (urban, suburban, or rural) and eating habits were not associated with steps per day. Conclusion\u2014In the current study, men and women living in the U.S. took fewer steps per day than those living in Switzerland, Australia, and Japan. We conclude that low levels of ambulatory physical activity are contributing to the high prevalence of adult obesity in the U.S.", "author" : [ { "dropping-particle" : "", "family" : "Bassett", "given" : "David R", "non-dropping-particle" : "", "parse-names" : false, "suffix" : "" }, { "dropping-particle" : "", "family" : "Wyatt", "given" : "Holly R", "non-dropping-particle" : "", "parse-names" : false, "suffix" : "" }, { "dropping-particle" : "", "family" : "Thompson", "given" : "Helen", "non-dropping-particle" : "", "parse-names" : false, "suffix" : "" }, { "dropping-particle" : "", "family" : "Peters", "given" : "John C", "non-dropping-particle" : "", "parse-names" : false, "suffix" : "" }, { "dropping-particle" : "", "family" : "James", "given" : "O", "non-dropping-particle" : "", "parse-names" : false, "suffix" : "" } ], "container-title" : "Med Sci Sports Exerc", "id" : "ITEM-1", "issue" : "10", "issued" : { "date-parts" : [ [ "2011" ] ] }, "note" : "From Duplicate 1 ( ", "page" : "1819-1825", "title" : "Pedometer-Measured Physical Activity and Health Behaviors in United States Adults", "type" : "article-journal", "volume" : "42" }, "uris" : [ "http://www.mendeley.com/documents/?uuid=b4f922d3-12a7-47d5-82b8-e93d9890471a" ] } ], "mendeley" : { "formattedCitation" : "&lt;sup&gt;85&lt;/sup&gt;", "plainTextFormattedCitation" : "85", "previouslyFormattedCitation" : "&lt;sup&gt;85&lt;/sup&gt;"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85</w:t>
      </w:r>
      <w:r w:rsidRPr="00795B8F">
        <w:rPr>
          <w:rFonts w:cs="Times New Roman"/>
        </w:rPr>
        <w:fldChar w:fldCharType="end"/>
      </w:r>
      <w:r w:rsidRPr="00795B8F">
        <w:rPr>
          <w:rFonts w:cs="Times New Roman"/>
        </w:rPr>
        <w:t xml:space="preserve"> </w:t>
      </w:r>
      <w:r>
        <w:rPr>
          <w:rFonts w:cs="Times New Roman"/>
        </w:rPr>
        <w:t xml:space="preserve">and as a consequence </w:t>
      </w:r>
      <w:r w:rsidRPr="00795B8F">
        <w:rPr>
          <w:rFonts w:cs="Times New Roman"/>
        </w:rPr>
        <w:t xml:space="preserve">they are at a greater risk </w:t>
      </w:r>
      <w:r>
        <w:rPr>
          <w:rFonts w:cs="Times New Roman"/>
        </w:rPr>
        <w:t xml:space="preserve">for developing </w:t>
      </w:r>
      <w:r w:rsidRPr="00795B8F">
        <w:rPr>
          <w:rFonts w:cs="Times New Roman"/>
        </w:rPr>
        <w:t>chronic metabolic disease</w:t>
      </w:r>
      <w:r w:rsidRPr="00795B8F">
        <w:rPr>
          <w:rFonts w:cs="Times New Roman"/>
        </w:rPr>
        <w:fldChar w:fldCharType="begin" w:fldLock="1"/>
      </w:r>
      <w:r w:rsidR="00225DB1">
        <w:rPr>
          <w:rFonts w:cs="Times New Roman"/>
        </w:rPr>
        <w:instrText>ADDIN CSL_CITATION { "citationItems" : [ { "id" : "ITEM-1", "itemData" : { "DOI" : "10.1001/jama.298.19.2296", "ISBN" : "1538-3598 (Electronic)\\n0098-7484 (Linking)", "ISSN" : "1538-3598", "PMID" : "18029834", "abstract" : "CONTEXT: Without detailed evidence of their effectiveness, pedometers have recently become popular as a tool for motivating physical activity. OBJECTIVE: To evaluate the association of pedometer use with physical activity and health outcomes among outpatient adults. DATA SOURCES: English-language articles from MEDLINE, EMBASE, Sport Discus, PsychINFO, Cochrane Library, Thompson Scientific (formerly known as Thompson ISI), and ERIC (1966-2007); bibliographies of retrieved articles; and conference proceedings. STUDY SELECTION: Studies were eligible for inclusion if they reported an assessment of pedometer use among adult outpatients, reported a change in steps per day, and included more than 5 participants. DATA EXTRACTION AND DATA SYNTHESIS: Two investigators independently abstracted data about the intervention; participants; number of steps per day; and presence or absence of obesity, diabetes, hypertension, or hyperlipidemia. Data were pooled using random-effects calculations, and meta-regression was performed. RESULTS: Our searches identified 2246 citations; 26 studies with a total of 2767 participants met inclusion criteria (8 randomized controlled trials [RCTs] and 18 observational studies). The participants' mean (SD) age was 49 (9) years and 85% were women. The mean intervention duration was 18 weeks. In the RCTs, pedometer users significantly increased their physical activity by 2491 steps per day more than control participants (95% confidence interval [CI], 1098-3885 steps per day, P &lt; .001). Among the observational studies, pedometer users significantly increased their physical activity by 2183 steps per day over baseline (95% CI, 1571-2796 steps per day, P &lt; .0001). Overall, pedometer users increased their physical activity by 26.9% over baseline. An important predictor of increased physical activity was having a step goal such as 10,000 steps per day (P = .001). When data from all studies were combined, pedometer users significantly decreased their body mass index by 0.38 (95% CI, 0.05-0.72; P = .03). This decrease was associated with older age (P = .001) and having a step goal (P = .04). Intervention participants significantly decreased their systolic blood pressure by 3.8 mm Hg (95% CI, 1.7-5.9 mm Hg, P &lt; .001). This decrease was associated with greater baseline systolic blood pressure (P = .009) and change in steps per day (P = .08). CONCLUSIONS: The results suggest that the use of a pedometer is associated with significant increases in ph\u2026", "author" : [ { "dropping-particle" : "", "family" : "Bravata", "given" : "Dena M", "non-dropping-particle" : "", "parse-names" : false, "suffix" : "" }, { "dropping-particle" : "", "family" : "Smith-Spangler", "given" : "Crystal", "non-dropping-particle" : "", "parse-names" : false, "suffix" : "" }, { "dropping-particle" : "", "family" : "Sundaram", "given" : "Vandana", "non-dropping-particle" : "", "parse-names" : false, "suffix" : "" }, { "dropping-particle" : "", "family" : "Gienger", "given" : "Allison L", "non-dropping-particle" : "", "parse-names" : false, "suffix" : "" }, { "dropping-particle" : "", "family" : "Lin", "given" : "Nancy", "non-dropping-particle" : "", "parse-names" : false, "suffix" : "" }, { "dropping-particle" : "", "family" : "Lewis", "given" : "Robyn", "non-dropping-particle" : "", "parse-names" : false, "suffix" : "" }, { "dropping-particle" : "", "family" : "Stave", "given" : "Christopher D", "non-dropping-particle" : "", "parse-names" : false, "suffix" : "" }, { "dropping-particle" : "", "family" : "Olkin", "given" : "Ingram", "non-dropping-particle" : "", "parse-names" : false, "suffix" : "" }, { "dropping-particle" : "", "family" : "Sirard", "given" : "John R", "non-dropping-particle" : "", "parse-names" : false, "suffix" : "" } ], "container-title" : "JAMA : the journal of the American Medical Association", "id" : "ITEM-1", "issue" : "19", "issued" : { "date-parts" : [ [ "2007", "11", "21" ] ] }, "note" : "From Duplicate 1 ( ", "page" : "2296-2304", "title" : "Using pedometers to increase physical activity and improve health: a systematic review.", "type" : "article-journal", "volume" : "298" }, "uris" : [ "http://www.mendeley.com/documents/?uuid=8b61915d-9741-4ddc-bccb-e241ecfa934f" ] } ], "mendeley" : { "formattedCitation" : "&lt;sup&gt;86&lt;/sup&gt;", "plainTextFormattedCitation" : "86", "previouslyFormattedCitation" : "&lt;sup&gt;86&lt;/sup&gt;"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86</w:t>
      </w:r>
      <w:r w:rsidRPr="00795B8F">
        <w:rPr>
          <w:rFonts w:cs="Times New Roman"/>
        </w:rPr>
        <w:fldChar w:fldCharType="end"/>
      </w:r>
      <w:r w:rsidRPr="00795B8F">
        <w:rPr>
          <w:rFonts w:cs="Times New Roman"/>
        </w:rPr>
        <w:t xml:space="preserve">. </w:t>
      </w:r>
      <w:r>
        <w:rPr>
          <w:rFonts w:cs="Times New Roman"/>
        </w:rPr>
        <w:t>A consensus opinion is that taking</w:t>
      </w:r>
      <w:r w:rsidRPr="00795B8F">
        <w:rPr>
          <w:rFonts w:cs="Times New Roman"/>
        </w:rPr>
        <w:t xml:space="preserve"> </w:t>
      </w:r>
      <w:r>
        <w:rPr>
          <w:rFonts w:cs="Times New Roman"/>
        </w:rPr>
        <w:t xml:space="preserve">less than </w:t>
      </w:r>
      <w:r w:rsidRPr="00795B8F">
        <w:rPr>
          <w:rFonts w:cs="Times New Roman"/>
        </w:rPr>
        <w:t xml:space="preserve">5000 steps a day </w:t>
      </w:r>
      <w:r>
        <w:rPr>
          <w:rFonts w:cs="Times New Roman"/>
        </w:rPr>
        <w:t>i</w:t>
      </w:r>
      <w:r w:rsidRPr="00795B8F">
        <w:rPr>
          <w:rFonts w:cs="Times New Roman"/>
        </w:rPr>
        <w:t xml:space="preserve">s </w:t>
      </w:r>
      <w:r>
        <w:rPr>
          <w:rFonts w:cs="Times New Roman"/>
        </w:rPr>
        <w:t>a</w:t>
      </w:r>
      <w:r w:rsidRPr="00795B8F">
        <w:rPr>
          <w:rFonts w:cs="Times New Roman"/>
        </w:rPr>
        <w:t xml:space="preserve"> threshold level for </w:t>
      </w:r>
      <w:r>
        <w:rPr>
          <w:rFonts w:cs="Times New Roman"/>
        </w:rPr>
        <w:t>cl</w:t>
      </w:r>
      <w:r w:rsidRPr="00795B8F">
        <w:rPr>
          <w:rFonts w:cs="Times New Roman"/>
        </w:rPr>
        <w:t>a</w:t>
      </w:r>
      <w:r>
        <w:rPr>
          <w:rFonts w:cs="Times New Roman"/>
        </w:rPr>
        <w:t>ssification of someone as having a</w:t>
      </w:r>
      <w:r w:rsidRPr="00795B8F">
        <w:rPr>
          <w:rFonts w:cs="Times New Roman"/>
        </w:rPr>
        <w:t xml:space="preserve"> sedentary lifestyle index</w:t>
      </w:r>
      <w:r>
        <w:rPr>
          <w:rFonts w:cs="Times New Roman"/>
        </w:rPr>
        <w:t xml:space="preserve"> that </w:t>
      </w:r>
      <w:r w:rsidR="00AB3BAC">
        <w:rPr>
          <w:rFonts w:cs="Times New Roman"/>
        </w:rPr>
        <w:t>may be</w:t>
      </w:r>
      <w:r w:rsidR="00AB3BAC" w:rsidRPr="00795B8F">
        <w:rPr>
          <w:rFonts w:cs="Times New Roman"/>
        </w:rPr>
        <w:t xml:space="preserve"> </w:t>
      </w:r>
      <w:r w:rsidRPr="00795B8F">
        <w:rPr>
          <w:rFonts w:cs="Times New Roman"/>
        </w:rPr>
        <w:t>associated with several physiologic consequences</w:t>
      </w:r>
      <w:r w:rsidRPr="00795B8F">
        <w:rPr>
          <w:rFonts w:cs="Times New Roman"/>
        </w:rPr>
        <w:fldChar w:fldCharType="begin" w:fldLock="1"/>
      </w:r>
      <w:r w:rsidR="00225DB1">
        <w:rPr>
          <w:rFonts w:cs="Times New Roman"/>
        </w:rPr>
        <w:instrText>ADDIN CSL_CITATION { "citationItems" : [ { "id" : "ITEM-1", "itemData" : { "DOI" : "10.1139/apnm-2012-0235", "ISSN" : "1715-5312", "PMID" : "23438219", "abstract" : "Step counting (using pedometers or accelerometers) is widely accepted by researchers, practitioners, and the general public. Given the mounting evidence of the link between low steps/day and time spent in sedentary behaviours, how few steps/day some populations actually perform, and the growing interest in the potentially deleterious effects of excessive sedentary behaviours on health, an emerging question is \"How many steps/day are too few?\" This review examines the utility, appropriateness, and limitations of using a reoccurring candidate for a step-defined sedentary lifestyle index: &lt;5000 steps/day. Adults taking &lt;5000 steps/day are more likely to have a lower household income and be female, older, of African-American vs. European-American heritage, a current vs. never smoker, and (or) living with chronic disease and (or) disability. Little is known about how contextual factors (e.g., built environment) foster such low levels of step-defined physical activity. Unfavorable indicators of body composition and cardiometabolic risk have been consistently associated with taking &lt;5000 steps/day. The acute transition (3-14 days) of healthy active young people from higher (&gt;10 000) to lower (&lt;5000 or as low as 1500) daily step counts induces reduced insulin sensitivity and glycemic control, increased adiposity, and other negative changes in health parameters. Although few alternative values have been considered, the continued use of &lt;5000 steps/day as a step-defined sedentary lifestyle index for adults is appropriate for researchers and practitioners and for communicating with the general public. There is little evidence to advocate any specific value indicative of a step-defined sedentary lifestyle index in children and adolescents.", "author" : [ { "dropping-particle" : "", "family" : "Tudor-Locke", "given" : "Catrine", "non-dropping-particle" : "", "parse-names" : false, "suffix" : "" }, { "dropping-particle" : "", "family" : "Craig", "given" : "Cora L.", "non-dropping-particle" : "", "parse-names" : false, "suffix" : "" }, { "dropping-particle" : "", "family" : "Thyfault", "given" : "John P.", "non-dropping-particle" : "", "parse-names" : false, "suffix" : "" }, { "dropping-particle" : "", "family" : "Spence", "given" : "John C.", "non-dropping-particle" : "", "parse-names" : false, "suffix" : "" } ], "container-title" : "Applied Physiology, Nutrition, and Metabolism", "id" : "ITEM-1", "issue" : "2", "issued" : { "date-parts" : [ [ "2013", "2", "8" ] ] }, "language" : "en", "page" : "100-114", "publisher" : "NRC Research Press", "title" : "A step-defined sedentary lifestyle index: &amp;lt;5000 steps/day", "type" : "article-journal", "volume" : "38" }, "uris" : [ "http://www.mendeley.com/documents/?uuid=beb01a7b-f58c-43bd-989e-640a8103a592" ] } ], "mendeley" : { "formattedCitation" : "&lt;sup&gt;76&lt;/sup&gt;", "plainTextFormattedCitation" : "76", "previouslyFormattedCitation" : "&lt;sup&gt;76&lt;/sup&gt;"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76</w:t>
      </w:r>
      <w:r w:rsidRPr="00795B8F">
        <w:rPr>
          <w:rFonts w:cs="Times New Roman"/>
        </w:rPr>
        <w:fldChar w:fldCharType="end"/>
      </w:r>
      <w:r w:rsidRPr="00795B8F">
        <w:rPr>
          <w:rFonts w:cs="Times New Roman"/>
        </w:rPr>
        <w:t xml:space="preserve">. </w:t>
      </w:r>
      <w:r>
        <w:rPr>
          <w:rFonts w:cs="Times New Roman"/>
        </w:rPr>
        <w:t xml:space="preserve"> </w:t>
      </w:r>
      <w:r w:rsidR="00AB3BAC">
        <w:rPr>
          <w:rFonts w:cs="Times New Roman"/>
        </w:rPr>
        <w:t>Implementation of m</w:t>
      </w:r>
      <w:r>
        <w:rPr>
          <w:rFonts w:cs="Times New Roman"/>
        </w:rPr>
        <w:t xml:space="preserve">odels of reduced </w:t>
      </w:r>
      <w:r w:rsidR="00E53C2D">
        <w:rPr>
          <w:rFonts w:cs="Times New Roman"/>
        </w:rPr>
        <w:t>PA</w:t>
      </w:r>
      <w:r>
        <w:rPr>
          <w:rFonts w:cs="Times New Roman"/>
        </w:rPr>
        <w:t xml:space="preserve"> (fewer than 5000 steps per day) in younger men </w:t>
      </w:r>
      <w:r w:rsidR="00623F5A">
        <w:rPr>
          <w:rFonts w:cs="Times New Roman"/>
        </w:rPr>
        <w:t xml:space="preserve">have </w:t>
      </w:r>
      <w:r>
        <w:rPr>
          <w:rFonts w:cs="Times New Roman"/>
        </w:rPr>
        <w:t>rang</w:t>
      </w:r>
      <w:r w:rsidR="00623F5A">
        <w:rPr>
          <w:rFonts w:cs="Times New Roman"/>
        </w:rPr>
        <w:t>ed</w:t>
      </w:r>
      <w:r w:rsidR="00AB3BAC">
        <w:rPr>
          <w:rFonts w:cs="Times New Roman"/>
        </w:rPr>
        <w:t xml:space="preserve"> in duration</w:t>
      </w:r>
      <w:r>
        <w:rPr>
          <w:rFonts w:cs="Times New Roman"/>
        </w:rPr>
        <w:t xml:space="preserve"> from 3</w:t>
      </w:r>
      <w:r>
        <w:rPr>
          <w:rFonts w:cs="Times New Roman"/>
        </w:rPr>
        <w:fldChar w:fldCharType="begin" w:fldLock="1"/>
      </w:r>
      <w:r w:rsidR="00225DB1">
        <w:rPr>
          <w:rFonts w:cs="Times New Roman"/>
        </w:rPr>
        <w:instrText>ADDIN CSL_CITATION { "citationItems" : [ { "id" : "ITEM-1", "itemData" : { "DOI" : "10.1249/MSS.0b013e31822ac0c0", "ISBN" : "1530-0315 (Electronic)\\n0195-9131 (Linking)", "ISSN" : "01959131", "PMID" : "21716152", "abstract" : "INTRODUCTION: Postprandial glucose (PPG) is an independent predictor of cardiovascular events and death, regardless of diabetes status. Whereas changes in physical activity produce changes in insulin sensitivity, it is not clear whether changes in daily physical activity directly affect PPG in healthy free-living persons.\\n\\nMETHODS: We used continuous glucose monitors to measure PPG and PPG excursions (\u0394PPG, postmeal - premeal blood glucose) at 30-min increments after meals in healthy habitually active volunteers (n = 12, age = 29 \u00b1 1 yr, body mass index = 23.6 \u00b1 0.9 kg\u00b7m(-2), VO2max = 53.6 \u00b1 3.0 mL\u00b7kg(-1)\u00b7min(-1)) during 3 d of habitual (\u226510,000 steps per day) and reduced (&lt;5000 steps per day) physical activity. Diets were standardized across monitoring periods, and fasting-state oral glucose tolerance tests (OGTT) were performed on the fourth day of each monitoring period.\\n\\nRESULTS: During 3 d of reduced physical activity (12,956 \u00b1 769 to 4319 \u00b1 256 steps per day), PPG increased at 30 and 60 min after a meal (6.31 \u00b1 0.19 to 6.68 \u00b1 0.23 mmol\u00b7L(-1) and 5.75 \u00b1 0.16 to 6.26 \u00b1 0.28 mmol\u00b7L(-1), P &lt; 0.05 relative to corresponding active time point), and \u0394PPG increased by 42%, 97%, and 33% at 30, 60, and 90 min after a meal, respectively (P &lt; 0.05). Insulin and C-peptide responses to the OGTT increased after 3 d of reduced activity (P &lt; 0.05), and the glucose response to the OGTT did not change significantly.\\n\\nCONCLUSIONS: Thus, despite evidence of compensatory increases in plasma insulin during an OGTT, \u0394PPG assessed by continuous glucose monitoring systems increased markedly during 3 d of reduced physical activity in otherwise healthy free-living individuals. These data indicate that daily physical activity is an important mediator of glycemic control, even among healthy individuals, and reinforce the utility of physical activity in preventing pathologies associated with elevated PPG.", "author" : [ { "dropping-particle" : "", "family" : "Mikus", "given" : "Catherine R.", "non-dropping-particle" : "", "parse-names" : false, "suffix" : "" }, { "dropping-particle" : "", "family" : "Oberlin", "given" : "Douglas J.", "non-dropping-particle" : "", "parse-names" : false, "suffix" : "" }, { "dropping-particle" : "", "family" : "Libla", "given" : "Jessica L.", "non-dropping-particle" : "", "parse-names" : false, "suffix" : "" }, { "dropping-particle" : "", "family" : "Taylor", "given" : "Angelina M.", "non-dropping-particle" : "", "parse-names" : false, "suffix" : "" }, { "dropping-particle" : "", "family" : "Booth", "given" : "Frank W.", "non-dropping-particle" : "", "parse-names" : false, "suffix" : "" }, { "dropping-particle" : "", "family" : "Thyfault", "given" : "John P.", "non-dropping-particle" : "", "parse-names" : false, "suffix" : "" } ], "container-title" : "Medicine and Science in Sports and Exercise", "id" : "ITEM-1", "issue" : "2", "issued" : { "date-parts" : [ [ "2012", "2" ] ] }, "page" : "225-231", "title" : "Lowering physical activity impairs glycemic control in healthy volunteers", "type" : "article-journal", "volume" : "44" }, "uris" : [ "http://www.mendeley.com/documents/?uuid=acc31cb0-2fb1-42d8-92b8-d5715575448c" ] } ], "mendeley" : { "formattedCitation" : "&lt;sup&gt;77&lt;/sup&gt;", "plainTextFormattedCitation" : "77", "previouslyFormattedCitation" : "&lt;sup&gt;77&lt;/sup&gt;"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77</w:t>
      </w:r>
      <w:r>
        <w:rPr>
          <w:rFonts w:cs="Times New Roman"/>
        </w:rPr>
        <w:fldChar w:fldCharType="end"/>
      </w:r>
      <w:r>
        <w:rPr>
          <w:rFonts w:cs="Times New Roman"/>
        </w:rPr>
        <w:t xml:space="preserve"> to 5</w:t>
      </w:r>
      <w:r>
        <w:rPr>
          <w:rFonts w:cs="Times New Roman"/>
        </w:rPr>
        <w:fldChar w:fldCharType="begin" w:fldLock="1"/>
      </w:r>
      <w:r w:rsidR="00225DB1">
        <w:rPr>
          <w:rFonts w:cs="Times New Roman"/>
        </w:rPr>
        <w:instrText>ADDIN CSL_CITATION { "citationItems" : [ { "id" : "ITEM-1", "itemData" : { "DOI" : "10.1249/MSS.0000000000000508", "ISBN" : "0000000000000", "ISSN" : "0195-9131", "PMID" : "25207931", "abstract" : "PURPOSE: Insulin-stimulated increases in skeletal muscle blood flow play a role in glucose disposal. Indeed, 7 d of aerobic exercise in patients with Type 2 diabetes increased blood flow responses to an oral glucose tolerance test (OGTT) and improved insulin sensitivity. More recent work suggests that reduced daily physical activity impairs glycemic control (GC) in healthy individuals. Herein, we sought to determine whether an acute reduction in daily activity (from &gt;10,000 to &lt;5000 steps per day) for 5 d (RA5) in healthy individuals reduced insulin-stimulated blood flow and GC in parallel and if a 1-d return to activity (RTA1) improved these outcomes. METHODS: OGTT were performed as a stimulus to increase insulin in 14 healthy, recreationally active men (24 \u00b1 1.1 yr) at baseline, RA5, and RTA1. Measures of insulin sensitivity (Matsuda index) and femoral and brachial artery blood flow were made during the OGTT. Free-living measures of GC including peak postprandial glucose (peak PPG) were also made via continuous glucose monitoring. RESULTS: Femoral and brachial artery blood flow increased during the OGTT but neither was significantly impacted by changes in physical activity (P &gt; 0.05). However, insulin sensitivity was decreased by RA5 (11.3 \u00b1 1.5 to 8.0 \u00b1 1.0, P &lt; 0.05). Likewise, free-living GC measures of peak PPG (113 \u00b1 3 to 123 \u00b1 5 mg\u00b7dL(-1), P &lt; 0.05) was significantly increased at RA5. Interestingly, insulin sensitivity and GC as assessed by peak PPG were not restored after RTA1 (P &gt; 0.05). CONCLUSIONS: Thus, acute reductions in physical activity impaired GC and insulin sensitivity; however, blood flow responses to an OGTT were not affected. Further, a 1-d return to activity was not sufficient to normalize GC after 5 d of reduced daily physical activity.", "author" : [ { "dropping-particle" : "", "family" : "Reynolds", "given" : "Leryn J.", "non-dropping-particle" : "", "parse-names" : false, "suffix" : "" }, { "dropping-particle" : "", "family" : "Credeur", "given" : "Daniel P.", "non-dropping-particle" : "", "parse-names" : false, "suffix" : "" }, { "dropping-particle" : "", "family" : "Holwerda", "given" : "Seth W.", "non-dropping-particle" : "", "parse-names" : false, "suffix" : "" }, { "dropping-particle" : "", "family" : "Leidy", "given" : "Heather J.", "non-dropping-particle" : "", "parse-names" : false, "suffix" : "" }, { "dropping-particle" : "", "family" : "Fadel", "given" : "Paul J.", "non-dropping-particle" : "", "parse-names" : false, "suffix" : "" }, { "dropping-particle" : "", "family" : "Thyfault", "given" : "John P.", "non-dropping-particle" : "", "parse-names" : false, "suffix" : "" } ], "container-title" : "Medicine &amp; Science in Sports &amp; Exercise", "id" : "ITEM-1", "issue" : "5", "issued" : { "date-parts" : [ [ "2015", "5" ] ] }, "number-of-pages" : "1087-1094", "title" : "Acute Inactivity Impairs Glycemic Control but Not Blood Flow to Glucose Ingestion", "type" : "book", "volume" : "47" }, "uris" : [ "http://www.mendeley.com/documents/?uuid=3d924708-9176-4587-9749-9b863790250e" ] } ], "mendeley" : { "formattedCitation" : "&lt;sup&gt;87&lt;/sup&gt;", "plainTextFormattedCitation" : "87", "previouslyFormattedCitation" : "&lt;sup&gt;87&lt;/sup&gt;"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87</w:t>
      </w:r>
      <w:r>
        <w:rPr>
          <w:rFonts w:cs="Times New Roman"/>
        </w:rPr>
        <w:fldChar w:fldCharType="end"/>
      </w:r>
      <w:r>
        <w:rPr>
          <w:rFonts w:cs="Times New Roman"/>
        </w:rPr>
        <w:t xml:space="preserve"> to 7 days</w:t>
      </w:r>
      <w:r>
        <w:rPr>
          <w:rFonts w:cs="Times New Roman"/>
        </w:rPr>
        <w:fldChar w:fldCharType="begin" w:fldLock="1"/>
      </w:r>
      <w:r w:rsidR="000709FC">
        <w:rPr>
          <w:rFonts w:cs="Times New Roman"/>
        </w:rPr>
        <w:instrText>ADDIN CSL_CITATION { "citationItems" : [ { "id" : "ITEM-1", "itemData" : { "DOI" : "10.1113/jphysiol.2013.262709", "ISBN" : "1469-7793 (Electronic)\\r0022-3751 (Linking)", "ISSN" : "1469-7793", "PMID" : "24167223", "abstract" : "Physical activity can affect many aspects of metabolism but it is unclear to what extent this relies on manipulation of energy balance. Twenty-six active men age 25 \u00b1 7 years (mean \u00b1 SD) were randomly assigned either to consume 50% more energy than normal by over-consuming their habitual diet for 7 days whilst simultaneously restricting their physical activity below 4000 steps day(-1) to induce an energy surplus (SUR group; n = 14) or to the same regimen but with 45 min of daily treadmill running at 70% of maximum oxygen uptake (SUR+EX group; n = 12). Critically, the SUR+EX group received additional dietary energy intake to account for the energy expended by exercise, thus maintaining a matched energy surplus. At baseline and follow-up, fasted blood samples and abdominal subcutaneous adipose tissue biopsies were obtained and oral glucose tolerance tests conducted. Insulinaemic responses to a standard glucose load increased 2-fold from baseline to follow-up in the SUR group (17 \u00b1 16 nmol (120 min) l(-1); P = 0.002) whereas there was no change in the SUR+EX group (1 \u00b1 6 nmol (120 min) l(-1)). Seven of 17 genes within adipose tissue were differentially expressed in the SUR group; expression of SREBP-1c, FAS and GLUT4 was significantly up-regulated and expression of PDK4, IRS2, HSL and visfatin was significantly down-regulated (P \u2264 0.05). The pAMPK/AMPK protein ratio in adipose tissue was significantly down-regulated in the SUR group (P = 0.005). Vigorous-intensity exercise counteracted most of the effects of short-term overfeeding and under-activity at the whole-body level and in adipose tissue, even in the face of a standardised energy surplus.", "author" : [ { "dropping-particle" : "", "family" : "Walhin", "given" : "JP Jean-Philippe", "non-dropping-particle" : "", "parse-names" : false, "suffix" : "" }, { "dropping-particle" : "", "family" : "Richardson", "given" : "JD Judith D", "non-dropping-particle" : "", "parse-names" : false, "suffix" : "" }, { "dropping-particle" : "", "family" : "Betts", "given" : "James a", "non-dropping-particle" : "", "parse-names" : false, "suffix" : "" }, { "dropping-particle" : "", "family" : "Thompson", "given" : "Dylan", "non-dropping-particle" : "", "parse-names" : false, "suffix" : "" } ], "container-title" : "Journal of Physiology", "id" : "ITEM-1", "issue" : "24", "issued" : { "date-parts" : [ [ "2013", "12", "15" ] ] }, "page" : "1-38", "title" : "Exercise counteracts the effects of short-term overfeeding and reduced physical activity independent of energy imbalance in healthy young men", "type" : "article-journal", "volume" : "591" }, "uris" : [ "http://www.mendeley.com/documents/?uuid=f251daef-7658-4d84-b0a9-7b26ccda647d" ] } ], "mendeley" : { "formattedCitation" : "&lt;sup&gt;75&lt;/sup&gt;", "plainTextFormattedCitation" : "75", "previouslyFormattedCitation" : "&lt;sup&gt;75&lt;/sup&gt;"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75</w:t>
      </w:r>
      <w:r>
        <w:rPr>
          <w:rFonts w:cs="Times New Roman"/>
        </w:rPr>
        <w:fldChar w:fldCharType="end"/>
      </w:r>
      <w:r>
        <w:rPr>
          <w:rFonts w:cs="Times New Roman"/>
        </w:rPr>
        <w:t xml:space="preserve"> </w:t>
      </w:r>
      <w:r w:rsidR="00623F5A">
        <w:rPr>
          <w:rFonts w:cs="Times New Roman"/>
        </w:rPr>
        <w:t xml:space="preserve">and have </w:t>
      </w:r>
      <w:r w:rsidRPr="00795B8F">
        <w:rPr>
          <w:rFonts w:cs="Times New Roman"/>
        </w:rPr>
        <w:t>resulted in impaired glucose control, insulin resistance and altered adipose tissue gene expression in</w:t>
      </w:r>
      <w:r w:rsidRPr="00795B8F">
        <w:rPr>
          <w:rFonts w:cs="Times New Roman"/>
        </w:rPr>
        <w:fldChar w:fldCharType="begin" w:fldLock="1"/>
      </w:r>
      <w:r w:rsidR="003D1F84">
        <w:rPr>
          <w:rFonts w:cs="Times New Roman"/>
        </w:rPr>
        <w:instrText>ADDIN CSL_CITATION { "citationItems" : [ { "id" : "ITEM-1", "itemData" : { "DOI" : "10.1249/MSS.0b013e31822ac0c0", "ISBN" : "1530-0315 (Electronic)\\n0195-9131 (Linking)", "ISSN" : "01959131", "PMID" : "21716152", "abstract" : "INTRODUCTION: Postprandial glucose (PPG) is an independent predictor of cardiovascular events and death, regardless of diabetes status. Whereas changes in physical activity produce changes in insulin sensitivity, it is not clear whether changes in daily physical activity directly affect PPG in healthy free-living persons.\\n\\nMETHODS: We used continuous glucose monitors to measure PPG and PPG excursions (\u0394PPG, postmeal - premeal blood glucose) at 30-min increments after meals in healthy habitually active volunteers (n = 12, age = 29 \u00b1 1 yr, body mass index = 23.6 \u00b1 0.9 kg\u00b7m(-2), VO2max = 53.6 \u00b1 3.0 mL\u00b7kg(-1)\u00b7min(-1)) during 3 d of habitual (\u226510,000 steps per day) and reduced (&lt;5000 steps per day) physical activity. Diets were standardized across monitoring periods, and fasting-state oral glucose tolerance tests (OGTT) were performed on the fourth day of each monitoring period.\\n\\nRESULTS: During 3 d of reduced physical activity (12,956 \u00b1 769 to 4319 \u00b1 256 steps per day), PPG increased at 30 and 60 min after a meal (6.31 \u00b1 0.19 to 6.68 \u00b1 0.23 mmol\u00b7L(-1) and 5.75 \u00b1 0.16 to 6.26 \u00b1 0.28 mmol\u00b7L(-1), P &lt; 0.05 relative to corresponding active time point), and \u0394PPG increased by 42%, 97%, and 33% at 30, 60, and 90 min after a meal, respectively (P &lt; 0.05). Insulin and C-peptide responses to the OGTT increased after 3 d of reduced activity (P &lt; 0.05), and the glucose response to the OGTT did not change significantly.\\n\\nCONCLUSIONS: Thus, despite evidence of compensatory increases in plasma insulin during an OGTT, \u0394PPG assessed by continuous glucose monitoring systems increased markedly during 3 d of reduced physical activity in otherwise healthy free-living individuals. These data indicate that daily physical activity is an important mediator of glycemic control, even among healthy individuals, and reinforce the utility of physical activity in preventing pathologies associated with elevated PPG.", "author" : [ { "dropping-particle" : "", "family" : "Mikus", "given" : "Catherine R.", "non-dropping-particle" : "", "parse-names" : false, "suffix" : "" }, { "dropping-particle" : "", "family" : "Oberlin", "given" : "Douglas J.", "non-dropping-particle" : "", "parse-names" : false, "suffix" : "" }, { "dropping-particle" : "", "family" : "Libla", "given" : "Jessica L.", "non-dropping-particle" : "", "parse-names" : false, "suffix" : "" }, { "dropping-particle" : "", "family" : "Taylor", "given" : "Angelina M.", "non-dropping-particle" : "", "parse-names" : false, "suffix" : "" }, { "dropping-particle" : "", "family" : "Booth", "given" : "Frank W.", "non-dropping-particle" : "", "parse-names" : false, "suffix" : "" }, { "dropping-particle" : "", "family" : "Thyfault", "given" : "John P.", "non-dropping-particle" : "", "parse-names" : false, "suffix" : "" } ], "container-title" : "Medicine and Science in Sports and Exercise", "id" : "ITEM-1", "issue" : "2", "issued" : { "date-parts" : [ [ "2012", "2" ] ] }, "page" : "225-231", "title" : "Lowering physical activity impairs glycemic control in healthy volunteers", "type" : "article-journal", "volume" : "44" }, "uris" : [ "http://www.mendeley.com/documents/?uuid=acc31cb0-2fb1-42d8-92b8-d5715575448c" ] }, { "id" : "ITEM-2", "itemData" : { "DOI" : "10.1113/jphysiol.2013.262709", "ISBN" : "1469-7793 (Electronic)\\r0022-3751 (Linking)", "ISSN" : "1469-7793", "PMID" : "24167223", "abstract" : "Physical activity can affect many aspects of metabolism but it is unclear to what extent this relies on manipulation of energy balance. Twenty-six active men age 25 \u00b1 7 years (mean \u00b1 SD) were randomly assigned either to consume 50% more energy than normal by over-consuming their habitual diet for 7 days whilst simultaneously restricting their physical activity below 4000 steps day(-1) to induce an energy surplus (SUR group; n = 14) or to the same regimen but with 45 min of daily treadmill running at 70% of maximum oxygen uptake (SUR+EX group; n = 12). Critically, the SUR+EX group received additional dietary energy intake to account for the energy expended by exercise, thus maintaining a matched energy surplus. At baseline and follow-up, fasted blood samples and abdominal subcutaneous adipose tissue biopsies were obtained and oral glucose tolerance tests conducted. Insulinaemic responses to a standard glucose load increased 2-fold from baseline to follow-up in the SUR group (17 \u00b1 16 nmol (120 min) l(-1); P = 0.002) whereas there was no change in the SUR+EX group (1 \u00b1 6 nmol (120 min) l(-1)). Seven of 17 genes within adipose tissue were differentially expressed in the SUR group; expression of SREBP-1c, FAS and GLUT4 was significantly up-regulated and expression of PDK4, IRS2, HSL and visfatin was significantly down-regulated (P \u2264 0.05). The pAMPK/AMPK protein ratio in adipose tissue was significantly down-regulated in the SUR group (P = 0.005). Vigorous-intensity exercise counteracted most of the effects of short-term overfeeding and under-activity at the whole-body level and in adipose tissue, even in the face of a standardised energy surplus.", "author" : [ { "dropping-particle" : "", "family" : "Walhin", "given" : "JP Jean-Philippe", "non-dropping-particle" : "", "parse-names" : false, "suffix" : "" }, { "dropping-particle" : "", "family" : "Richardson", "given" : "JD Judith D", "non-dropping-particle" : "", "parse-names" : false, "suffix" : "" }, { "dropping-particle" : "", "family" : "Betts", "given" : "James a", "non-dropping-particle" : "", "parse-names" : false, "suffix" : "" }, { "dropping-particle" : "", "family" : "Thompson", "given" : "Dylan", "non-dropping-particle" : "", "parse-names" : false, "suffix" : "" } ], "container-title" : "Journal of Physiology", "id" : "ITEM-2", "issue" : "24", "issued" : { "date-parts" : [ [ "2013", "12", "15" ] ] }, "page" : "1-38", "title" : "Exercise counteracts the effects of short-term overfeeding and reduced physical activity independent of energy imbalance in healthy young men", "type" : "article-journal", "volume" : "591" }, "uris" : [ "http://www.mendeley.com/documents/?uuid=f251daef-7658-4d84-b0a9-7b26ccda647d" ] } ], "mendeley" : { "formattedCitation" : "&lt;sup&gt;75,77&lt;/sup&gt;", "plainTextFormattedCitation" : "75,77", "previouslyFormattedCitation" : "&lt;sup&gt;75,77&lt;/sup&gt;"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75,77</w:t>
      </w:r>
      <w:r w:rsidRPr="00795B8F">
        <w:rPr>
          <w:rFonts w:cs="Times New Roman"/>
        </w:rPr>
        <w:fldChar w:fldCharType="end"/>
      </w:r>
      <w:r w:rsidRPr="00795B8F">
        <w:rPr>
          <w:rFonts w:cs="Times New Roman"/>
        </w:rPr>
        <w:t xml:space="preserve">. With a further reduction in steps </w:t>
      </w:r>
      <w:r>
        <w:rPr>
          <w:rFonts w:cs="Times New Roman"/>
        </w:rPr>
        <w:t xml:space="preserve">to less than </w:t>
      </w:r>
      <w:r w:rsidRPr="00795B8F">
        <w:rPr>
          <w:rFonts w:cs="Times New Roman"/>
        </w:rPr>
        <w:t>1500 per day for two weeks, near the lower extreme of daily step</w:t>
      </w:r>
      <w:r>
        <w:rPr>
          <w:rFonts w:cs="Times New Roman"/>
        </w:rPr>
        <w:t>s</w:t>
      </w:r>
      <w:r w:rsidRPr="00795B8F">
        <w:rPr>
          <w:rFonts w:cs="Times New Roman"/>
        </w:rPr>
        <w:t xml:space="preserve"> for many adults</w:t>
      </w:r>
      <w:r w:rsidRPr="00795B8F">
        <w:rPr>
          <w:rFonts w:cs="Times New Roman"/>
        </w:rPr>
        <w:fldChar w:fldCharType="begin" w:fldLock="1"/>
      </w:r>
      <w:r w:rsidR="00225DB1">
        <w:rPr>
          <w:rFonts w:cs="Times New Roman"/>
        </w:rPr>
        <w:instrText>ADDIN CSL_CITATION { "citationItems" : [ { "id" : "ITEM-1", "itemData" : { "DOI" : "10.1001/jama.298.19.2296", "ISBN" : "1538-3598 (Electronic)\\n0098-7484 (Linking)", "ISSN" : "1538-3598", "PMID" : "18029834", "abstract" : "CONTEXT: Without detailed evidence of their effectiveness, pedometers have recently become popular as a tool for motivating physical activity. OBJECTIVE: To evaluate the association of pedometer use with physical activity and health outcomes among outpatient adults. DATA SOURCES: English-language articles from MEDLINE, EMBASE, Sport Discus, PsychINFO, Cochrane Library, Thompson Scientific (formerly known as Thompson ISI), and ERIC (1966-2007); bibliographies of retrieved articles; and conference proceedings. STUDY SELECTION: Studies were eligible for inclusion if they reported an assessment of pedometer use among adult outpatients, reported a change in steps per day, and included more than 5 participants. DATA EXTRACTION AND DATA SYNTHESIS: Two investigators independently abstracted data about the intervention; participants; number of steps per day; and presence or absence of obesity, diabetes, hypertension, or hyperlipidemia. Data were pooled using random-effects calculations, and meta-regression was performed. RESULTS: Our searches identified 2246 citations; 26 studies with a total of 2767 participants met inclusion criteria (8 randomized controlled trials [RCTs] and 18 observational studies). The participants' mean (SD) age was 49 (9) years and 85% were women. The mean intervention duration was 18 weeks. In the RCTs, pedometer users significantly increased their physical activity by 2491 steps per day more than control participants (95% confidence interval [CI], 1098-3885 steps per day, P &lt; .001). Among the observational studies, pedometer users significantly increased their physical activity by 2183 steps per day over baseline (95% CI, 1571-2796 steps per day, P &lt; .0001). Overall, pedometer users increased their physical activity by 26.9% over baseline. An important predictor of increased physical activity was having a step goal such as 10,000 steps per day (P = .001). When data from all studies were combined, pedometer users significantly decreased their body mass index by 0.38 (95% CI, 0.05-0.72; P = .03). This decrease was associated with older age (P = .001) and having a step goal (P = .04). Intervention participants significantly decreased their systolic blood pressure by 3.8 mm Hg (95% CI, 1.7-5.9 mm Hg, P &lt; .001). This decrease was associated with greater baseline systolic blood pressure (P = .009) and change in steps per day (P = .08). CONCLUSIONS: The results suggest that the use of a pedometer is associated with significant increases in ph\u2026", "author" : [ { "dropping-particle" : "", "family" : "Bravata", "given" : "Dena M", "non-dropping-particle" : "", "parse-names" : false, "suffix" : "" }, { "dropping-particle" : "", "family" : "Smith-Spangler", "given" : "Crystal", "non-dropping-particle" : "", "parse-names" : false, "suffix" : "" }, { "dropping-particle" : "", "family" : "Sundaram", "given" : "Vandana", "non-dropping-particle" : "", "parse-names" : false, "suffix" : "" }, { "dropping-particle" : "", "family" : "Gienger", "given" : "Allison L", "non-dropping-particle" : "", "parse-names" : false, "suffix" : "" }, { "dropping-particle" : "", "family" : "Lin", "given" : "Nancy", "non-dropping-particle" : "", "parse-names" : false, "suffix" : "" }, { "dropping-particle" : "", "family" : "Lewis", "given" : "Robyn", "non-dropping-particle" : "", "parse-names" : false, "suffix" : "" }, { "dropping-particle" : "", "family" : "Stave", "given" : "Christopher D", "non-dropping-particle" : "", "parse-names" : false, "suffix" : "" }, { "dropping-particle" : "", "family" : "Olkin", "given" : "Ingram", "non-dropping-particle" : "", "parse-names" : false, "suffix" : "" }, { "dropping-particle" : "", "family" : "Sirard", "given" : "John R", "non-dropping-particle" : "", "parse-names" : false, "suffix" : "" } ], "container-title" : "JAMA : the journal of the American Medical Association", "id" : "ITEM-1", "issue" : "19", "issued" : { "date-parts" : [ [ "2007", "11", "21" ] ] }, "note" : "From Duplicate 1 ( ", "page" : "2296-2304", "title" : "Using pedometers to increase physical activity and improve health: a systematic review.", "type" : "article-journal", "volume" : "298" }, "uris" : [ "http://www.mendeley.com/documents/?uuid=8b61915d-9741-4ddc-bccb-e241ecfa934f" ] } ], "mendeley" : { "formattedCitation" : "&lt;sup&gt;86&lt;/sup&gt;", "plainTextFormattedCitation" : "86", "previouslyFormattedCitation" : "&lt;sup&gt;86&lt;/sup&gt;"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86</w:t>
      </w:r>
      <w:r w:rsidRPr="00795B8F">
        <w:rPr>
          <w:rFonts w:cs="Times New Roman"/>
        </w:rPr>
        <w:fldChar w:fldCharType="end"/>
      </w:r>
      <w:r w:rsidRPr="00795B8F">
        <w:rPr>
          <w:rFonts w:cs="Times New Roman"/>
        </w:rPr>
        <w:t>, younger adults experienced</w:t>
      </w:r>
      <w:r>
        <w:rPr>
          <w:rFonts w:cs="Times New Roman"/>
        </w:rPr>
        <w:t>:</w:t>
      </w:r>
      <w:r w:rsidRPr="00795B8F">
        <w:rPr>
          <w:rFonts w:cs="Times New Roman"/>
        </w:rPr>
        <w:t xml:space="preserve"> a reduction in peripheral (muscle) insulin sensitivity, </w:t>
      </w:r>
      <w:r>
        <w:rPr>
          <w:rFonts w:cs="Times New Roman"/>
        </w:rPr>
        <w:t xml:space="preserve">a </w:t>
      </w:r>
      <w:r w:rsidRPr="00795B8F">
        <w:rPr>
          <w:rFonts w:cs="Times New Roman"/>
        </w:rPr>
        <w:t xml:space="preserve">7% reduction in </w:t>
      </w:r>
      <w:r w:rsidRPr="000A0FE4">
        <w:rPr>
          <w:rFonts w:cs="Times New Roman"/>
          <w:lang w:val="en-US"/>
        </w:rPr>
        <w:t>V̇</w:t>
      </w:r>
      <w:r w:rsidRPr="00795B8F">
        <w:rPr>
          <w:rFonts w:cs="Times New Roman"/>
        </w:rPr>
        <w:t>O</w:t>
      </w:r>
      <w:r w:rsidRPr="00795B8F">
        <w:rPr>
          <w:rFonts w:cs="Times New Roman"/>
          <w:vertAlign w:val="subscript"/>
        </w:rPr>
        <w:t>2</w:t>
      </w:r>
      <w:r>
        <w:rPr>
          <w:rFonts w:cs="Times New Roman"/>
          <w:vertAlign w:val="subscript"/>
        </w:rPr>
        <w:t>peak</w:t>
      </w:r>
      <w:r w:rsidRPr="00795B8F">
        <w:rPr>
          <w:rFonts w:cs="Times New Roman"/>
        </w:rPr>
        <w:t xml:space="preserve">, </w:t>
      </w:r>
      <w:r>
        <w:rPr>
          <w:rFonts w:cs="Times New Roman"/>
        </w:rPr>
        <w:t xml:space="preserve">a </w:t>
      </w:r>
      <w:r w:rsidRPr="00795B8F">
        <w:rPr>
          <w:rFonts w:cs="Times New Roman"/>
        </w:rPr>
        <w:t xml:space="preserve">7% increase in visceral fat mass and a 2.8% loss </w:t>
      </w:r>
      <w:r>
        <w:rPr>
          <w:rFonts w:cs="Times New Roman"/>
        </w:rPr>
        <w:t>of</w:t>
      </w:r>
      <w:r w:rsidRPr="00795B8F">
        <w:rPr>
          <w:rFonts w:cs="Times New Roman"/>
        </w:rPr>
        <w:t xml:space="preserve"> leg lean mass</w:t>
      </w:r>
      <w:r w:rsidRPr="00795B8F">
        <w:rPr>
          <w:rFonts w:cs="Times New Roman"/>
        </w:rPr>
        <w:fldChar w:fldCharType="begin" w:fldLock="1"/>
      </w:r>
      <w:r w:rsidR="00225DB1">
        <w:rPr>
          <w:rFonts w:cs="Times New Roman"/>
        </w:rPr>
        <w:instrText>ADDIN CSL_CITATION { "citationItems" : [ { "id" : "ITEM-1", "itemData" : { "DOI" : "10.1152/japplphysiol.00189.2011", "ISBN" : "8750-7587\\r1522-1601", "ISSN" : "8750-7587", "PMID" : "22556394", "abstract" : "A lifestyle characterized by inactivity and a high-calorie diet is a known risk factor for impaired insulin sensitivity and development of Type 2 diabetes mellitus. To investigate possible links, nine young healthy men (24 \u00b1 3 yr; body mass index of 21.6 \u00b1 2.5 kg/m(2)) completed 14 days of step reduction (10,000 to 1,500 steps/day) and overfeeding (+50% kcal). Body composition (dual X-ray absorptiometry, MRI), aerobic fitness (maximal O(2) consumption), systemic inflammation and insulin sensitivity [oral glucose tolerance test (OGTT), hyperinsulinemic euglycemic clamp] were assessed before (day 0), during (days 3 and 7), and immediately after the intervention (day 14), with follow-up tests (day 30). Body weight had increased at days 7 and 14 (P &lt; 0.05). The amount of visceral fat had increased at day 14 compared with day 0 (P &lt; 0.05). The insulin response to the OGTT had increased at days 7 and 14 (P &lt; 0.05). Insulin sensitivity, estimated using the Matsuda index, had decreased at days 3 and 7 (P &lt; 0.01). At day 14, glucose infusion rates had decreased by \u223c44% during the euglycemic clamps (P &lt; 0.05). Also, plasma levels of leptin and adiponectin had increased (P &lt; 0.05), whereas no changes were seen in inflammatory markers. At day 30, body weight and whole body adiposity were still elevated compared with day 0 (P &lt; 0.05), whereas the insulin sensitivity as well as the insulin response to the OGTT did not differ from baseline. The glucose response to the OGTT was only affected at day 30, with a decrease compared with day 0. Our data show that insulin sensitivity was impaired after 3 days of inactivity and overfeeding. Impairments in insulin sensitivity occurred before changes in body composition, supporting the notion that the initial steps in impairment of insulin sensitivity may be linked directly to the effects of inactivity and a high calorie intake.", "author" : [ { "dropping-particle" : "", "family" : "Knudsen", "given" : "S. H.", "non-dropping-particle" : "", "parse-names" : false, "suffix" : "" }, { "dropping-particle" : "", "family" : "Hansen", "given" : "L. S.", "non-dropping-particle" : "", "parse-names" : false, "suffix" : "" }, { "dropping-particle" : "", "family" : "Pedersen", "given" : "M.", "non-dropping-particle" : "", "parse-names" : false, "suffix" : "" }, { "dropping-particle" : "", "family" : "Dejgaard", "given" : "T.", "non-dropping-particle" : "", "parse-names" : false, "suffix" : "" }, { "dropping-particle" : "", "family" : "Hansen", "given" : "J.", "non-dropping-particle" : "", "parse-names" : false, "suffix" : "" }, { "dropping-particle" : "V.", "family" : "Hall", "given" : "G.", "non-dropping-particle" : "", "parse-names" : false, "suffix" : "" }, { "dropping-particle" : "", "family" : "Thomsen", "given" : "C.", "non-dropping-particle" : "", "parse-names" : false, "suffix" : "" }, { "dropping-particle" : "", "family" : "Solomon", "given" : "T. P. J.", "non-dropping-particle" : "", "parse-names" : false, "suffix" : "" }, { "dropping-particle" : "", "family" : "Pedersen", "given" : "B. K.", "non-dropping-particle" : "", "parse-names" : false, "suffix" : "" }, { "dropping-particle" : "", "family" : "Krogh-Madsen", "given" : "R.", "non-dropping-particle" : "", "parse-names" : false, "suffix" : "" } ], "container-title" : "Journal of Applied Physiology", "id" : "ITEM-1", "issue" : "1", "issued" : { "date-parts" : [ [ "2012", "7" ] ] }, "page" : "7-15", "title" : "Changes in insulin sensitivity precede changes in body composition during 14 days of step reduction combined with overfeeding in healthy young men", "type" : "article-journal", "volume" : "113" }, "uris" : [ "http://www.mendeley.com/documents/?uuid=fd55b369-3ad5-4fab-a9be-62ff792b9582" ] }, { "id" : "ITEM-2", "itemData" : { "DOI" : "10.1152/japplphysiol.00977.2009", "ISBN" : "8750-7587\\r1522-1601", "ISSN" : "8750-7587", "PMID" : "20044474", "abstract" : "US adults take between approximately 2,000 and approximately 12,000 steps per day, a wide range of ambulatory activity that at the low range could increase risk for developing chronic metabolic diseases. Dramatic reductions in physical activity induce insulin resistance; however, it is uncertain if and how low ambulatory activity would influence peripheral insulin sensitivity. We aimed to explore if healthy, nonexercising subjects who went from a normal to a low level of ambulatory activity for 2 wk would display metabolic alterations including reduced peripheral insulin sensitivity. To do this, ten healthy young men decreased their daily activity level from a mean of 10,501+/-808 to 1,344+/-33 steps/day for 2 wk. Hyperinsulinemic-euglycemic clamps with stable isotopes and muscle biopsies, maximal oxygen consumption (VO2 max) tests, and blood samples were performed pre- and postintervention. A reduced number of daily steps induced a significant reduction of 17% in the glucose infusion rate (GIR) during the clamp. This reduction was due to a decline in peripheral insulin sensitivity with no effect on hepatic endogenous glucose production. The insulin-stimulated ratio of pAktthr308/total Akt decreased after step reduction, with a post hoc analysis revealing the most pronounced effect after 4 h of insulin infusion. In addition, the 2-wk period induced a 7% decline in VO2 max (ml/min; cardiovascular fitness). Lean mass of legs, but not arms and trunk, decreased concurrently. Taken together, one possible biological cause for the public health problem of Type 2 diabetes has been identified. Reduced ambulatory activity for 2 wk in healthy, nonexercising young men significantly reduced peripheral insulin sensitivity, cardiovascular fitness, and lean leg mass.", "author" : [ { "dropping-particle" : "", "family" : "Krogh-Madsen", "given" : "Rikke", "non-dropping-particle" : "", "parse-names" : false, "suffix" : "" }, { "dropping-particle" : "", "family" : "Thyfault", "given" : "John P", "non-dropping-particle" : "", "parse-names" : false, "suffix" : "" }, { "dropping-particle" : "", "family" : "Broholm", "given" : "Christa", "non-dropping-particle" : "", "parse-names" : false, "suffix" : "" }, { "dropping-particle" : "", "family" : "Mortensen", "given" : "Ole Hartvig", "non-dropping-particle" : "", "parse-names" : false, "suffix" : "" }, { "dropping-particle" : "", "family" : "Olsen", "given" : "Rasmus H", "non-dropping-particle" : "", "parse-names" : false, "suffix" : "" }, { "dropping-particle" : "", "family" : "Mounier", "given" : "Remi", "non-dropping-particle" : "", "parse-names" : false, "suffix" : "" }, { "dropping-particle" : "", "family" : "Plomgaard", "given" : "Peter", "non-dropping-particle" : "", "parse-names" : false, "suffix" : "" }, { "dropping-particle" : "", "family" : "Hall", "given" : "Gerrit", "non-dropping-particle" : "van", "parse-names" : false, "suffix" : "" }, { "dropping-particle" : "", "family" : "Booth", "given" : "Frank W", "non-dropping-particle" : "", "parse-names" : false, "suffix" : "" }, { "dropping-particle" : "", "family" : "Pedersen", "given" : "Bente K", "non-dropping-particle" : "", "parse-names" : false, "suffix" : "" } ], "container-title" : "Journal of applied physiology (Bethesda, Md. : 1985)", "id" : "ITEM-2", "issue" : "5", "issued" : { "date-parts" : [ [ "2010", "5" ] ] }, "note" : "From Duplicate 1 ( ", "page" : "1034-1040", "title" : "A 2-wk reduction of ambulatory activity attenuates peripheral insulin sensitivity.", "type" : "article-journal", "volume" : "108" }, "uris" : [ "http://www.mendeley.com/documents/?uuid=e79211db-25b4-4bf9-a2d1-c4c657021667" ] }, { "id" : "ITEM-3", "itemData" : { "DOI" : "10.1001/jama.299.11.1259", "ISBN" : "1538-3598 (Electronic)", "ISSN" : "0098-7484", "PMID" : "18349087", "author" : [ { "dropping-particle" : "", "family" : "Olsen", "given" : "Rasmus H", "non-dropping-particle" : "", "parse-names" : false, "suffix" : "" }, { "dropping-particle" : "", "family" : "Krogh-Madsen", "given" : "Rikke", "non-dropping-particle" : "", "parse-names" : false, "suffix" : "" }, { "dropping-particle" : "", "family" : "Thomsen", "given" : "Carsten", "non-dropping-particle" : "", "parse-names" : false, "suffix" : "" }, { "dropping-particle" : "", "family" : "Booth", "given" : "Frank W", "non-dropping-particle" : "", "parse-names" : false, "suffix" : "" }, { "dropping-particle" : "", "family" : "Pedersen", "given" : "Bente K", "non-dropping-particle" : "", "parse-names" : false, "suffix" : "" } ], "container-title" : "JAMA : the journal of the American Medical Association", "id" : "ITEM-3", "issue" : "11", "issued" : { "date-parts" : [ [ "2008" ] ] }, "page" : "1261-1263", "title" : "Metabolic responses to reduced daily steps in healthy nonexercising men.", "type" : "article-journal", "volume" : "299" }, "uris" : [ "http://www.mendeley.com/documents/?uuid=7b767cba-3236-4912-90c4-f87b3d9780ad" ] } ], "mendeley" : { "formattedCitation" : "&lt;sup&gt;78\u201380&lt;/sup&gt;", "plainTextFormattedCitation" : "78\u201380", "previouslyFormattedCitation" : "&lt;sup&gt;78\u201380&lt;/sup&gt;"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78–80</w:t>
      </w:r>
      <w:r w:rsidRPr="00795B8F">
        <w:rPr>
          <w:rFonts w:cs="Times New Roman"/>
        </w:rPr>
        <w:fldChar w:fldCharType="end"/>
      </w:r>
      <w:r w:rsidRPr="00795B8F">
        <w:rPr>
          <w:rFonts w:cs="Times New Roman"/>
        </w:rPr>
        <w:t>. Th</w:t>
      </w:r>
      <w:r w:rsidR="00AB3BAC">
        <w:rPr>
          <w:rFonts w:cs="Times New Roman"/>
        </w:rPr>
        <w:t>is</w:t>
      </w:r>
      <w:r w:rsidR="00623F5A">
        <w:rPr>
          <w:rFonts w:cs="Times New Roman"/>
        </w:rPr>
        <w:t xml:space="preserve"> </w:t>
      </w:r>
      <w:r w:rsidR="003605CC">
        <w:rPr>
          <w:rFonts w:cs="Times New Roman"/>
        </w:rPr>
        <w:t>SR</w:t>
      </w:r>
      <w:r w:rsidRPr="00795B8F">
        <w:rPr>
          <w:rFonts w:cs="Times New Roman"/>
        </w:rPr>
        <w:t xml:space="preserve"> intervention has been repeated in elderly men and despite evidence suggesting that older adults atrophy slower than younger individuals</w:t>
      </w:r>
      <w:r w:rsidR="00623F5A">
        <w:rPr>
          <w:rFonts w:cs="Times New Roman"/>
        </w:rPr>
        <w:t xml:space="preserve">, </w:t>
      </w:r>
      <w:r w:rsidR="00623F5A" w:rsidRPr="00795B8F">
        <w:rPr>
          <w:rFonts w:cs="Times New Roman"/>
        </w:rPr>
        <w:t>as a result of muscle unloading</w:t>
      </w:r>
      <w:r w:rsidRPr="00795B8F">
        <w:rPr>
          <w:rFonts w:cs="Times New Roman"/>
        </w:rPr>
        <w:fldChar w:fldCharType="begin" w:fldLock="1"/>
      </w:r>
      <w:r w:rsidR="00225DB1">
        <w:rPr>
          <w:rFonts w:cs="Times New Roman"/>
        </w:rPr>
        <w:instrText>ADDIN CSL_CITATION { "citationItems" : [ { "id" : "ITEM-1",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"ITEM-1", "issue" : "4", "issued" : { "date-parts" : [ [ "2009", "10" ] ] }, "page" : "1172-1180", "title" : "Effects of aging on human skeletal muscle after immobilization and retraining.", "type" : "article-journal", "volume" : "107" }, "uris" : [ "http://www.mendeley.com/documents/?uuid=03fe0af6-3cbe-40fc-8c94-5ae48ae103c2" ] } ], "mendeley" : { "formattedCitation" : "&lt;sup&gt;56&lt;/sup&gt;", "plainTextFormattedCitation" : "56", "previouslyFormattedCitation" : "&lt;sup&gt;56&lt;/sup&gt;"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56</w:t>
      </w:r>
      <w:r w:rsidRPr="00795B8F">
        <w:rPr>
          <w:rFonts w:cs="Times New Roman"/>
        </w:rPr>
        <w:fldChar w:fldCharType="end"/>
      </w:r>
      <w:r w:rsidRPr="00795B8F">
        <w:rPr>
          <w:rFonts w:cs="Times New Roman"/>
        </w:rPr>
        <w:t>, older men los</w:t>
      </w:r>
      <w:r w:rsidR="00623F5A">
        <w:rPr>
          <w:rFonts w:cs="Times New Roman"/>
        </w:rPr>
        <w:t>e</w:t>
      </w:r>
      <w:r w:rsidRPr="00795B8F">
        <w:rPr>
          <w:rFonts w:cs="Times New Roman"/>
        </w:rPr>
        <w:t xml:space="preserve"> </w:t>
      </w:r>
      <w:r w:rsidR="00623F5A">
        <w:rPr>
          <w:rFonts w:cs="Times New Roman"/>
        </w:rPr>
        <w:t xml:space="preserve">a comparable amount of </w:t>
      </w:r>
      <w:r w:rsidRPr="00795B8F">
        <w:rPr>
          <w:rFonts w:cs="Times New Roman"/>
        </w:rPr>
        <w:t xml:space="preserve">muscle mass </w:t>
      </w:r>
      <w:r w:rsidR="00623F5A">
        <w:rPr>
          <w:rFonts w:cs="Times New Roman"/>
        </w:rPr>
        <w:t xml:space="preserve">compared </w:t>
      </w:r>
      <w:r w:rsidRPr="00795B8F">
        <w:rPr>
          <w:rFonts w:cs="Times New Roman"/>
        </w:rPr>
        <w:t>to younger men</w:t>
      </w:r>
      <w:r w:rsidR="003605CC">
        <w:rPr>
          <w:rFonts w:cs="Times New Roman"/>
        </w:rPr>
        <w:t xml:space="preserve"> with SR</w:t>
      </w:r>
      <w:r w:rsidRPr="00795B8F">
        <w:rPr>
          <w:rFonts w:cs="Times New Roman"/>
        </w:rPr>
        <w:fldChar w:fldCharType="begin" w:fldLock="1"/>
      </w:r>
      <w:r w:rsidR="00225DB1">
        <w:rPr>
          <w:rFonts w:cs="Times New Roman"/>
        </w:rPr>
        <w:instrText>ADDIN CSL_CITATION { "citationItems" : [ { "id" : "ITEM-1", "itemData" : { "DOI" : "10.1210/jc.2013-1502", "ISBN" : "0000000000000", "ISSN" : "0021972X", "PMID" : "23589526", "abstract" : "BACKGROUND: Alterations in muscle protein metabolism underlie age-related muscle atrophy. During periods of muscle disuse, muscle protein synthesis is blunted, and muscle atrophy occurs in young and old. The impact of a short reduction in physical activity on muscle protein metabolism in older adults is unknown.\\n\\nPURPOSE: The aim of this study was to investigate the impact of 14 days of reduced daily steps on fasted and fed-state rates of myofibrillar protein synthesis (MPS) to provide insight into the mechanisms for changes in muscle mass and markers of metabolic health.\\n\\nMETHODS: Before and after 14 days of reduced daily step-count, 10 healthy older adults (age, 72 \u00b1 1 y) underwent measures of insulin sensitivity, muscle strength, physical function, and body composition. Using a primed constant infusion of L-[ring-(13)C6]phenylalanine with serial muscle biopsies, basal, postabsorptive, and postprandial rates of MPS were determined before and after the 14-day intervention.\\n\\nRESULTS: Daily step-count was reduced by approximately 76% to 1413 \u00b1 110 steps per day. Leg fat-free mass was reduced by approximately 3.9% (P &lt; .001). Postabsorptive insulin resistance was increased by approximately 12%, and postprandial insulin sensitivity was reduced by approximately 43% after step reduction (P &lt; .005). Concentrations of TNF-\u03b1 and C-reactive protein were increased by approximately 12 and 25%, respectively, after step reduction (P &lt; .05). Postprandial rates of MPS were reduced by approximately 26% after the intervention (P = .028), with no difference in postabsorptive rates.\\n\\nCONCLUSION: The present study demonstrates that 14 days of reduced steps in older adults induces small but measurable reductions in muscle mass that appear to be underpinned by reductions in postprandial MPS and are accompanied by impairments in insulin sensitivity and systemic inflammatory markers and postprandial MPS.", "author" : [ { "dropping-particle" : "", "family" : "Breen", "given" : "Leigh", "non-dropping-particle" : "", "parse-names" : false, "suffix" : "" }, { "dropping-particle" : "", "family" : "Stokes", "given" : "Keith a.", "non-dropping-particle" : "", "parse-names" : false, "suffix" : "" }, { "dropping-particle" : "", "family" : "Churchward-Venne", "given" : "Tyler a.", "non-dropping-particle" : "", "parse-names" : false, "suffix" : "" }, { "dropping-particle" : "", "family" : "Moore", "given" : "Daniel R.", "non-dropping-particle" : "", "parse-names" : false, "suffix" : "" }, { "dropping-particle" : "", "family" : "Baker", "given" : "Stephen K.", "non-dropping-particle" : "", "parse-names" : false, "suffix" : "" }, { "dropping-particle" : "", "family" : "Smith", "given" : "Kenneth", "non-dropping-particle" : "", "parse-names" : false, "suffix" : "" }, { "dropping-particle" : "", "family" : "Atherton", "given" : "Philip J.", "non-dropping-particle" : "", "parse-names" : false, "suffix" : "" }, { "dropping-particle" : "", "family" : "Phillips", "given" : "Stuart M.", "non-dropping-particle" : "", "parse-names" : false, "suffix" : "" } ], "container-title" : "Journal of Clinical Endocrinology and Metabolism", "id" : "ITEM-1", "issue" : "6", "issued" : { "date-parts" : [ [ "2013", "6" ] ] }, "note" : "From Duplicate 1 ( ", "page" : "2604-2612", "title" : "Two weeks of reduced activity decreases leg lean mass and induces \"anabolic resistance\" of myofibrillar protein synthesis in healthy elderly", "type" : "article-journal", "volume" : "98" }, "uris" : [ "http://www.mendeley.com/documents/?uuid=7b247101-8e58-4f48-a336-f3d4e1f8abfc" ] }, { "id" : "ITEM-2", "itemData" : { "DOI" : "10.1152/japplphysiol.00977.2009", "ISBN" : "8750-7587\\r1522-1601", "ISSN" : "8750-7587", "PMID" : "20044474", "abstract" : "US adults take between approximately 2,000 and approximately 12,000 steps per day, a wide range of ambulatory activity that at the low range could increase risk for developing chronic metabolic diseases. Dramatic reductions in physical activity induce insulin resistance; however, it is uncertain if and how low ambulatory activity would influence peripheral insulin sensitivity. We aimed to explore if healthy, nonexercising subjects who went from a normal to a low level of ambulatory activity for 2 wk would display metabolic alterations including reduced peripheral insulin sensitivity. To do this, ten healthy young men decreased their daily activity level from a mean of 10,501+/-808 to 1,344+/-33 steps/day for 2 wk. Hyperinsulinemic-euglycemic clamps with stable isotopes and muscle biopsies, maximal oxygen consumption (VO2 max) tests, and blood samples were performed pre- and postintervention. A reduced number of daily steps induced a significant reduction of 17% in the glucose infusion rate (GIR) during the clamp. This reduction was due to a decline in peripheral insulin sensitivity with no effect on hepatic endogenous glucose production. The insulin-stimulated ratio of pAktthr308/total Akt decreased after step reduction, with a post hoc analysis revealing the most pronounced effect after 4 h of insulin infusion. In addition, the 2-wk period induced a 7% decline in VO2 max (ml/min; cardiovascular fitness). Lean mass of legs, but not arms and trunk, decreased concurrently. Taken together, one possible biological cause for the public health problem of Type 2 diabetes has been identified. Reduced ambulatory activity for 2 wk in healthy, nonexercising young men significantly reduced peripheral insulin sensitivity, cardiovascular fitness, and lean leg mass.", "author" : [ { "dropping-particle" : "", "family" : "Krogh-Madsen", "given" : "Rikke", "non-dropping-particle" : "", "parse-names" : false, "suffix" : "" }, { "dropping-particle" : "", "family" : "Thyfault", "given" : "John P", "non-dropping-particle" : "", "parse-names" : false, "suffix" : "" }, { "dropping-particle" : "", "family" : "Broholm", "given" : "Christa", "non-dropping-particle" : "", "parse-names" : false, "suffix" : "" }, { "dropping-particle" : "", "family" : "Mortensen", "given" : "Ole Hartvig", "non-dropping-particle" : "", "parse-names" : false, "suffix" : "" }, { "dropping-particle" : "", "family" : "Olsen", "given" : "Rasmus H", "non-dropping-particle" : "", "parse-names" : false, "suffix" : "" }, { "dropping-particle" : "", "family" : "Mounier", "given" : "Remi", "non-dropping-particle" : "", "parse-names" : false, "suffix" : "" }, { "dropping-particle" : "", "family" : "Plomgaard", "given" : "Peter", "non-dropping-particle" : "", "parse-names" : false, "suffix" : "" }, { "dropping-particle" : "", "family" : "Hall", "given" : "Gerrit", "non-dropping-particle" : "van", "parse-names" : false, "suffix" : "" }, { "dropping-particle" : "", "family" : "Booth", "given" : "Frank W", "non-dropping-particle" : "", "parse-names" : false, "suffix" : "" }, { "dropping-particle" : "", "family" : "Pedersen", "given" : "Bente K", "non-dropping-particle" : "", "parse-names" : false, "suffix" : "" } ], "container-title" : "Journal of applied physiology (Bethesda, Md. : 1985)", "id" : "ITEM-2", "issue" : "5", "issued" : { "date-parts" : [ [ "2010", "5" ] ] }, "note" : "From Duplicate 1 ( ", "page" : "1034-1040", "title" : "A 2-wk reduction of ambulatory activity attenuates peripheral insulin sensitivity.", "type" : "article-journal", "volume" : "108" }, "uris" : [ "http://www.mendeley.com/documents/?uuid=e79211db-25b4-4bf9-a2d1-c4c657021667" ] } ], "mendeley" : { "formattedCitation" : "&lt;sup&gt;78,82&lt;/sup&gt;", "plainTextFormattedCitation" : "78,82", "previouslyFormattedCitation" : "&lt;sup&gt;78,82&lt;/sup&gt;"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78,82</w:t>
      </w:r>
      <w:r w:rsidRPr="00795B8F">
        <w:rPr>
          <w:rFonts w:cs="Times New Roman"/>
        </w:rPr>
        <w:fldChar w:fldCharType="end"/>
      </w:r>
      <w:r w:rsidRPr="00795B8F">
        <w:rPr>
          <w:rFonts w:cs="Times New Roman"/>
        </w:rPr>
        <w:t xml:space="preserve">. </w:t>
      </w:r>
      <w:r w:rsidR="00AB3BAC">
        <w:rPr>
          <w:rFonts w:cs="Times New Roman"/>
        </w:rPr>
        <w:t>In fact, th</w:t>
      </w:r>
      <w:r w:rsidRPr="00795B8F">
        <w:rPr>
          <w:rFonts w:cs="Times New Roman"/>
        </w:rPr>
        <w:t>ere is evidence to suggest that older men are more prone to losses in strength with muscle offloading than younger men</w:t>
      </w:r>
      <w:r w:rsidRPr="00795B8F">
        <w:rPr>
          <w:rFonts w:cs="Times New Roman"/>
        </w:rPr>
        <w:fldChar w:fldCharType="begin" w:fldLock="1"/>
      </w:r>
      <w:r w:rsidR="000709FC">
        <w:rPr>
          <w:rFonts w:cs="Times New Roman"/>
        </w:rPr>
        <w:instrText>ADDIN CSL_CITATION { "citationItems" : [ { "id" : "ITEM-1", "itemData" : { "DOI" : "10.1152/japplphysiol.00637.2010", "ISBN" : "1522-1601 (Electronic)\\n0161-7567 (Linking)", "ISSN" : "8750-7587", "PMID" : "20864557", "abstract" : "Very little attention has been given to the combined effects of aging and disuse as separate factors causing deterioration in muscle mechanical function. Thus the purpose of this study was to investigate the effects of 2 wk of immobilization followed by 4 wk of retraining on knee extensor muscle mechanical function (e.g., maximal strength and rapid force capacity) and muscle fiber morphology in 9 old (OM: 67.3 \u00b1 1.3 yr) and 11 young healthy men (YM: 24.4 \u00b1 0.5 yr) with comparable levels of physical activity. Following immobilization, OM demonstrated markedly larger decreases in rapid force capacity (i.e., rate of force development, impulse) than YM (\u223c 20-37 vs. \u223c 13-16%; P &lt; 0.05). In contrast, muscle fiber area decreased in YM for type I, IIA, and IIx fibers (\u223c 15-30%; P &lt; 0.05), whereas only type IIa area decreased in OM (13.2%; P &lt; 0.05). Subsequent retraining fully restored muscle mechanical function and muscle fiber area in YM, whereas OM showed an attenuated recovery in muscle fiber area and rapid force capacity (tendency). Changes in maximal isometric and dynamic muscle strength were similar between OM and YM. In conclusion, the present data reveal that OM may be more susceptible to the deleterious effects of short-term muscle disuse on muscle fiber size and rapid force capacity than YM. Furthermore, OM seems to require longer time to recover and regain rapid muscle force capacity, which may lead to a larger risk of falling in aged individuals after periods of short-term disuse.", "author" : [ { "dropping-particle" : "", "family" : "Hvid", "given" : "Lars", "non-dropping-particle" : "", "parse-names" : false, "suffix" : "" }, { "dropping-particle" : "", "family" : "Aagaard", "given" : "Per", "non-dropping-particle" : "", "parse-names" : false, "suffix" : "" }, { "dropping-particle" : "", "family" : "Justesen", "given" : "Lene", "non-dropping-particle" : "", "parse-names" : false, "suffix" : "" }, { "dropping-particle" : "", "family" : "Bayer", "given" : "Monika L", "non-dropping-particle" : "", "parse-names" : false, "suffix" : "" }, { "dropping-particle" : "", "family" : "Andersen", "given" : "Jesper L", "non-dropping-particle" : "", "parse-names" : false, "suffix" : "" }, { "dropping-particle" : "", "family" : "\u00d8rtenblad", "given" : "Niels", "non-dropping-particle" : "", "parse-names" : false, "suffix" : "" }, { "dropping-particle" : "", "family" : "Kjaer", "given" : "Michael", "non-dropping-particle" : "", "parse-names" : false, "suffix" : "" }, { "dropping-particle" : "", "family" : "Suetta", "given" : "Charlotte", "non-dropping-particle" : "", "parse-names" : false, "suffix" : "" } ], "container-title" : "Journal of applied physiology (Bethesda, Md. : 1985)", "id" : "ITEM-1", "issue" : "6", "issued" : { "date-parts" : [ [ "2010" ] ] }, "page" : "1628-1634", "title" : "Effects of aging on muscle mechanical function and muscle fiber morphology during short-term immobilization and subsequent retraining.", "type" : "article-journal", "volume" : "109" }, "uris" : [ "http://www.mendeley.com/documents/?uuid=19df41c5-6620-4315-9c2a-fbf7029a597a" ] }, { "id" : "ITEM-2", "itemData" : { "DOI" : "10.1249/MSS.0b013e318164f4b6", "ISSN" : "01959131", "PMID" : "18408613", "abstract" : "INTRODUCTION: The purpose of this investigation was to determine whether young (21.7 yr) and aged (68.5 yr) men experienced similar responses to 7 d of muscle unloading (N = 10 per group). METHODS: Unilateral lower limb suspension (ULLS) was used to impose muscle unloading of the knee extensors. To compare the effects of unloading on aged and young men, a repeated-measures factorial ANOVA was used to assess those effects on isometric strength, as well as strength, total work, and average power during isokinetic contractions conducted at 0.53, 1.05, and 2.09 rad.s(-1). RESULTS: Data showed that at slower speeds of movement, only a main effect of unloading was identified with young and aged men displaying similar and significant (P &lt; 0.05) ULLS-induced decrements in strength, work, and power. The decrease in isometric strength correlated well with loss of electromyographic activity of contracting muscles (r = 0.79, P = 0.0002). At higher speeds of isokinetic contractions, not only was a main effect of age detected (young &gt; aged), but it was also revealed that aged men, but not young men, experienced significant unloading-induced declines in muscle performance. Moreover, unloading resulted in a significant increase in plasma cortisol, a potent catabolic hormone, only among aged men. In contrast to other variables assessed, muscle endurance, quantified during 30 repetitions completed at 3.14 rad.s(-1), did not differ between age groups, nor was it altered by unloading. CONCLUSION: These findings suggest that young and aged men respond differently to muscle unloading, but in assessing muscle performance, these differences are manifested only during faster contractile velocities.", "author" : [ { "dropping-particle" : "", "family" : "Deschenes", "given" : "Michael R.", "non-dropping-particle" : "", "parse-names" : false, "suffix" : "" }, { "dropping-particle" : "", "family" : "Holdren", "given" : "Ashley N.", "non-dropping-particle" : "", "parse-names" : false, "suffix" : "" }, { "dropping-particle" : "", "family" : "Mccoy", "given" : "Raymond W.", "non-dropping-particle" : "", "parse-names" : false, "suffix" : "" } ], "container-title" : "Medicine and Science in Sports and Exercise", "id" : "ITEM-2", "issue" : "5", "issued" : { "date-parts" : [ [ "2008" ] ] }, "page" : "856-863", "title" : "Adaptations to short-term muscle unloading in young and aged men", "type" : "article-journal", "volume" : "40" }, "uris" : [ "http://www.mendeley.com/documents/?uuid=7da201fb-6472-4e6d-a347-d8ecefcb2f84" ] } ], "mendeley" : { "formattedCitation" : "&lt;sup&gt;64,88&lt;/sup&gt;", "plainTextFormattedCitation" : "64,88", "previouslyFormattedCitation" : "&lt;sup&gt;64,88&lt;/sup&gt;" }, "properties" : { "noteIndex" : 0 }, "schema" : "https://github.com/citation-style-language/schema/raw/master/csl-citation.json" }</w:instrText>
      </w:r>
      <w:r w:rsidRPr="00795B8F">
        <w:rPr>
          <w:rFonts w:cs="Times New Roman"/>
        </w:rPr>
        <w:fldChar w:fldCharType="separate"/>
      </w:r>
      <w:r w:rsidR="003D1F84" w:rsidRPr="003D1F84">
        <w:rPr>
          <w:rFonts w:cs="Times New Roman"/>
          <w:noProof/>
          <w:vertAlign w:val="superscript"/>
        </w:rPr>
        <w:t>64,88</w:t>
      </w:r>
      <w:r w:rsidRPr="00795B8F">
        <w:rPr>
          <w:rFonts w:cs="Times New Roman"/>
        </w:rPr>
        <w:fldChar w:fldCharType="end"/>
      </w:r>
      <w:r w:rsidRPr="00795B8F">
        <w:rPr>
          <w:rFonts w:cs="Times New Roman"/>
        </w:rPr>
        <w:t xml:space="preserve">, and over an acute period of ≤1500 </w:t>
      </w:r>
      <w:r w:rsidR="002B63BD">
        <w:rPr>
          <w:rFonts w:cs="Times New Roman"/>
        </w:rPr>
        <w:t>SR</w:t>
      </w:r>
      <w:r w:rsidRPr="00795B8F">
        <w:rPr>
          <w:rFonts w:cs="Times New Roman"/>
        </w:rPr>
        <w:t xml:space="preserve"> elderly subjects lost approximately 7</w:t>
      </w:r>
      <w:r>
        <w:rPr>
          <w:rFonts w:cs="Times New Roman"/>
        </w:rPr>
        <w:t>% of knee extensor strength</w:t>
      </w:r>
      <w:r w:rsidR="003605CC">
        <w:rPr>
          <w:rFonts w:cs="Times New Roman"/>
        </w:rPr>
        <w:fldChar w:fldCharType="begin" w:fldLock="1"/>
      </w:r>
      <w:r w:rsidR="000709FC">
        <w:rPr>
          <w:rFonts w:cs="Times New Roman"/>
        </w:rPr>
        <w:instrText>ADDIN CSL_CITATION { "citationItems" : [ { "id" : "ITEM-1", "itemData" : { "author" : [ { "dropping-particle" : "", "family" : "Devries", "given" : "M", "non-dropping-particle" : "", "parse-names" : false, "suffix" : "" }, { "dropping-particle" : "", "family" : "Breen", "given" : "L", "non-dropping-particle" : "", "parse-names" : false, "suffix" : "" }, { "dropping-particle" : "", "family" : "Allmen", "given" : "M", "non-dropping-particle" : "von", "parse-names" : false, "suffix" : "" }, { "dropping-particle" : "", "family" : "Moore", "given" : "D", "non-dropping-particle" : "", "parse-names" : false, "suffix" : "" }, { "dropping-particle" : "", "family" : "Phillips", "given" : "SM", "non-dropping-particle" : "", "parse-names" : false, "suffix" : "" } ], "container-title" : "Unpublished - personal communication", "id" : "ITEM-1", "issued" : { "date-parts" : [ [ "0" ] ] }, "title" : "Low-load resistance training during step-reduction attenuates declines in muscle mass and strength and enhances anabolic sensitivity in older men", "type" : "article-journal" }, "uris" : [ "http://www.mendeley.com/documents/?uuid=5cdfb8ee-470a-446b-aab6-1051a07d2fae" ] } ], "mendeley" : { "formattedCitation" : "&lt;sup&gt;89&lt;/sup&gt;", "plainTextFormattedCitation" : "89", "previouslyFormattedCitation" : "&lt;sup&gt;89&lt;/sup&gt;" }, "properties" : { "noteIndex" : 0 }, "schema" : "https://github.com/citation-style-language/schema/raw/master/csl-citation.json" }</w:instrText>
      </w:r>
      <w:r w:rsidR="003605CC">
        <w:rPr>
          <w:rFonts w:cs="Times New Roman"/>
        </w:rPr>
        <w:fldChar w:fldCharType="separate"/>
      </w:r>
      <w:r w:rsidR="003D1F84" w:rsidRPr="003D1F84">
        <w:rPr>
          <w:rFonts w:cs="Times New Roman"/>
          <w:noProof/>
          <w:vertAlign w:val="superscript"/>
        </w:rPr>
        <w:t>89</w:t>
      </w:r>
      <w:r w:rsidR="003605CC">
        <w:rPr>
          <w:rFonts w:cs="Times New Roman"/>
        </w:rPr>
        <w:fldChar w:fldCharType="end"/>
      </w:r>
      <w:r w:rsidRPr="00795B8F">
        <w:rPr>
          <w:rFonts w:cs="Times New Roman"/>
        </w:rPr>
        <w:t>.</w:t>
      </w:r>
      <w:r>
        <w:rPr>
          <w:rFonts w:cs="Times New Roman"/>
        </w:rPr>
        <w:t xml:space="preserve"> In addition, older men and women exhibited a 21% increase in fasted and 43% increase in fed insulin resistance after a two weeks of acute </w:t>
      </w:r>
      <w:r w:rsidR="002B63BD">
        <w:rPr>
          <w:rFonts w:cs="Times New Roman"/>
        </w:rPr>
        <w:t>SR</w:t>
      </w:r>
      <w:r>
        <w:rPr>
          <w:rFonts w:cs="Times New Roman"/>
        </w:rPr>
        <w:fldChar w:fldCharType="begin" w:fldLock="1"/>
      </w:r>
      <w:r w:rsidR="00225DB1">
        <w:rPr>
          <w:rFonts w:cs="Times New Roman"/>
        </w:rPr>
        <w:instrText>ADDIN CSL_CITATION { "citationItems" : [ { "id" : "ITEM-1", "itemData" : { "DOI" : "10.1210/jc.2013-1502", "ISBN" : "0000000000000", "ISSN" : "0021972X", "PMID" : "23589526", "abstract" : "BACKGROUND: Alterations in muscle protein metabolism underlie age-related muscle atrophy. During periods of muscle disuse, muscle protein synthesis is blunted, and muscle atrophy occurs in young and old. The impact of a short reduction in physical activity on muscle protein metabolism in older adults is unknown.\\n\\nPURPOSE: The aim of this study was to investigate the impact of 14 days of reduced daily steps on fasted and fed-state rates of myofibrillar protein synthesis (MPS) to provide insight into the mechanisms for changes in muscle mass and markers of metabolic health.\\n\\nMETHODS: Before and after 14 days of reduced daily step-count, 10 healthy older adults (age, 72 \u00b1 1 y) underwent measures of insulin sensitivity, muscle strength, physical function, and body composition. Using a primed constant infusion of L-[ring-(13)C6]phenylalanine with serial muscle biopsies, basal, postabsorptive, and postprandial rates of MPS were determined before and after the 14-day intervention.\\n\\nRESULTS: Daily step-count was reduced by approximately 76% to 1413 \u00b1 110 steps per day. Leg fat-free mass was reduced by approximately 3.9% (P &lt; .001). Postabsorptive insulin resistance was increased by approximately 12%, and postprandial insulin sensitivity was reduced by approximately 43% after step reduction (P &lt; .005). Concentrations of TNF-\u03b1 and C-reactive protein were increased by approximately 12 and 25%, respectively, after step reduction (P &lt; .05). Postprandial rates of MPS were reduced by approximately 26% after the intervention (P = .028), with no difference in postabsorptive rates.\\n\\nCONCLUSION: The present study demonstrates that 14 days of reduced steps in older adults induces small but measurable reductions in muscle mass that appear to be underpinned by reductions in postprandial MPS and are accompanied by impairments in insulin sensitivity and systemic inflammatory markers and postprandial MPS.", "author" : [ { "dropping-particle" : "", "family" : "Breen", "given" : "Leigh", "non-dropping-particle" : "", "parse-names" : false, "suffix" : "" }, { "dropping-particle" : "", "family" : "Stokes", "given" : "Keith a.", "non-dropping-particle" : "", "parse-names" : false, "suffix" : "" }, { "dropping-particle" : "", "family" : "Churchward-Venne", "given" : "Tyler a.", "non-dropping-particle" : "", "parse-names" : false, "suffix" : "" }, { "dropping-particle" : "", "family" : "Moore", "given" : "Daniel R.", "non-dropping-particle" : "", "parse-names" : false, "suffix" : "" }, { "dropping-particle" : "", "family" : "Baker", "given" : "Stephen K.", "non-dropping-particle" : "", "parse-names" : false, "suffix" : "" }, { "dropping-particle" : "", "family" : "Smith", "given" : "Kenneth", "non-dropping-particle" : "", "parse-names" : false, "suffix" : "" }, { "dropping-particle" : "", "family" : "Atherton", "given" : "Philip J.", "non-dropping-particle" : "", "parse-names" : false, "suffix" : "" }, { "dropping-particle" : "", "family" : "Phillips", "given" : "Stuart M.", "non-dropping-particle" : "", "parse-names" : false, "suffix" : "" } ], "container-title" : "Journal of Clinical Endocrinology and Metabolism", "id" : "ITEM-1", "issue" : "6", "issued" : { "date-parts" : [ [ "2013", "6" ] ] }, "note" : "From Duplicate 1 ( ", "page" : "2604-2612", "title" : "Two weeks of reduced activity decreases leg lean mass and induces \"anabolic resistance\" of myofibrillar protein synthesis in healthy elderly", "type" : "article-journal", "volume" : "98" }, "uris" : [ "http://www.mendeley.com/documents/?uuid=7b247101-8e58-4f48-a336-f3d4e1f8abfc" ] } ], "mendeley" : { "formattedCitation" : "&lt;sup&gt;82&lt;/sup&gt;", "plainTextFormattedCitation" : "82", "previouslyFormattedCitation" : "&lt;sup&gt;82&lt;/sup&gt;"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82</w:t>
      </w:r>
      <w:r>
        <w:rPr>
          <w:rFonts w:cs="Times New Roman"/>
        </w:rPr>
        <w:fldChar w:fldCharType="end"/>
      </w:r>
      <w:r>
        <w:rPr>
          <w:rFonts w:cs="Times New Roman"/>
        </w:rPr>
        <w:t xml:space="preserve">. </w:t>
      </w:r>
    </w:p>
    <w:p w14:paraId="0C5D725F" w14:textId="452AC498" w:rsidR="005A1D98" w:rsidRDefault="005A1D98" w:rsidP="000D2A2A">
      <w:pPr>
        <w:spacing w:line="480" w:lineRule="auto"/>
        <w:ind w:firstLine="709"/>
        <w:rPr>
          <w:rFonts w:cs="Times New Roman"/>
        </w:rPr>
      </w:pPr>
      <w:r>
        <w:rPr>
          <w:rFonts w:cs="Times New Roman"/>
        </w:rPr>
        <w:lastRenderedPageBreak/>
        <w:t xml:space="preserve">The spectrum of consequences associated with acute periods of physical inactivity still has not been </w:t>
      </w:r>
      <w:r w:rsidR="00623F5A">
        <w:rPr>
          <w:rFonts w:cs="Times New Roman"/>
        </w:rPr>
        <w:t xml:space="preserve">fully </w:t>
      </w:r>
      <w:r>
        <w:rPr>
          <w:rFonts w:cs="Times New Roman"/>
        </w:rPr>
        <w:t>characterized. Evidence suggests that transient reductions in ambulation may cause deleterious effects on vascular structure/function and microvascular function</w:t>
      </w:r>
      <w:r>
        <w:rPr>
          <w:rFonts w:cs="Times New Roman"/>
        </w:rPr>
        <w:fldChar w:fldCharType="begin" w:fldLock="1"/>
      </w:r>
      <w:r w:rsidR="000709FC">
        <w:rPr>
          <w:rFonts w:cs="Times New Roman"/>
        </w:rPr>
        <w:instrText>ADDIN CSL_CITATION { "citationItems" : [ { "id" : "ITEM-1", "itemData" : { "DOI" : "10.1152/ajpheart.00966.2004", "ISBN" : "0363-6135 (Print)", "ISSN" : "0363-6135", "PMID" : "15576435", "abstract" : "Physical inactivity or deconditioning is an independent risk factor for atherosclerosis and cardiovascular disease. In contrast to exercise, the vascular changes that occur as a result of deconditioning have not been characterized. We used 4 wk of unilateral lower limb suspension (ULLS) to study arterial and venous adaptations to deconditioning. In contrast to previous studies, this model is not confounded by denervation or microgravity. Seven healthy subjects participated in the study. Arterial and venous characteristics of the legs were assessed by echo Doppler ultrasound and venous occlusion plethysmography. The diameter of the common and superficial femoral artery decreased by 12% after 4 wk of ULLS. Baseline calf blood flow, as measured by plethysmography, decreased from 2.1 +/- 0.2 to 1.6 +/- 0.2 ml.min(-1).dl tissue(-1). Both arterial diameter and calf blood flow returned to baseline values after 4 wk of recovery. There was no indication of a decrease in flow-mediated dilation of the superficial femoral artery after ULLS deconditioning. This means that functional adaptations to inactivity are not simply the inverse of adaptations to exercise. The venous pressure-volume curve is shifted downward after ULLS, without any effect on compliance. In conclusion, deconditioning by 4 wk of ULLS causes significant changes in both the arterial and the venous system.", "author" : [ { "dropping-particle" : "", "family" : "Bleeker", "given" : "Michiel W P", "non-dropping-particle" : "", "parse-names" : false, "suffix" : "" }, { "dropping-particle" : "", "family" : "Groot", "given" : "Patricia C E", "non-dropping-particle" : "De", "parse-names" : false, "suffix" : "" }, { "dropping-particle" : "", "family" : "Poelkens", "given" : "Fleur", "non-dropping-particle" : "", "parse-names" : false, "suffix" : "" }, { "dropping-particle" : "", "family" : "Rongen", "given" : "Gerard a", "non-dropping-particle" : "", "parse-names" : false, "suffix" : "" }, { "dropping-particle" : "", "family" : "Smits", "given" : "Paul", "non-dropping-particle" : "", "parse-names" : false, "suffix" : "" }, { "dropping-particle" : "", "family" : "Hopman", "given" : "Maria T E", "non-dropping-particle" : "", "parse-names" : false, "suffix" : "" } ], "container-title" : "American journal of physiology. Heart and circulatory physiology", "id" : "ITEM-1", "issue" : "4", "issued" : { "date-parts" : [ [ "2005" ] ] }, "page" : "H1747-H1755", "title" : "Vascular adaptation to 4 wk of deconditioning by unilateral lower limb suspension.", "type" : "article-journal", "volume" : "288" }, "uris" : [ "http://www.mendeley.com/documents/?uuid=4ea6588f-6573-44f1-adcf-93f3ecdea708" ] }, { "id" : "ITEM-2", "itemData" : { "DOI" : "10.1007/s00421-010-1636-y", "ISBN" : "1439-6327 (Electronic) 1439-6319 (Linking)", "ISSN" : "14396319", "PMID" : "20852882", "abstract" : "Short-term leg immobilization is an acute model of inactivity, which induces vascular deconditioning. The present study was conducted to determine if short-term leg immobilization induced alterations in central and peripheral conduit artery structure (diameter and compliance), function (resting blood flow and mean wall shear rate), and peripheral flow-mediated dilation. Healthy participants (n = 7 women and n = 8 men) were studied before and after 12 days of unilateral leg immobilization. Carotid artery structure and function were unaltered with immobilization indicating that the unilateral immobilization did not have a detectable effect on this representative central artery. In contrast, peripheral measures of arterial structure at the common femoral and popliteal arteries showed significant reductions in both the immobilized and non-immobilized limbs but to a greater extent in the immobilized limbs. Specifically, femoral and popliteal artery compliance and femoral artery diameter were reduced in both the immobilized and the non-immobilized limb (p &lt; 0.05) while popliteal artery diameter was reduced only in the immobilized leg. Popliteal artery flow-mediated dilation, an indicator of peripheral artery function, was increased in the immobilized limb, which parallels reports in paralyzed limbs of spinal-cord-injured individuals. The time course of vascular alterations with inactivity likely follows a sequence of adaptations in arterial structure and function reflecting differing initial flow patterns, and arterial wall composition, and diverse hemodynamic stimuli within different blood vessels.", "author" : [ { "dropping-particle" : "", "family" : "Rakobowchuk", "given" : "Mark", "non-dropping-particle" : "", "parse-names" : false, "suffix" : "" }, { "dropping-particle" : "", "family" : "Crozier", "given" : "Jennifer", "non-dropping-particle" : "", "parse-names" : false, "suffix" : "" }, { "dropping-particle" : "", "family" : "Glover", "given" : "Elisa I.", "non-dropping-particle" : "", "parse-names" : false, "suffix" : "" }, { "dropping-particle" : "", "family" : "Yasuda", "given" : "Nobuo", "non-dropping-particle" : "", "parse-names" : false, "suffix" : "" }, { "dropping-particle" : "", "family" : "Phillips", "given" : "Stuart M.", "non-dropping-particle" : "", "parse-names" : false, "suffix" : "" }, { "dropping-particle" : "", "family" : "Tarnopolsky", "given" : "Mark a.", "non-dropping-particle" : "", "parse-names" : false, "suffix" : "" }, { "dropping-particle" : "", "family" : "MacDonald", "given" : "Maureen J.", "non-dropping-particle" : "", "parse-names" : false, "suffix" : "" } ], "container-title" : "European Journal of Applied Physiology", "id" : "ITEM-2", "issue" : "2", "issued" : { "date-parts" : [ [ "2011", "2" ] ] }, "page" : "203-210", "title" : "Short-term unilateral leg immobilization alters peripheral but not central arterial structure and function in healthy young humans", "type" : "article-journal", "volume" : "111" }, "uris" : [ "http://www.mendeley.com/documents/?uuid=3a412d5e-54bc-4b4f-acb7-3a72d3e59633" ] }, { "id" : "ITEM-3", "itemData" : { "DOI" : "10.1161/ATVBAHA.107.153288", "ISBN" : "1524-4636", "ISSN" : "10795642", "PMID" : "17932315", "abstract" : "OBJECTIVE: Sedentary lifestyle increases the risk of cardiovascular disease and diabetes. Vascular dysfunction contributes to atherogenesis and has been linked to insulin resistance. METHODS AND RESULTS: We measured insulin sensitivity by glucose tolerance test and vascular function by ultrasound and venous occlusion plethysmography in 20 healthy subjects (14 men, 6 women) at baseline and during 5 days of bed rest. Bed rest led to a 67% increase in the insulin response to glucose loading (P&lt;0.001) suggesting increased insulin resistance and produced increases in total cholesterol and triglycerides. Bed rest led to decreased reactive hyperemia in the forearm (1317+/-404 to 1112+/-260 mL/min, P=0.01) and the calf (28.5+/-7.0 to 22.2+/-8.7 mL/min/dL, P=0.003) indicating impaired microvascular function. Bed rest decreased brachial artery diameter and increased systolic blood pressure suggesting increased basal arterial tone. There were no changes in circulating inflammatory markers arguing against systemic inflammation as a mechanism for vascular dysfunction in this setting. CONCLUSIONS: Physical inactivity was associated with the development of insulin resistance, dyslipidemia, increased blood pressure, and impaired microvascular function in healthy volunteers. Our findings may provide insight into the pathogenesis of vascular disease in sedentary individuals and emphasize that even short-term physical inactivity may have adverse metabolic and vascular consequences.", "author" : [ { "dropping-particle" : "", "family" : "Hamburg", "given" : "Naomi M.", "non-dropping-particle" : "", "parse-names" : false, "suffix" : "" }, { "dropping-particle" : "", "family" : "McMackin", "given" : "Craig J.", "non-dropping-particle" : "", "parse-names" : false, "suffix" : "" }, { "dropping-particle" : "", "family" : "Huang", "given" : "Alex L.", "non-dropping-particle" : "", "parse-names" : false, "suffix" : "" }, { "dropping-particle" : "", "family" : "Shenouda", "given" : "Sherene M.", "non-dropping-particle" : "", "parse-names" : false, "suffix" : "" }, { "dropping-particle" : "", "family" : "Widlansky", "given" : "Michael E.", "non-dropping-particle" : "", "parse-names" : false, "suffix" : "" }, { "dropping-particle" : "", "family" : "Schulz", "given" : "Eberhard", "non-dropping-particle" : "", "parse-names" : false, "suffix" : "" }, { "dropping-particle" : "", "family" : "Gokce", "given" : "Noyan", "non-dropping-particle" : "", "parse-names" : false, "suffix" : "" }, { "dropping-particle" : "", "family" : "Ruderman", "given" : "Neil B.", "non-dropping-particle" : "", "parse-names" : false, "suffix" : "" }, { "dropping-particle" : "", "family" : "Keaney", "given" : "John F.", "non-dropping-particle" : "", "parse-names" : false, "suffix" : "" }, { "dropping-particle" : "", "family" : "Vita", "given" : "Joseph a.", "non-dropping-particle" : "", "parse-names" : false, "suffix" : "" } ], "container-title" : "Arteriosclerosis, Thrombosis, and Vascular Biology", "id" : "ITEM-3", "issue" : "12", "issued" : { "date-parts" : [ [ "2007", "12" ] ] }, "page" : "2650-2656", "title" : "Physical inactivity rapidly induces insulin resistance and microvascular dysfunction in healthy volunteers", "type" : "article-journal", "volume" : "27" }, "uris" : [ "http://www.mendeley.com/documents/?uuid=76cd0353-800d-46e7-84b3-78c7f0a79856" ] } ], "mendeley" : { "formattedCitation" : "&lt;sup&gt;90\u201392&lt;/sup&gt;", "plainTextFormattedCitation" : "90\u201392", "previouslyFormattedCitation" : "&lt;sup&gt;90\u201392&lt;/sup&gt;"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90–92</w:t>
      </w:r>
      <w:r>
        <w:rPr>
          <w:rFonts w:cs="Times New Roman"/>
        </w:rPr>
        <w:fldChar w:fldCharType="end"/>
      </w:r>
      <w:r>
        <w:rPr>
          <w:rFonts w:cs="Times New Roman"/>
        </w:rPr>
        <w:t>,</w:t>
      </w:r>
      <w:r w:rsidR="00623F5A">
        <w:rPr>
          <w:rFonts w:cs="Times New Roman"/>
        </w:rPr>
        <w:t xml:space="preserve"> which are</w:t>
      </w:r>
      <w:r>
        <w:rPr>
          <w:rFonts w:cs="Times New Roman"/>
        </w:rPr>
        <w:t xml:space="preserve"> implicated in </w:t>
      </w:r>
      <w:r w:rsidR="00623F5A">
        <w:rPr>
          <w:rFonts w:cs="Times New Roman"/>
        </w:rPr>
        <w:t xml:space="preserve">the development of </w:t>
      </w:r>
      <w:r>
        <w:rPr>
          <w:rFonts w:cs="Times New Roman"/>
        </w:rPr>
        <w:t xml:space="preserve">CVD and T2DM. </w:t>
      </w:r>
      <w:r w:rsidR="00AB3BAC">
        <w:rPr>
          <w:rFonts w:cs="Times New Roman"/>
        </w:rPr>
        <w:t xml:space="preserve">The impact of </w:t>
      </w:r>
      <w:r w:rsidR="002B63BD">
        <w:rPr>
          <w:rFonts w:cs="Times New Roman"/>
        </w:rPr>
        <w:t>SR</w:t>
      </w:r>
      <w:r>
        <w:rPr>
          <w:rFonts w:cs="Times New Roman"/>
        </w:rPr>
        <w:t xml:space="preserve"> on the ability to perform ADL</w:t>
      </w:r>
      <w:r w:rsidR="00AB3BAC">
        <w:rPr>
          <w:rFonts w:cs="Times New Roman"/>
        </w:rPr>
        <w:t xml:space="preserve"> has not been determined</w:t>
      </w:r>
      <w:r>
        <w:rPr>
          <w:rFonts w:cs="Times New Roman"/>
        </w:rPr>
        <w:t xml:space="preserve">, although it may be an important factor in the development of disability and loss of independence for older adults. </w:t>
      </w:r>
      <w:r w:rsidRPr="00795B8F">
        <w:rPr>
          <w:rFonts w:cs="Times New Roman"/>
        </w:rPr>
        <w:t xml:space="preserve">It </w:t>
      </w:r>
      <w:r w:rsidR="00AB3BAC">
        <w:rPr>
          <w:rFonts w:cs="Times New Roman"/>
        </w:rPr>
        <w:t xml:space="preserve">may be that </w:t>
      </w:r>
      <w:r w:rsidR="00623F5A">
        <w:rPr>
          <w:rFonts w:cs="Times New Roman"/>
        </w:rPr>
        <w:t xml:space="preserve">during </w:t>
      </w:r>
      <w:r w:rsidRPr="00795B8F">
        <w:rPr>
          <w:rFonts w:cs="Times New Roman"/>
        </w:rPr>
        <w:t xml:space="preserve">these transient periods of inactivity </w:t>
      </w:r>
      <w:r w:rsidR="00623F5A">
        <w:rPr>
          <w:rFonts w:cs="Times New Roman"/>
        </w:rPr>
        <w:t>there can be</w:t>
      </w:r>
      <w:r>
        <w:rPr>
          <w:rFonts w:cs="Times New Roman"/>
        </w:rPr>
        <w:t xml:space="preserve"> significant </w:t>
      </w:r>
      <w:r w:rsidRPr="00795B8F">
        <w:rPr>
          <w:rFonts w:cs="Times New Roman"/>
        </w:rPr>
        <w:t xml:space="preserve">age-related losses </w:t>
      </w:r>
      <w:r>
        <w:rPr>
          <w:rFonts w:cs="Times New Roman"/>
        </w:rPr>
        <w:t>of</w:t>
      </w:r>
      <w:r w:rsidRPr="00795B8F">
        <w:rPr>
          <w:rFonts w:cs="Times New Roman"/>
        </w:rPr>
        <w:t xml:space="preserve"> muscle mass and </w:t>
      </w:r>
      <w:r>
        <w:rPr>
          <w:rFonts w:cs="Times New Roman"/>
        </w:rPr>
        <w:t xml:space="preserve">function and possibly the development of </w:t>
      </w:r>
      <w:r w:rsidR="003605CC">
        <w:rPr>
          <w:rFonts w:cs="Times New Roman"/>
        </w:rPr>
        <w:t xml:space="preserve">T2DM </w:t>
      </w:r>
      <w:r>
        <w:rPr>
          <w:rFonts w:cs="Times New Roman"/>
        </w:rPr>
        <w:t xml:space="preserve">in older adults. Of even greater concern is that </w:t>
      </w:r>
      <w:r w:rsidRPr="00795B8F">
        <w:rPr>
          <w:rFonts w:cs="Times New Roman"/>
        </w:rPr>
        <w:t xml:space="preserve">older adults </w:t>
      </w:r>
      <w:r>
        <w:rPr>
          <w:rFonts w:cs="Times New Roman"/>
        </w:rPr>
        <w:t>have greater difficulty recovering from overt muscle disuse</w:t>
      </w:r>
      <w:r w:rsidR="00AB3BAC">
        <w:rPr>
          <w:rFonts w:cs="Times New Roman"/>
        </w:rPr>
        <w:t xml:space="preserve"> in comparison to younger adults</w:t>
      </w:r>
      <w:r>
        <w:rPr>
          <w:rFonts w:cs="Times New Roman"/>
        </w:rPr>
        <w:fldChar w:fldCharType="begin" w:fldLock="1"/>
      </w:r>
      <w:r w:rsidR="00225DB1">
        <w:rPr>
          <w:rFonts w:cs="Times New Roman"/>
        </w:rPr>
        <w:instrText>ADDIN CSL_CITATION { "citationItems" : [ { "id" : "ITEM-1",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"ITEM-1", "issue" : "4", "issued" : { "date-parts" : [ [ "2009", "10" ] ] }, "page" : "1172-1180", "title" : "Effects of aging on human skeletal muscle after immobilization and retraining.", "type" : "article-journal", "volume" : "107" }, "uris" : [ "http://www.mendeley.com/documents/?uuid=03fe0af6-3cbe-40fc-8c94-5ae48ae103c2" ] } ], "mendeley" : { "formattedCitation" : "&lt;sup&gt;56&lt;/sup&gt;", "plainTextFormattedCitation" : "56", "previouslyFormattedCitation" : "&lt;sup&gt;56&lt;/sup&gt;"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56</w:t>
      </w:r>
      <w:r>
        <w:rPr>
          <w:rFonts w:cs="Times New Roman"/>
        </w:rPr>
        <w:fldChar w:fldCharType="end"/>
      </w:r>
      <w:r w:rsidR="00652245">
        <w:rPr>
          <w:rFonts w:cs="Times New Roman"/>
        </w:rPr>
        <w:t>.</w:t>
      </w:r>
      <w:r w:rsidRPr="005A1D98">
        <w:rPr>
          <w:rFonts w:cs="Times New Roman"/>
        </w:rPr>
        <w:t xml:space="preserve"> </w:t>
      </w:r>
      <w:r w:rsidR="00875699">
        <w:rPr>
          <w:rFonts w:cs="Times New Roman"/>
        </w:rPr>
        <w:br/>
      </w:r>
    </w:p>
    <w:p w14:paraId="1372B1DA" w14:textId="725E11EC" w:rsidR="005A1D98" w:rsidRPr="00875699" w:rsidRDefault="005A1D98" w:rsidP="00875699">
      <w:pPr>
        <w:pStyle w:val="Heading2"/>
      </w:pPr>
      <w:bookmarkStart w:id="14" w:name="_Toc296814784"/>
      <w:bookmarkStart w:id="15" w:name="_Toc296932763"/>
      <w:r w:rsidRPr="00875699">
        <w:t>RECOVERY FROM MUSCLE DISUSE IN OLDER ADULTS</w:t>
      </w:r>
      <w:bookmarkEnd w:id="14"/>
      <w:bookmarkEnd w:id="15"/>
    </w:p>
    <w:p w14:paraId="321DA275" w14:textId="5E9409EA" w:rsidR="005A1D98" w:rsidRDefault="005A1D98" w:rsidP="000D2A2A">
      <w:pPr>
        <w:tabs>
          <w:tab w:val="left" w:pos="142"/>
        </w:tabs>
        <w:spacing w:line="480" w:lineRule="auto"/>
        <w:ind w:firstLine="851"/>
        <w:rPr>
          <w:rFonts w:cs="Times New Roman"/>
        </w:rPr>
      </w:pPr>
      <w:r>
        <w:rPr>
          <w:rFonts w:cs="Times New Roman"/>
        </w:rPr>
        <w:t>The recovery of atrophic muscle loss following disuse takes much longer than the time taken to lose muscle</w:t>
      </w:r>
      <w:r w:rsidR="00623F5A">
        <w:rPr>
          <w:rFonts w:cs="Times New Roman"/>
        </w:rPr>
        <w:t xml:space="preserve"> regardless of age</w:t>
      </w:r>
      <w:r>
        <w:rPr>
          <w:rFonts w:cs="Times New Roman"/>
        </w:rPr>
        <w:fldChar w:fldCharType="begin" w:fldLock="1"/>
      </w:r>
      <w:r w:rsidR="00225DB1">
        <w:rPr>
          <w:rFonts w:cs="Times New Roman"/>
        </w:rPr>
        <w:instrText>ADDIN CSL_CITATION { "citationItems" : [ { "id" : "ITEM-1",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"ITEM-1", "issue" : "4", "issued" : { "date-parts" : [ [ "2009", "10" ] ] }, "page" : "1172-1180", "title" : "Effects of aging on human skeletal muscle after immobilization and retraining.", "type" : "article-journal", "volume" : "107" }, "uris" : [ "http://www.mendeley.com/documents/?uuid=03fe0af6-3cbe-40fc-8c94-5ae48ae103c2" ] } ], "mendeley" : { "formattedCitation" : "&lt;sup&gt;56&lt;/sup&gt;", "plainTextFormattedCitation" : "56", "previouslyFormattedCitation" : "&lt;sup&gt;56&lt;/sup&gt;"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56</w:t>
      </w:r>
      <w:r>
        <w:rPr>
          <w:rFonts w:cs="Times New Roman"/>
        </w:rPr>
        <w:fldChar w:fldCharType="end"/>
      </w:r>
      <w:r>
        <w:rPr>
          <w:rFonts w:cs="Times New Roman"/>
        </w:rPr>
        <w:t>. In older persons, e</w:t>
      </w:r>
      <w:r w:rsidRPr="00795B8F">
        <w:rPr>
          <w:rFonts w:cs="Times New Roman"/>
        </w:rPr>
        <w:t>vidence regarding the potential for recovery</w:t>
      </w:r>
      <w:r>
        <w:rPr>
          <w:rFonts w:cs="Times New Roman"/>
        </w:rPr>
        <w:t>, not just of lost muscle mass and strength</w:t>
      </w:r>
      <w:r w:rsidR="00AB3BAC">
        <w:rPr>
          <w:rFonts w:cs="Times New Roman"/>
        </w:rPr>
        <w:t>,</w:t>
      </w:r>
      <w:r>
        <w:rPr>
          <w:rFonts w:cs="Times New Roman"/>
        </w:rPr>
        <w:t xml:space="preserve"> but also </w:t>
      </w:r>
      <w:proofErr w:type="gramStart"/>
      <w:r>
        <w:rPr>
          <w:rFonts w:cs="Times New Roman"/>
        </w:rPr>
        <w:t>of</w:t>
      </w:r>
      <w:proofErr w:type="gramEnd"/>
      <w:r>
        <w:rPr>
          <w:rFonts w:cs="Times New Roman"/>
        </w:rPr>
        <w:t xml:space="preserve"> the decline in muscle metabolic health,</w:t>
      </w:r>
      <w:r w:rsidRPr="00795B8F">
        <w:rPr>
          <w:rFonts w:cs="Times New Roman"/>
        </w:rPr>
        <w:t xml:space="preserve"> </w:t>
      </w:r>
      <w:r>
        <w:rPr>
          <w:rFonts w:cs="Times New Roman"/>
        </w:rPr>
        <w:t>following muscular disuse</w:t>
      </w:r>
      <w:r w:rsidR="00AB3BAC">
        <w:rPr>
          <w:rFonts w:cs="Times New Roman"/>
        </w:rPr>
        <w:t>,</w:t>
      </w:r>
      <w:r>
        <w:rPr>
          <w:rFonts w:cs="Times New Roman"/>
        </w:rPr>
        <w:t xml:space="preserve"> </w:t>
      </w:r>
      <w:r w:rsidRPr="00795B8F">
        <w:rPr>
          <w:rFonts w:cs="Times New Roman"/>
        </w:rPr>
        <w:t>is scant</w:t>
      </w:r>
      <w:r>
        <w:rPr>
          <w:rFonts w:cs="Times New Roman"/>
        </w:rPr>
        <w:t>. Nonetheless</w:t>
      </w:r>
      <w:r w:rsidRPr="00795B8F">
        <w:rPr>
          <w:rFonts w:cs="Times New Roman"/>
        </w:rPr>
        <w:t>, it seems</w:t>
      </w:r>
      <w:r>
        <w:rPr>
          <w:rFonts w:cs="Times New Roman"/>
        </w:rPr>
        <w:t xml:space="preserve"> as though</w:t>
      </w:r>
      <w:r w:rsidRPr="00795B8F">
        <w:rPr>
          <w:rFonts w:cs="Times New Roman"/>
        </w:rPr>
        <w:t xml:space="preserve"> younger adults recover </w:t>
      </w:r>
      <w:r>
        <w:rPr>
          <w:rFonts w:cs="Times New Roman"/>
        </w:rPr>
        <w:t xml:space="preserve">their atrophy-induced losses of muscle mass </w:t>
      </w:r>
      <w:r w:rsidRPr="00795B8F">
        <w:rPr>
          <w:rFonts w:cs="Times New Roman"/>
        </w:rPr>
        <w:t>more rapidly than older adults</w:t>
      </w:r>
      <w:r w:rsidRPr="00795B8F">
        <w:rPr>
          <w:rFonts w:cs="Times New Roman"/>
        </w:rPr>
        <w:fldChar w:fldCharType="begin" w:fldLock="1"/>
      </w:r>
      <w:r w:rsidR="00225DB1">
        <w:rPr>
          <w:rFonts w:cs="Times New Roman"/>
        </w:rPr>
        <w:instrText>ADDIN CSL_CITATION { "citationItems" : [ { "id" : "ITEM-1", "itemData" : { "DOI" : "10.1152/japplphysiol.00189.2011", "ISBN" : "8750-7587\\r1522-1601", "ISSN" : "8750-7587", "PMID" : "22556394", "abstract" : "A lifestyle characterized by inactivity and a high-calorie diet is a known risk factor for impaired insulin sensitivity and development of Type 2 diabetes mellitus. To investigate possible links, nine young healthy men (24 \u00b1 3 yr; body mass index of 21.6 \u00b1 2.5 kg/m(2)) completed 14 days of step reduction (10,000 to 1,500 steps/day) and overfeeding (+50% kcal). Body composition (dual X-ray absorptiometry, MRI), aerobic fitness (maximal O(2) consumption), systemic inflammation and insulin sensitivity [oral glucose tolerance test (OGTT), hyperinsulinemic euglycemic clamp] were assessed before (day 0), during (days 3 and 7), and immediately after the intervention (day 14), with follow-up tests (day 30). Body weight had increased at days 7 and 14 (P &lt; 0.05). The amount of visceral fat had increased at day 14 compared with day 0 (P &lt; 0.05). The insulin response to the OGTT had increased at days 7 and 14 (P &lt; 0.05). Insulin sensitivity, estimated using the Matsuda index, had decreased at days 3 and 7 (P &lt; 0.01). At day 14, glucose infusion rates had decreased by \u223c44% during the euglycemic clamps (P &lt; 0.05). Also, plasma levels of leptin and adiponectin had increased (P &lt; 0.05), whereas no changes were seen in inflammatory markers. At day 30, body weight and whole body adiposity were still elevated compared with day 0 (P &lt; 0.05), whereas the insulin sensitivity as well as the insulin response to the OGTT did not differ from baseline. The glucose response to the OGTT was only affected at day 30, with a decrease compared with day 0. Our data show that insulin sensitivity was impaired after 3 days of inactivity and overfeeding. Impairments in insulin sensitivity occurred before changes in body composition, supporting the notion that the initial steps in impairment of insulin sensitivity may be linked directly to the effects of inactivity and a high calorie intake.", "author" : [ { "dropping-particle" : "", "family" : "Knudsen", "given" : "S. H.", "non-dropping-particle" : "", "parse-names" : false, "suffix" : "" }, { "dropping-particle" : "", "family" : "Hansen", "given" : "L. S.", "non-dropping-particle" : "", "parse-names" : false, "suffix" : "" }, { "dropping-particle" : "", "family" : "Pedersen", "given" : "M.", "non-dropping-particle" : "", "parse-names" : false, "suffix" : "" }, { "dropping-particle" : "", "family" : "Dejgaard", "given" : "T.", "non-dropping-particle" : "", "parse-names" : false, "suffix" : "" }, { "dropping-particle" : "", "family" : "Hansen", "given" : "J.", "non-dropping-particle" : "", "parse-names" : false, "suffix" : "" }, { "dropping-particle" : "V.", "family" : "Hall", "given" : "G.", "non-dropping-particle" : "", "parse-names" : false, "suffix" : "" }, { "dropping-particle" : "", "family" : "Thomsen", "given" : "C.", "non-dropping-particle" : "", "parse-names" : false, "suffix" : "" }, { "dropping-particle" : "", "family" : "Solomon", "given" : "T. P. J.", "non-dropping-particle" : "", "parse-names" : false, "suffix" : "" }, { "dropping-particle" : "", "family" : "Pedersen", "given" : "B. K.", "non-dropping-particle" : "", "parse-names" : false, "suffix" : "" }, { "dropping-particle" : "", "family" : "Krogh-Madsen", "given" : "R.", "non-dropping-particle" : "", "parse-names" : false, "suffix" : "" } ], "container-title" : "Journal of Applied Physiology", "id" : "ITEM-1", "issue" : "1", "issued" : { "date-parts" : [ [ "2012", "7" ] ] }, "page" : "7-15", "title" : "Changes in insulin sensitivity precede changes in body composition during 14 days of step reduction combined with overfeeding in healthy young men", "type" : "article-journal", "volume" : "113" }, "uris" : [ "http://www.mendeley.com/documents/?uuid=fd55b369-3ad5-4fab-a9be-62ff792b9582" ] }, { "id" : "ITEM-2",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"ITEM-2", "issue" : "4", "issued" : { "date-parts" : [ [ "2009", "10" ] ] }, "page" : "1172-1180", "title" : "Effects of aging on human skeletal muscle after immobilization and retraining.", "type" : "article-journal", "volume" : "107" }, "uris" : [ "http://www.mendeley.com/documents/?uuid=03fe0af6-3cbe-40fc-8c94-5ae48ae103c2" ] } ], "mendeley" : { "formattedCitation" : "&lt;sup&gt;56,79&lt;/sup&gt;", "plainTextFormattedCitation" : "56,79", "previouslyFormattedCitation" : "&lt;sup&gt;56,79&lt;/sup&gt;"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56,79</w:t>
      </w:r>
      <w:r w:rsidRPr="00795B8F">
        <w:rPr>
          <w:rFonts w:cs="Times New Roman"/>
        </w:rPr>
        <w:fldChar w:fldCharType="end"/>
      </w:r>
      <w:r w:rsidRPr="00795B8F">
        <w:rPr>
          <w:rFonts w:cs="Times New Roman"/>
        </w:rPr>
        <w:t>. Clinical e</w:t>
      </w:r>
      <w:r>
        <w:rPr>
          <w:rFonts w:cs="Times New Roman"/>
        </w:rPr>
        <w:t xml:space="preserve">vidence </w:t>
      </w:r>
      <w:r w:rsidRPr="00795B8F">
        <w:rPr>
          <w:rFonts w:cs="Times New Roman"/>
        </w:rPr>
        <w:t>show</w:t>
      </w:r>
      <w:r>
        <w:rPr>
          <w:rFonts w:cs="Times New Roman"/>
        </w:rPr>
        <w:t>s</w:t>
      </w:r>
      <w:r w:rsidRPr="00795B8F">
        <w:rPr>
          <w:rFonts w:cs="Times New Roman"/>
        </w:rPr>
        <w:t xml:space="preserve"> that 25-50% of hospitalized elderly develop functional impairments in </w:t>
      </w:r>
      <w:r>
        <w:rPr>
          <w:rFonts w:cs="Times New Roman"/>
        </w:rPr>
        <w:t>ADL</w:t>
      </w:r>
      <w:r w:rsidRPr="00795B8F">
        <w:rPr>
          <w:rFonts w:cs="Times New Roman"/>
        </w:rPr>
        <w:t xml:space="preserve"> over short-term </w:t>
      </w:r>
      <w:r w:rsidRPr="00BE53FD">
        <w:rPr>
          <w:rFonts w:cs="Times New Roman"/>
        </w:rPr>
        <w:t>(~6-8 days)</w:t>
      </w:r>
      <w:r>
        <w:rPr>
          <w:rFonts w:cs="Times New Roman"/>
        </w:rPr>
        <w:t xml:space="preserve"> </w:t>
      </w:r>
      <w:r w:rsidRPr="00795B8F">
        <w:rPr>
          <w:rFonts w:cs="Times New Roman"/>
        </w:rPr>
        <w:t>hospitalizations</w:t>
      </w:r>
      <w:r w:rsidRPr="00795B8F">
        <w:rPr>
          <w:rFonts w:cs="Times New Roman"/>
        </w:rPr>
        <w:fldChar w:fldCharType="begin" w:fldLock="1"/>
      </w:r>
      <w:r w:rsidR="000709FC">
        <w:rPr>
          <w:rFonts w:cs="Times New Roman"/>
        </w:rPr>
        <w:instrText>ADDIN CSL_CITATION { "citationItems" : [ { "id" : "ITEM-1", "itemData" : { "DOI" : "10.1007/BF02598279", "ISSN" : "0884-8734", "PMID" : "8120679", "abstract" : "OBJECTIVE: To prospectively develop and validate a predictive index to identify on admission elderly hospitalized medical patients at risk for functional decline. DESIGN: Two prospective cohort studies, in tandem. The predictive model developed in the initial cohort was subsequently validated in a separate cohort. SETTING: General medical wards of a university teaching hospital. PATIENTS: For the development cohort, 188 hospitalized general medical patients aged &gt; or = 70 years. For the validation cohort, 142 comparable patients. MEASUREMENT AND MAIN RESULTS: The subjects and their nurses were interviewed twice weekly using standardized, validated instruments. Functional decline occurred among 51/188 (27%) patients in the development cohort. Four independent baseline risk factors (RFs) for functional decline were identified: decubitus ulcer (adjusted relative risk [RR] 2.7; 95% confidence interval [CI] 1.4, 5.2); cognitive impairment (RR 1.7; CI 0.9, 3.1); functional impairment (RR 1.8; CI 1.0, 3.3); and low social activity level (RR 2.4; CI 1.2, 5.1). A risk-stratification system was developed by adding the numbers of RFs. Rates of functional decline for the low- (0 RF), intermediate- (1-2 RFs), and high- (3-4 RFs) risk groups were 8%, 28%, and 63%, respectively (p &lt; 0.0001). The corresponding rates in the validation cohort, of whom 34/142 (24%) developed functional decline, were 6%, 29%, and 83% (p &lt; 0.0001). The rates of death or nursing home placement, clinical outcomes associated with functional decline in the hospital, were 6%, 19%, and 41% (p &lt; 0.002) in the development cohort and 10%, 32%, and 67% (p &lt; 0.001) in the validation cohort, respectively, for the three risk groups. CONCLUSIONS: Functional decline among hospitalized elderly patients is common, and a simple predictive model based on four risk factors can be used on admission to identify elderly persons at greatest risk.", "author" : [ { "dropping-particle" : "", "family" : "Inouye", "given" : "S K", "non-dropping-particle" : "", "parse-names" : false, "suffix" : "" }, { "dropping-particle" : "", "family" : "Wagner", "given" : "D R", "non-dropping-particle" : "", "parse-names" : false, "suffix" : "" }, { "dropping-particle" : "", "family" : "Acampora", "given" : "D", "non-dropping-particle" : "", "parse-names" : false, "suffix" : "" }, { "dropping-particle" : "", "family" : "Horwitz", "given" : "R I", "non-dropping-particle" : "", "parse-names" : false, "suffix" : "" }, { "dropping-particle" : "", "family" : "Cooney", "given" : "L M", "non-dropping-particle" : "", "parse-names" : false, "suffix" : "" }, { "dropping-particle" : "", "family" : "Hurst", "given" : "L D", "non-dropping-particle" : "", "parse-names" : false, "suffix" : "" }, { "dropping-particle" : "", "family" : "Tinetti", "given" : "M E", "non-dropping-particle" : "", "parse-names" : false, "suffix" : "" } ], "container-title" : "Journal of general internal medicine", "id" : "ITEM-1", "issue" : "12", "issued" : { "date-parts" : [ [ "1993", "12" ] ] }, "page" : "645-652", "title" : "A predictive index for functional decline in hospitalized elderly medical patients.", "type" : "article-journal", "volume" : "8" }, "uris" : [ "http://www.mendeley.com/documents/?uuid=23ef1611-3a62-4da6-9c56-c7e565846573" ] }, { "id" : "ITEM-2", "itemData" : { "DOI" : "10.1111/j.1532-5415.2010.03276.x", "ISBN" : "0002-8614", "ISSN" : "00028614", "PMID" : "21314647", "abstract" : "To examine the association between mobility levels of older hospitalized adults and functional outcomes.", "author" : [ { "dropping-particle" : "", "family" : "Zisberg", "given" : "Anna", "non-dropping-particle" : "", "parse-names" : false, "suffix" : "" }, { "dropping-particle" : "", "family" : "Shadmi", "given" : "Efrat", "non-dropping-particle" : "", "parse-names" : false, "suffix" : "" }, { "dropping-particle" : "", "family" : "Sinoff", "given" : "Gary", "non-dropping-particle" : "", "parse-names" : false, "suffix" : "" }, { "dropping-particle" : "", "family" : "Gur-Yaish", "given" : "Nurit", "non-dropping-particle" : "", "parse-names" : false, "suffix" : "" }, { "dropping-particle" : "", "family" : "Srulovici", "given" : "Einav", "non-dropping-particle" : "", "parse-names" : false, "suffix" : "" }, { "dropping-particle" : "", "family" : "Admi", "given" : "Hanna", "non-dropping-particle" : "", "parse-names" : false, "suffix" : "" } ], "container-title" : "Journal of the American Geriatrics Society", "id" : "ITEM-2", "issue" : "2", "issued" : { "date-parts" : [ [ "2011", "2" ] ] }, "page" : "266-273", "title" : "Low mobility during hospitalization and functional decline in older adults", "type" : "article-journal", "volume" : "59" }, "uris" : [ "http://www.mendeley.com/documents/?uuid=94bee17c-dced-48d4-94c1-87075bc45639" ] } ], "mendeley" : { "formattedCitation" : "&lt;sup&gt;74,93&lt;/sup&gt;", "plainTextFormattedCitation" : "74,93", "previouslyFormattedCitation" : "&lt;sup&gt;74,93&lt;/sup&gt;" }, "properties" : { "noteIndex" : 0 }, "schema" : "https://github.com/citation-style-language/schema/raw/master/csl-citation.json" }</w:instrText>
      </w:r>
      <w:r w:rsidRPr="00795B8F">
        <w:rPr>
          <w:rFonts w:cs="Times New Roman"/>
        </w:rPr>
        <w:fldChar w:fldCharType="separate"/>
      </w:r>
      <w:r w:rsidR="003D1F84" w:rsidRPr="003D1F84">
        <w:rPr>
          <w:rFonts w:cs="Times New Roman"/>
          <w:noProof/>
          <w:vertAlign w:val="superscript"/>
        </w:rPr>
        <w:t>74,93</w:t>
      </w:r>
      <w:r w:rsidRPr="00795B8F">
        <w:rPr>
          <w:rFonts w:cs="Times New Roman"/>
        </w:rPr>
        <w:fldChar w:fldCharType="end"/>
      </w:r>
      <w:r>
        <w:rPr>
          <w:rFonts w:cs="Times New Roman"/>
        </w:rPr>
        <w:t xml:space="preserve">. One </w:t>
      </w:r>
      <w:r w:rsidRPr="00795B8F">
        <w:rPr>
          <w:rFonts w:cs="Times New Roman"/>
        </w:rPr>
        <w:t xml:space="preserve">year </w:t>
      </w:r>
      <w:r>
        <w:rPr>
          <w:rFonts w:cs="Times New Roman"/>
        </w:rPr>
        <w:t>later</w:t>
      </w:r>
      <w:r w:rsidR="00AB3BAC">
        <w:rPr>
          <w:rFonts w:cs="Times New Roman"/>
        </w:rPr>
        <w:t>,</w:t>
      </w:r>
      <w:r>
        <w:rPr>
          <w:rFonts w:cs="Times New Roman"/>
        </w:rPr>
        <w:t xml:space="preserve"> n</w:t>
      </w:r>
      <w:r w:rsidRPr="00795B8F">
        <w:rPr>
          <w:rFonts w:cs="Times New Roman"/>
        </w:rPr>
        <w:t xml:space="preserve">early a third </w:t>
      </w:r>
      <w:r>
        <w:rPr>
          <w:rFonts w:cs="Times New Roman"/>
        </w:rPr>
        <w:t xml:space="preserve">of these patients </w:t>
      </w:r>
      <w:r w:rsidRPr="00795B8F">
        <w:rPr>
          <w:rFonts w:cs="Times New Roman"/>
        </w:rPr>
        <w:t xml:space="preserve">have not fully recovered </w:t>
      </w:r>
      <w:r>
        <w:rPr>
          <w:rFonts w:cs="Times New Roman"/>
        </w:rPr>
        <w:t xml:space="preserve">their </w:t>
      </w:r>
      <w:r w:rsidRPr="00795B8F">
        <w:rPr>
          <w:rFonts w:cs="Times New Roman"/>
        </w:rPr>
        <w:t>functional abilities</w:t>
      </w:r>
      <w:r w:rsidRPr="00795B8F">
        <w:rPr>
          <w:rFonts w:cs="Times New Roman"/>
        </w:rPr>
        <w:fldChar w:fldCharType="begin" w:fldLock="1"/>
      </w:r>
      <w:r w:rsidR="000709FC">
        <w:rPr>
          <w:rFonts w:cs="Times New Roman"/>
        </w:rPr>
        <w:instrText>ADDIN CSL_CITATION { "citationItems" : [ { "id" : "ITEM-1", "itemData" : { "DOI" : "10.1111/j.1532-5415.2008.02023.x.Recovery", "ISSN" : "0002-8614", "author" : [ { "dropping-particle" : "", "family" : "Boyd", "given" : "Cynthia M", "non-dropping-particle" : "", "parse-names" : false, "suffix" : "" }, { "dropping-particle" : "", "family" : "Landefeld", "given" : "C Seth", "non-dropping-particle" : "", "parse-names" : false, "suffix" : "" }, { "dropping-particle" : "", "family" : "Counsell", "given" : "Steven R", "non-dropping-particle" : "", "parse-names" : false, "suffix" : "" }, { "dropping-particle" : "", "family" : "Robert", "given" : "M", "non-dropping-particle" : "", "parse-names" : false, "suffix" : "" }, { "dropping-particle" : "", "family" : "Fortinsky", "given" : "Richard H", "non-dropping-particle" : "", "parse-names" : false, "suffix" : "" }, { "dropping-particle" : "", "family" : "Kresevic", "given" : "Denise", "non-dropping-particle" : "", "parse-names" : false, "suffix" : "" } ], "container-title" : "J Am Geriatr Soc", "id" : "ITEM-1", "issue" : "12", "issued" : { "date-parts" : [ [ "2009" ] ] }, "page" : "2171-2179", "title" : "Recovery in Activities of Daily Living Among Older Adults Following Hospitalization for Acute Medical Illness", "type" : "article-journal", "volume" : "56" }, "uris" : [ "http://www.mendeley.com/documents/?uuid=20b1a00b-e79f-4829-a46b-567e4bd4900b" ] }, { "id" : "ITEM-2", "itemData" : { "DOI" : "10.1111/j.1532-5415.2009.02455.x", "ISSN" : "1532-5415", "PMID" : "19694869", "abstract" : "To determine, in disabled, older, community-dwelling women who were hospitalized, the rates and predictors of functional decline, the probability and time course of subsequent functional recovery, and predictors of functional recovery.", "author" : [ { "dropping-particle" : "", "family" : "Boyd", "given" : "Cynthia M", "non-dropping-particle" : "", "parse-names" : false, "suffix" : "" }, { "dropping-particle" : "", "family" : "Ricks", "given" : "Michelle", "non-dropping-particle" : "", "parse-names" : false, "suffix" : "" }, { "dropping-particle" : "", "family" : "Fried", "given" : "Linda P", "non-dropping-particle" : "", "parse-names" : false, "suffix" : "" }, { "dropping-particle" : "", "family" : "Guralnik", "given" : "Jack M", "non-dropping-particle" : "", "parse-names" : false, "suffix" : "" }, { "dropping-particle" : "", "family" : "Xue", "given" : "Qian-Li", "non-dropping-particle" : "", "parse-names" : false, "suffix" : "" }, { "dropping-particle" : "", "family" : "Xia", "given" : "Jin", "non-dropping-particle" : "", "parse-names" : false, "suffix" : "" }, { "dropping-particle" : "", "family" : "Bandeen-Roche", "given" : "Karen", "non-dropping-particle" : "", "parse-names" : false, "suffix" : "" } ], "container-title" : "Journal of the American Geriatrics Society", "id" : "ITEM-2", "issue" : "10", "issued" : { "date-parts" : [ [ "2009", "10" ] ] }, "page" : "1757-1766", "title" : "Functional decline and recovery of activities of daily living in hospitalized, disabled older women: the Women's Health and Aging Study I.", "type" : "article-journal", "volume" : "57" }, "uris" : [ "http://www.mendeley.com/documents/?uuid=dc0b7cf9-7358-4b0a-8d07-867d547d8567" ] } ], "mendeley" : { "formattedCitation" : "&lt;sup&gt;94,95&lt;/sup&gt;", "plainTextFormattedCitation" : "94,95", "previouslyFormattedCitation" : "&lt;sup&gt;94,95&lt;/sup&gt;" }, "properties" : { "noteIndex" : 0 }, "schema" : "https://github.com/citation-style-language/schema/raw/master/csl-citation.json" }</w:instrText>
      </w:r>
      <w:r w:rsidRPr="00795B8F">
        <w:rPr>
          <w:rFonts w:cs="Times New Roman"/>
        </w:rPr>
        <w:fldChar w:fldCharType="separate"/>
      </w:r>
      <w:r w:rsidR="003D1F84" w:rsidRPr="003D1F84">
        <w:rPr>
          <w:rFonts w:cs="Times New Roman"/>
          <w:noProof/>
          <w:vertAlign w:val="superscript"/>
        </w:rPr>
        <w:t>94,95</w:t>
      </w:r>
      <w:r w:rsidRPr="00795B8F">
        <w:rPr>
          <w:rFonts w:cs="Times New Roman"/>
        </w:rPr>
        <w:fldChar w:fldCharType="end"/>
      </w:r>
      <w:r>
        <w:rPr>
          <w:rFonts w:cs="Times New Roman"/>
        </w:rPr>
        <w:t xml:space="preserve"> and it may take up </w:t>
      </w:r>
      <w:r>
        <w:rPr>
          <w:rFonts w:cs="Times New Roman"/>
        </w:rPr>
        <w:lastRenderedPageBreak/>
        <w:t>to 30 months after hospital discharge to completely</w:t>
      </w:r>
      <w:r w:rsidR="00F95641">
        <w:rPr>
          <w:rFonts w:cs="Times New Roman"/>
        </w:rPr>
        <w:t xml:space="preserve"> recover, if there is recovery at all</w:t>
      </w:r>
      <w:r>
        <w:rPr>
          <w:rFonts w:cs="Times New Roman"/>
        </w:rPr>
        <w:fldChar w:fldCharType="begin" w:fldLock="1"/>
      </w:r>
      <w:r w:rsidR="000709FC">
        <w:rPr>
          <w:rFonts w:cs="Times New Roman"/>
        </w:rPr>
        <w:instrText>ADDIN CSL_CITATION { "citationItems" : [ { "id" : "ITEM-1", "itemData" : { "DOI" : "10.1111/j.1532-5415.2009.02455.x", "ISSN" : "1532-5415", "PMID" : "19694869", "abstract" : "To determine, in disabled, older, community-dwelling women who were hospitalized, the rates and predictors of functional decline, the probability and time course of subsequent functional recovery, and predictors of functional recovery.", "author" : [ { "dropping-particle" : "", "family" : "Boyd", "given" : "Cynthia M", "non-dropping-particle" : "", "parse-names" : false, "suffix" : "" }, { "dropping-particle" : "", "family" : "Ricks", "given" : "Michelle", "non-dropping-particle" : "", "parse-names" : false, "suffix" : "" }, { "dropping-particle" : "", "family" : "Fried", "given" : "Linda P", "non-dropping-particle" : "", "parse-names" : false, "suffix" : "" }, { "dropping-particle" : "", "family" : "Guralnik", "given" : "Jack M", "non-dropping-particle" : "", "parse-names" : false, "suffix" : "" }, { "dropping-particle" : "", "family" : "Xue", "given" : "Qian-Li", "non-dropping-particle" : "", "parse-names" : false, "suffix" : "" }, { "dropping-particle" : "", "family" : "Xia", "given" : "Jin", "non-dropping-particle" : "", "parse-names" : false, "suffix" : "" }, { "dropping-particle" : "", "family" : "Bandeen-Roche", "given" : "Karen", "non-dropping-particle" : "", "parse-names" : false, "suffix" : "" } ], "container-title" : "Journal of the American Geriatrics Society", "id" : "ITEM-1", "issue" : "10", "issued" : { "date-parts" : [ [ "2009", "10" ] ] }, "page" : "1757-1766", "title" : "Functional decline and recovery of activities of daily living in hospitalized, disabled older women: the Women's Health and Aging Study I.", "type" : "article-journal", "volume" : "57" }, "uris" : [ "http://www.mendeley.com/documents/?uuid=dc0b7cf9-7358-4b0a-8d07-867d547d8567" ] } ], "mendeley" : { "formattedCitation" : "&lt;sup&gt;95&lt;/sup&gt;", "plainTextFormattedCitation" : "95", "previouslyFormattedCitation" : "&lt;sup&gt;95&lt;/sup&gt;"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95</w:t>
      </w:r>
      <w:r>
        <w:rPr>
          <w:rFonts w:cs="Times New Roman"/>
        </w:rPr>
        <w:fldChar w:fldCharType="end"/>
      </w:r>
      <w:r w:rsidRPr="00795B8F">
        <w:rPr>
          <w:rFonts w:cs="Times New Roman"/>
        </w:rPr>
        <w:t xml:space="preserve">. In addition, 15% of those </w:t>
      </w:r>
      <w:r>
        <w:rPr>
          <w:rFonts w:cs="Times New Roman"/>
        </w:rPr>
        <w:t xml:space="preserve">elderly who are </w:t>
      </w:r>
      <w:r w:rsidRPr="00795B8F">
        <w:rPr>
          <w:rFonts w:cs="Times New Roman"/>
        </w:rPr>
        <w:t xml:space="preserve">discharged with no functional changes show reduced </w:t>
      </w:r>
      <w:r>
        <w:rPr>
          <w:rFonts w:cs="Times New Roman"/>
        </w:rPr>
        <w:t>physical function a</w:t>
      </w:r>
      <w:r w:rsidR="00623F5A">
        <w:rPr>
          <w:rFonts w:cs="Times New Roman"/>
        </w:rPr>
        <w:t>t</w:t>
      </w:r>
      <w:r>
        <w:rPr>
          <w:rFonts w:cs="Times New Roman"/>
        </w:rPr>
        <w:t xml:space="preserve"> follow-up</w:t>
      </w:r>
      <w:r w:rsidR="00623F5A">
        <w:rPr>
          <w:rFonts w:cs="Times New Roman"/>
        </w:rPr>
        <w:t xml:space="preserve"> one year later</w:t>
      </w:r>
      <w:r w:rsidRPr="00795B8F">
        <w:rPr>
          <w:rFonts w:cs="Times New Roman"/>
        </w:rPr>
        <w:fldChar w:fldCharType="begin" w:fldLock="1"/>
      </w:r>
      <w:r w:rsidR="000709FC">
        <w:rPr>
          <w:rFonts w:cs="Times New Roman"/>
        </w:rPr>
        <w:instrText>ADDIN CSL_CITATION { "citationItems" : [ { "id" : "ITEM-1", "itemData" : { "DOI" : "10.1111/j.1532-5415.2008.02023.x.Recovery", "ISSN" : "0002-8614", "author" : [ { "dropping-particle" : "", "family" : "Boyd", "given" : "Cynthia M", "non-dropping-particle" : "", "parse-names" : false, "suffix" : "" }, { "dropping-particle" : "", "family" : "Landefeld", "given" : "C Seth", "non-dropping-particle" : "", "parse-names" : false, "suffix" : "" }, { "dropping-particle" : "", "family" : "Counsell", "given" : "Steven R", "non-dropping-particle" : "", "parse-names" : false, "suffix" : "" }, { "dropping-particle" : "", "family" : "Robert", "given" : "M", "non-dropping-particle" : "", "parse-names" : false, "suffix" : "" }, { "dropping-particle" : "", "family" : "Fortinsky", "given" : "Richard H", "non-dropping-particle" : "", "parse-names" : false, "suffix" : "" }, { "dropping-particle" : "", "family" : "Kresevic", "given" : "Denise", "non-dropping-particle" : "", "parse-names" : false, "suffix" : "" } ], "container-title" : "J Am Geriatr Soc", "id" : "ITEM-1", "issue" : "12", "issued" : { "date-parts" : [ [ "2009" ] ] }, "page" : "2171-2179", "title" : "Recovery in Activities of Daily Living Among Older Adults Following Hospitalization for Acute Medical Illness", "type" : "article-journal", "volume" : "56" }, "uris" : [ "http://www.mendeley.com/documents/?uuid=20b1a00b-e79f-4829-a46b-567e4bd4900b" ] }, { "id" : "ITEM-2", "itemData" : { "DOI" : "10.1111/j.1532-5415.2009.02455.x", "ISSN" : "1532-5415", "PMID" : "19694869", "abstract" : "To determine, in disabled, older, community-dwelling women who were hospitalized, the rates and predictors of functional decline, the probability and time course of subsequent functional recovery, and predictors of functional recovery.", "author" : [ { "dropping-particle" : "", "family" : "Boyd", "given" : "Cynthia M", "non-dropping-particle" : "", "parse-names" : false, "suffix" : "" }, { "dropping-particle" : "", "family" : "Ricks", "given" : "Michelle", "non-dropping-particle" : "", "parse-names" : false, "suffix" : "" }, { "dropping-particle" : "", "family" : "Fried", "given" : "Linda P", "non-dropping-particle" : "", "parse-names" : false, "suffix" : "" }, { "dropping-particle" : "", "family" : "Guralnik", "given" : "Jack M", "non-dropping-particle" : "", "parse-names" : false, "suffix" : "" }, { "dropping-particle" : "", "family" : "Xue", "given" : "Qian-Li", "non-dropping-particle" : "", "parse-names" : false, "suffix" : "" }, { "dropping-particle" : "", "family" : "Xia", "given" : "Jin", "non-dropping-particle" : "", "parse-names" : false, "suffix" : "" }, { "dropping-particle" : "", "family" : "Bandeen-Roche", "given" : "Karen", "non-dropping-particle" : "", "parse-names" : false, "suffix" : "" } ], "container-title" : "Journal of the American Geriatrics Society", "id" : "ITEM-2", "issue" : "10", "issued" : { "date-parts" : [ [ "2009", "10" ] ] }, "page" : "1757-1766", "title" : "Functional decline and recovery of activities of daily living in hospitalized, disabled older women: the Women's Health and Aging Study I.", "type" : "article-journal", "volume" : "57" }, "uris" : [ "http://www.mendeley.com/documents/?uuid=dc0b7cf9-7358-4b0a-8d07-867d547d8567" ] } ], "mendeley" : { "formattedCitation" : "&lt;sup&gt;94,95&lt;/sup&gt;", "plainTextFormattedCitation" : "94,95", "previouslyFormattedCitation" : "&lt;sup&gt;94,95&lt;/sup&gt;" }, "properties" : { "noteIndex" : 0 }, "schema" : "https://github.com/citation-style-language/schema/raw/master/csl-citation.json" }</w:instrText>
      </w:r>
      <w:r w:rsidRPr="00795B8F">
        <w:rPr>
          <w:rFonts w:cs="Times New Roman"/>
        </w:rPr>
        <w:fldChar w:fldCharType="separate"/>
      </w:r>
      <w:r w:rsidR="003D1F84" w:rsidRPr="003D1F84">
        <w:rPr>
          <w:rFonts w:cs="Times New Roman"/>
          <w:noProof/>
          <w:vertAlign w:val="superscript"/>
        </w:rPr>
        <w:t>94,95</w:t>
      </w:r>
      <w:r w:rsidRPr="00795B8F">
        <w:rPr>
          <w:rFonts w:cs="Times New Roman"/>
        </w:rPr>
        <w:fldChar w:fldCharType="end"/>
      </w:r>
      <w:r w:rsidRPr="00795B8F">
        <w:rPr>
          <w:rFonts w:cs="Times New Roman"/>
        </w:rPr>
        <w:t xml:space="preserve">. </w:t>
      </w:r>
      <w:r>
        <w:rPr>
          <w:rFonts w:cs="Times New Roman"/>
        </w:rPr>
        <w:t xml:space="preserve">Suetta et </w:t>
      </w:r>
      <w:r w:rsidR="00851834">
        <w:rPr>
          <w:rFonts w:cs="Times New Roman"/>
        </w:rPr>
        <w:t>al.</w:t>
      </w:r>
      <w:r w:rsidR="00851834">
        <w:rPr>
          <w:rFonts w:cs="Times New Roman"/>
        </w:rPr>
        <w:fldChar w:fldCharType="begin" w:fldLock="1"/>
      </w:r>
      <w:r w:rsidR="00225DB1">
        <w:rPr>
          <w:rFonts w:cs="Times New Roman"/>
        </w:rPr>
        <w:instrText>ADDIN CSL_CITATION { "citationItems" : [ { "id" : "ITEM-1",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"ITEM-1", "issue" : "4", "issued" : { "date-parts" : [ [ "2009", "10" ] ] }, "page" : "1172-1180", "title" : "Effects of aging on human skeletal muscle after immobilization and retraining.", "type" : "article-journal", "volume" : "107" }, "uris" : [ "http://www.mendeley.com/documents/?uuid=03fe0af6-3cbe-40fc-8c94-5ae48ae103c2" ] } ], "mendeley" : { "formattedCitation" : "&lt;sup&gt;56&lt;/sup&gt;", "plainTextFormattedCitation" : "56", "previouslyFormattedCitation" : "&lt;sup&gt;56&lt;/sup&gt;" }, "properties" : { "noteIndex" : 0 }, "schema" : "https://github.com/citation-style-language/schema/raw/master/csl-citation.json" }</w:instrText>
      </w:r>
      <w:r w:rsidR="00851834">
        <w:rPr>
          <w:rFonts w:cs="Times New Roman"/>
        </w:rPr>
        <w:fldChar w:fldCharType="separate"/>
      </w:r>
      <w:r w:rsidR="003605CC" w:rsidRPr="003605CC">
        <w:rPr>
          <w:rFonts w:cs="Times New Roman"/>
          <w:noProof/>
          <w:vertAlign w:val="superscript"/>
        </w:rPr>
        <w:t>56</w:t>
      </w:r>
      <w:r w:rsidR="00851834">
        <w:rPr>
          <w:rFonts w:cs="Times New Roman"/>
        </w:rPr>
        <w:fldChar w:fldCharType="end"/>
      </w:r>
      <w:r>
        <w:rPr>
          <w:rFonts w:cs="Times New Roman"/>
        </w:rPr>
        <w:t xml:space="preserve"> immobilized the limbs o</w:t>
      </w:r>
      <w:r w:rsidR="00F95641">
        <w:rPr>
          <w:rFonts w:cs="Times New Roman"/>
        </w:rPr>
        <w:t>f younger and older men for 14 days</w:t>
      </w:r>
      <w:r>
        <w:rPr>
          <w:rFonts w:cs="Times New Roman"/>
        </w:rPr>
        <w:t xml:space="preserve"> and showed that o</w:t>
      </w:r>
      <w:r w:rsidRPr="00795B8F">
        <w:rPr>
          <w:rFonts w:cs="Times New Roman"/>
        </w:rPr>
        <w:t xml:space="preserve">lder men </w:t>
      </w:r>
      <w:r>
        <w:rPr>
          <w:rFonts w:cs="Times New Roman"/>
        </w:rPr>
        <w:t xml:space="preserve">only regained </w:t>
      </w:r>
      <w:r w:rsidRPr="00795B8F">
        <w:rPr>
          <w:rFonts w:cs="Times New Roman"/>
        </w:rPr>
        <w:t xml:space="preserve">63% of their </w:t>
      </w:r>
      <w:r>
        <w:rPr>
          <w:rFonts w:cs="Times New Roman"/>
        </w:rPr>
        <w:t xml:space="preserve">lost </w:t>
      </w:r>
      <w:r w:rsidRPr="00795B8F">
        <w:rPr>
          <w:rFonts w:cs="Times New Roman"/>
        </w:rPr>
        <w:t xml:space="preserve">muscle </w:t>
      </w:r>
      <w:r>
        <w:rPr>
          <w:rFonts w:cs="Times New Roman"/>
        </w:rPr>
        <w:t xml:space="preserve">mass despite undertaking </w:t>
      </w:r>
      <w:r w:rsidRPr="00795B8F">
        <w:rPr>
          <w:rFonts w:cs="Times New Roman"/>
        </w:rPr>
        <w:t>four weeks of intensive resistance exercise (i.e., not standard rehabilitation)</w:t>
      </w:r>
      <w:r w:rsidR="00AB3BAC">
        <w:rPr>
          <w:rFonts w:cs="Times New Roman"/>
        </w:rPr>
        <w:t xml:space="preserve"> following the immobilization</w:t>
      </w:r>
      <w:r w:rsidRPr="00795B8F">
        <w:rPr>
          <w:rFonts w:cs="Times New Roman"/>
        </w:rPr>
        <w:fldChar w:fldCharType="begin" w:fldLock="1"/>
      </w:r>
      <w:r w:rsidR="00225DB1">
        <w:rPr>
          <w:rFonts w:cs="Times New Roman"/>
        </w:rPr>
        <w:instrText>ADDIN CSL_CITATION { "citationItems" : [ { "id" : "ITEM-1",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"ITEM-1", "issue" : "4", "issued" : { "date-parts" : [ [ "2009", "10" ] ] }, "page" : "1172-1180", "title" : "Effects of aging on human skeletal muscle after immobilization and retraining.", "type" : "article-journal", "volume" : "107" }, "uris" : [ "http://www.mendeley.com/documents/?uuid=03fe0af6-3cbe-40fc-8c94-5ae48ae103c2" ] } ], "mendeley" : { "formattedCitation" : "&lt;sup&gt;56&lt;/sup&gt;", "plainTextFormattedCitation" : "56", "previouslyFormattedCitation" : "&lt;sup&gt;56&lt;/sup&gt;" }, "properties" : { "noteIndex" : 0 }, "schema" : "https://github.com/citation-style-language/schema/raw/master/csl-citation.json" }</w:instrText>
      </w:r>
      <w:r w:rsidRPr="00795B8F">
        <w:rPr>
          <w:rFonts w:cs="Times New Roman"/>
        </w:rPr>
        <w:fldChar w:fldCharType="separate"/>
      </w:r>
      <w:r w:rsidR="003605CC" w:rsidRPr="003605CC">
        <w:rPr>
          <w:rFonts w:cs="Times New Roman"/>
          <w:noProof/>
          <w:vertAlign w:val="superscript"/>
        </w:rPr>
        <w:t>56</w:t>
      </w:r>
      <w:r w:rsidRPr="00795B8F">
        <w:rPr>
          <w:rFonts w:cs="Times New Roman"/>
        </w:rPr>
        <w:fldChar w:fldCharType="end"/>
      </w:r>
      <w:r>
        <w:rPr>
          <w:rFonts w:cs="Times New Roman"/>
        </w:rPr>
        <w:t xml:space="preserve">. Older subjects from the same study were also shown not to have fully recovered maximal strength </w:t>
      </w:r>
      <w:r w:rsidR="00623F5A">
        <w:rPr>
          <w:rFonts w:cs="Times New Roman"/>
        </w:rPr>
        <w:t xml:space="preserve">nor muscle </w:t>
      </w:r>
      <w:r>
        <w:rPr>
          <w:rFonts w:cs="Times New Roman"/>
        </w:rPr>
        <w:t>rate of force development after the resistance exercise recovery protocol</w:t>
      </w:r>
      <w:r>
        <w:rPr>
          <w:rFonts w:cs="Times New Roman"/>
        </w:rPr>
        <w:fldChar w:fldCharType="begin" w:fldLock="1"/>
      </w:r>
      <w:r w:rsidR="00225DB1">
        <w:rPr>
          <w:rFonts w:cs="Times New Roman"/>
        </w:rPr>
        <w:instrText>ADDIN CSL_CITATION { "citationItems" : [ { "id" : "ITEM-1", "itemData" : { "DOI" : "10.1152/japplphysiol.00637.2010", "ISBN" : "1522-1601 (Electronic)\\n0161-7567 (Linking)", "ISSN" : "8750-7587", "PMID" : "20864557", "abstract" : "Very little attention has been given to the combined effects of aging and disuse as separate factors causing deterioration in muscle mechanical function. Thus the purpose of this study was to investigate the effects of 2 wk of immobilization followed by 4 wk of retraining on knee extensor muscle mechanical function (e.g., maximal strength and rapid force capacity) and muscle fiber morphology in 9 old (OM: 67.3 \u00b1 1.3 yr) and 11 young healthy men (YM: 24.4 \u00b1 0.5 yr) with comparable levels of physical activity. Following immobilization, OM demonstrated markedly larger decreases in rapid force capacity (i.e., rate of force development, impulse) than YM (\u223c 20-37 vs. \u223c 13-16%; P &lt; 0.05). In contrast, muscle fiber area decreased in YM for type I, IIA, and IIx fibers (\u223c 15-30%; P &lt; 0.05), whereas only type IIa area decreased in OM (13.2%; P &lt; 0.05). Subsequent retraining fully restored muscle mechanical function and muscle fiber area in YM, whereas OM showed an attenuated recovery in muscle fiber area and rapid force capacity (tendency). Changes in maximal isometric and dynamic muscle strength were similar between OM and YM. In conclusion, the present data reveal that OM may be more susceptible to the deleterious effects of short-term muscle disuse on muscle fiber size and rapid force capacity than YM. Furthermore, OM seems to require longer time to recover and regain rapid muscle force capacity, which may lead to a larger risk of falling in aged individuals after periods of short-term disuse.", "author" : [ { "dropping-particle" : "", "family" : "Hvid", "given" : "Lars", "non-dropping-particle" : "", "parse-names" : false, "suffix" : "" }, { "dropping-particle" : "", "family" : "Aagaard", "given" : "Per", "non-dropping-particle" : "", "parse-names" : false, "suffix" : "" }, { "dropping-particle" : "", "family" : "Justesen", "given" : "Lene", "non-dropping-particle" : "", "parse-names" : false, "suffix" : "" }, { "dropping-particle" : "", "family" : "Bayer", "given" : "Monika L", "non-dropping-particle" : "", "parse-names" : false, "suffix" : "" }, { "dropping-particle" : "", "family" : "Andersen", "given" : "Jesper L", "non-dropping-particle" : "", "parse-names" : false, "suffix" : "" }, { "dropping-particle" : "", "family" : "\u00d8rtenblad", "given" : "Niels", "non-dropping-particle" : "", "parse-names" : false, "suffix" : "" }, { "dropping-particle" : "", "family" : "Kjaer", "given" : "Michael", "non-dropping-particle" : "", "parse-names" : false, "suffix" : "" }, { "dropping-particle" : "", "family" : "Suetta", "given" : "Charlotte", "non-dropping-particle" : "", "parse-names" : false, "suffix" : "" } ], "container-title" : "Journal of applied physiology (Bethesda, Md. : 1985)", "id" : "ITEM-1", "issue" : "6", "issued" : { "date-parts" : [ [ "2010" ] ] }, "page" : "1628-1634", "title" : "Effects of aging on muscle mechanical function and muscle fiber morphology during short-term immobilization and subsequent retraining.", "type" : "article-journal", "volume" : "109" }, "uris" : [ "http://www.mendeley.com/documents/?uuid=19df41c5-6620-4315-9c2a-fbf7029a597a" ] } ], "mendeley" : { "formattedCitation" : "&lt;sup&gt;64&lt;/sup&gt;", "plainTextFormattedCitation" : "64", "previouslyFormattedCitation" : "&lt;sup&gt;64&lt;/sup&gt;"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64</w:t>
      </w:r>
      <w:r>
        <w:rPr>
          <w:rFonts w:cs="Times New Roman"/>
        </w:rPr>
        <w:fldChar w:fldCharType="end"/>
      </w:r>
      <w:r w:rsidRPr="00795B8F">
        <w:rPr>
          <w:rFonts w:cs="Times New Roman"/>
        </w:rPr>
        <w:t xml:space="preserve">. </w:t>
      </w:r>
      <w:r>
        <w:rPr>
          <w:rFonts w:cs="Times New Roman"/>
        </w:rPr>
        <w:t>Extending some of the findings from overt immobilization in older adults, showing incomplete recovery not only of muscle mass</w:t>
      </w:r>
      <w:r>
        <w:rPr>
          <w:rFonts w:cs="Times New Roman"/>
        </w:rPr>
        <w:fldChar w:fldCharType="begin" w:fldLock="1"/>
      </w:r>
      <w:r w:rsidR="00225DB1">
        <w:rPr>
          <w:rFonts w:cs="Times New Roman"/>
        </w:rPr>
        <w:instrText>ADDIN CSL_CITATION { "citationItems" : [ { "id" : "ITEM-1",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"ITEM-1", "issue" : "4", "issued" : { "date-parts" : [ [ "2009", "10" ] ] }, "page" : "1172-1180", "title" : "Effects of aging on human skeletal muscle after immobilization and retraining.", "type" : "article-journal", "volume" : "107" }, "uris" : [ "http://www.mendeley.com/documents/?uuid=03fe0af6-3cbe-40fc-8c94-5ae48ae103c2" ] } ], "mendeley" : { "formattedCitation" : "&lt;sup&gt;56&lt;/sup&gt;", "plainTextFormattedCitation" : "56", "previouslyFormattedCitation" : "&lt;sup&gt;56&lt;/sup&gt;"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56</w:t>
      </w:r>
      <w:r>
        <w:rPr>
          <w:rFonts w:cs="Times New Roman"/>
        </w:rPr>
        <w:fldChar w:fldCharType="end"/>
      </w:r>
      <w:r w:rsidR="003605CC">
        <w:rPr>
          <w:rFonts w:cs="Times New Roman"/>
        </w:rPr>
        <w:t xml:space="preserve"> </w:t>
      </w:r>
      <w:r>
        <w:rPr>
          <w:rFonts w:cs="Times New Roman"/>
        </w:rPr>
        <w:t>but also of strength</w:t>
      </w:r>
      <w:r>
        <w:rPr>
          <w:rFonts w:cs="Times New Roman"/>
        </w:rPr>
        <w:fldChar w:fldCharType="begin" w:fldLock="1"/>
      </w:r>
      <w:r w:rsidR="00225DB1">
        <w:rPr>
          <w:rFonts w:cs="Times New Roman"/>
        </w:rPr>
        <w:instrText>ADDIN CSL_CITATION { "citationItems" : [ { "id" : "ITEM-1",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"ITEM-1", "issue" : "4", "issued" : { "date-parts" : [ [ "2009", "10" ] ] }, "page" : "1172-1180", "title" : "Effects of aging on human skeletal muscle after immobilization and retraining.", "type" : "article-journal", "volume" : "107" }, "uris" : [ "http://www.mendeley.com/documents/?uuid=03fe0af6-3cbe-40fc-8c94-5ae48ae103c2" ] } ], "mendeley" : { "formattedCitation" : "&lt;sup&gt;56&lt;/sup&gt;", "plainTextFormattedCitation" : "56", "previouslyFormattedCitation" : "&lt;sup&gt;56&lt;/sup&gt;"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56</w:t>
      </w:r>
      <w:r>
        <w:rPr>
          <w:rFonts w:cs="Times New Roman"/>
        </w:rPr>
        <w:fldChar w:fldCharType="end"/>
      </w:r>
      <w:r>
        <w:rPr>
          <w:rFonts w:cs="Times New Roman"/>
        </w:rPr>
        <w:t xml:space="preserve">, </w:t>
      </w:r>
      <w:r w:rsidR="00AB3BAC">
        <w:rPr>
          <w:rFonts w:cs="Times New Roman"/>
        </w:rPr>
        <w:t xml:space="preserve">it is possible </w:t>
      </w:r>
      <w:r>
        <w:rPr>
          <w:rFonts w:cs="Times New Roman"/>
        </w:rPr>
        <w:t>that similar results may be seen in recovery from a period of reduced steps.</w:t>
      </w:r>
    </w:p>
    <w:p w14:paraId="69D82629" w14:textId="77777777" w:rsidR="005A1D98" w:rsidRDefault="005A1D98" w:rsidP="008D0825">
      <w:pPr>
        <w:spacing w:line="480" w:lineRule="auto"/>
        <w:rPr>
          <w:rFonts w:cs="Times New Roman"/>
        </w:rPr>
        <w:sectPr w:rsidR="005A1D98" w:rsidSect="00DB54F0">
          <w:pgSz w:w="12240" w:h="15840"/>
          <w:pgMar w:top="2155" w:right="2155" w:bottom="1418" w:left="2155" w:header="708" w:footer="708" w:gutter="0"/>
          <w:pgNumType w:start="1"/>
          <w:cols w:space="708"/>
        </w:sectPr>
      </w:pPr>
    </w:p>
    <w:p w14:paraId="243CE6F6" w14:textId="77777777" w:rsidR="005A1D98" w:rsidRPr="00BC41BE" w:rsidRDefault="005A1D98" w:rsidP="005A1D98">
      <w:r w:rsidRPr="00BC41BE">
        <w:rPr>
          <w:b/>
        </w:rPr>
        <w:lastRenderedPageBreak/>
        <w:t>Table 1.</w:t>
      </w:r>
      <w:r w:rsidRPr="00BC41BE">
        <w:t xml:space="preserve"> </w:t>
      </w:r>
      <w:proofErr w:type="gramStart"/>
      <w:r w:rsidRPr="00BC41BE">
        <w:t>Summary of available studies involving step-reduction protocols</w:t>
      </w:r>
      <w:r>
        <w:t>.</w:t>
      </w:r>
      <w:proofErr w:type="gramEnd"/>
    </w:p>
    <w:tbl>
      <w:tblPr>
        <w:tblW w:w="12758" w:type="dxa"/>
        <w:tblInd w:w="-459" w:type="dxa"/>
        <w:tblLayout w:type="fixed"/>
        <w:tblLook w:val="04A0" w:firstRow="1" w:lastRow="0" w:firstColumn="1" w:lastColumn="0" w:noHBand="0" w:noVBand="1"/>
      </w:tblPr>
      <w:tblGrid>
        <w:gridCol w:w="1418"/>
        <w:gridCol w:w="1134"/>
        <w:gridCol w:w="850"/>
        <w:gridCol w:w="1276"/>
        <w:gridCol w:w="992"/>
        <w:gridCol w:w="851"/>
        <w:gridCol w:w="1134"/>
        <w:gridCol w:w="3827"/>
        <w:gridCol w:w="1276"/>
      </w:tblGrid>
      <w:tr w:rsidR="00935C80" w:rsidRPr="00E67861" w14:paraId="7F09B84B" w14:textId="77777777" w:rsidTr="00935C80">
        <w:tc>
          <w:tcPr>
            <w:tcW w:w="1418" w:type="dxa"/>
            <w:tcBorders>
              <w:top w:val="single" w:sz="8" w:space="0" w:color="auto"/>
              <w:left w:val="nil"/>
              <w:bottom w:val="single" w:sz="18" w:space="0" w:color="auto"/>
              <w:right w:val="nil"/>
            </w:tcBorders>
            <w:shd w:val="clear" w:color="auto" w:fill="auto"/>
            <w:vAlign w:val="center"/>
          </w:tcPr>
          <w:p w14:paraId="4F752CB4" w14:textId="77777777" w:rsidR="005A1D98" w:rsidRPr="00E67861" w:rsidRDefault="005A1D98" w:rsidP="005A1D98">
            <w:pPr>
              <w:ind w:left="-108"/>
              <w:rPr>
                <w:rFonts w:cs="Times New Roman"/>
                <w:sz w:val="20"/>
                <w:szCs w:val="20"/>
              </w:rPr>
            </w:pPr>
            <w:r w:rsidRPr="00E67861">
              <w:rPr>
                <w:rFonts w:cs="Times New Roman"/>
                <w:sz w:val="20"/>
                <w:szCs w:val="20"/>
              </w:rPr>
              <w:t>Study</w:t>
            </w:r>
          </w:p>
        </w:tc>
        <w:tc>
          <w:tcPr>
            <w:tcW w:w="1134" w:type="dxa"/>
            <w:tcBorders>
              <w:top w:val="single" w:sz="8" w:space="0" w:color="auto"/>
              <w:left w:val="nil"/>
              <w:bottom w:val="single" w:sz="18" w:space="0" w:color="auto"/>
              <w:right w:val="nil"/>
            </w:tcBorders>
            <w:shd w:val="clear" w:color="auto" w:fill="auto"/>
            <w:vAlign w:val="center"/>
          </w:tcPr>
          <w:p w14:paraId="5D40DE37" w14:textId="77777777" w:rsidR="005A1D98" w:rsidRPr="00E67861" w:rsidRDefault="005A1D98" w:rsidP="005A1D98">
            <w:pPr>
              <w:ind w:left="-108"/>
              <w:jc w:val="center"/>
              <w:rPr>
                <w:rFonts w:cs="Times New Roman"/>
                <w:sz w:val="20"/>
                <w:szCs w:val="20"/>
              </w:rPr>
            </w:pPr>
            <w:r w:rsidRPr="00E67861">
              <w:rPr>
                <w:rFonts w:cs="Times New Roman"/>
                <w:sz w:val="20"/>
                <w:szCs w:val="20"/>
              </w:rPr>
              <w:t>Age</w:t>
            </w:r>
            <w:r>
              <w:rPr>
                <w:rFonts w:cs="Times New Roman"/>
                <w:sz w:val="20"/>
                <w:szCs w:val="20"/>
              </w:rPr>
              <w:br/>
              <w:t>(mean age)</w:t>
            </w:r>
          </w:p>
        </w:tc>
        <w:tc>
          <w:tcPr>
            <w:tcW w:w="850" w:type="dxa"/>
            <w:tcBorders>
              <w:top w:val="single" w:sz="8" w:space="0" w:color="auto"/>
              <w:left w:val="nil"/>
              <w:bottom w:val="single" w:sz="18" w:space="0" w:color="auto"/>
              <w:right w:val="nil"/>
            </w:tcBorders>
            <w:shd w:val="clear" w:color="auto" w:fill="auto"/>
            <w:vAlign w:val="center"/>
          </w:tcPr>
          <w:p w14:paraId="1C99C23E" w14:textId="77777777" w:rsidR="005A1D98" w:rsidRPr="00E67861" w:rsidRDefault="005A1D98" w:rsidP="005A1D98">
            <w:pPr>
              <w:ind w:left="-108"/>
              <w:jc w:val="center"/>
              <w:rPr>
                <w:rFonts w:cs="Times New Roman"/>
                <w:sz w:val="20"/>
                <w:szCs w:val="20"/>
              </w:rPr>
            </w:pPr>
            <w:r w:rsidRPr="00E67861">
              <w:rPr>
                <w:rFonts w:cs="Times New Roman"/>
                <w:sz w:val="20"/>
                <w:szCs w:val="20"/>
              </w:rPr>
              <w:t>Sex (M/W)</w:t>
            </w:r>
          </w:p>
        </w:tc>
        <w:tc>
          <w:tcPr>
            <w:tcW w:w="1276" w:type="dxa"/>
            <w:tcBorders>
              <w:top w:val="single" w:sz="8" w:space="0" w:color="auto"/>
              <w:left w:val="nil"/>
              <w:bottom w:val="single" w:sz="18" w:space="0" w:color="auto"/>
              <w:right w:val="nil"/>
            </w:tcBorders>
            <w:shd w:val="clear" w:color="auto" w:fill="auto"/>
            <w:vAlign w:val="center"/>
          </w:tcPr>
          <w:p w14:paraId="51BD8B54" w14:textId="77777777" w:rsidR="005A1D98" w:rsidRPr="00E67861" w:rsidRDefault="005A1D98" w:rsidP="005A1D98">
            <w:pPr>
              <w:ind w:left="-108"/>
              <w:jc w:val="center"/>
              <w:rPr>
                <w:rFonts w:cs="Times New Roman"/>
                <w:sz w:val="20"/>
                <w:szCs w:val="20"/>
              </w:rPr>
            </w:pPr>
            <w:r w:rsidRPr="00E67861">
              <w:rPr>
                <w:rFonts w:cs="Times New Roman"/>
                <w:sz w:val="20"/>
                <w:szCs w:val="20"/>
              </w:rPr>
              <w:t xml:space="preserve">Steps </w:t>
            </w:r>
            <w:r>
              <w:rPr>
                <w:rFonts w:cs="Times New Roman"/>
                <w:sz w:val="20"/>
                <w:szCs w:val="20"/>
              </w:rPr>
              <w:br/>
            </w:r>
            <w:r w:rsidRPr="00E67861">
              <w:rPr>
                <w:rFonts w:cs="Times New Roman"/>
                <w:sz w:val="20"/>
                <w:szCs w:val="20"/>
              </w:rPr>
              <w:t xml:space="preserve">(per day; % </w:t>
            </w:r>
            <w:r w:rsidRPr="00E67861">
              <w:rPr>
                <w:sz w:val="20"/>
                <w:szCs w:val="20"/>
              </w:rPr>
              <w:t>↓</w:t>
            </w:r>
            <w:r w:rsidRPr="00E67861">
              <w:rPr>
                <w:rFonts w:cs="Times New Roman"/>
                <w:sz w:val="20"/>
                <w:szCs w:val="20"/>
              </w:rPr>
              <w:t>)</w:t>
            </w:r>
          </w:p>
        </w:tc>
        <w:tc>
          <w:tcPr>
            <w:tcW w:w="992" w:type="dxa"/>
            <w:tcBorders>
              <w:top w:val="single" w:sz="8" w:space="0" w:color="auto"/>
              <w:left w:val="nil"/>
              <w:bottom w:val="single" w:sz="18" w:space="0" w:color="auto"/>
              <w:right w:val="nil"/>
            </w:tcBorders>
            <w:shd w:val="clear" w:color="auto" w:fill="auto"/>
            <w:vAlign w:val="center"/>
          </w:tcPr>
          <w:p w14:paraId="6F97084E" w14:textId="77777777" w:rsidR="005A1D98" w:rsidRPr="00E67861" w:rsidRDefault="005A1D98" w:rsidP="005A1D98">
            <w:pPr>
              <w:ind w:left="-108"/>
              <w:jc w:val="center"/>
              <w:rPr>
                <w:rFonts w:cs="Times New Roman"/>
                <w:sz w:val="20"/>
                <w:szCs w:val="20"/>
              </w:rPr>
            </w:pPr>
            <w:r w:rsidRPr="00E67861">
              <w:rPr>
                <w:rFonts w:cs="Times New Roman"/>
                <w:sz w:val="20"/>
                <w:szCs w:val="20"/>
              </w:rPr>
              <w:t>Duration (days)</w:t>
            </w:r>
          </w:p>
        </w:tc>
        <w:tc>
          <w:tcPr>
            <w:tcW w:w="851" w:type="dxa"/>
            <w:tcBorders>
              <w:top w:val="single" w:sz="8" w:space="0" w:color="auto"/>
              <w:left w:val="nil"/>
              <w:bottom w:val="single" w:sz="18" w:space="0" w:color="auto"/>
              <w:right w:val="nil"/>
            </w:tcBorders>
            <w:shd w:val="clear" w:color="auto" w:fill="auto"/>
            <w:vAlign w:val="center"/>
          </w:tcPr>
          <w:p w14:paraId="10267CAB" w14:textId="77777777" w:rsidR="005A1D98" w:rsidRPr="00E67861" w:rsidRDefault="005A1D98" w:rsidP="005A1D98">
            <w:pPr>
              <w:ind w:left="-108"/>
              <w:jc w:val="center"/>
              <w:rPr>
                <w:rFonts w:cs="Times New Roman"/>
                <w:sz w:val="20"/>
                <w:szCs w:val="20"/>
              </w:rPr>
            </w:pPr>
            <w:r>
              <w:rPr>
                <w:rFonts w:cs="Times New Roman"/>
                <w:sz w:val="20"/>
                <w:szCs w:val="20"/>
              </w:rPr>
              <w:t xml:space="preserve">% </w:t>
            </w:r>
            <w:r w:rsidRPr="00E67861">
              <w:rPr>
                <w:rFonts w:cs="Times New Roman"/>
                <w:sz w:val="20"/>
                <w:szCs w:val="20"/>
              </w:rPr>
              <w:t xml:space="preserve">∆ FFM </w:t>
            </w:r>
          </w:p>
        </w:tc>
        <w:tc>
          <w:tcPr>
            <w:tcW w:w="1134" w:type="dxa"/>
            <w:tcBorders>
              <w:top w:val="single" w:sz="8" w:space="0" w:color="auto"/>
              <w:left w:val="nil"/>
              <w:bottom w:val="single" w:sz="18" w:space="0" w:color="auto"/>
              <w:right w:val="nil"/>
            </w:tcBorders>
            <w:shd w:val="clear" w:color="auto" w:fill="auto"/>
            <w:vAlign w:val="center"/>
          </w:tcPr>
          <w:p w14:paraId="2F8967FD" w14:textId="77777777" w:rsidR="005A1D98" w:rsidRPr="00E67861" w:rsidRDefault="005A1D98" w:rsidP="005A1D98">
            <w:pPr>
              <w:ind w:left="-108"/>
              <w:jc w:val="center"/>
              <w:rPr>
                <w:rFonts w:cs="Times New Roman"/>
                <w:sz w:val="20"/>
                <w:szCs w:val="20"/>
              </w:rPr>
            </w:pPr>
            <w:r>
              <w:rPr>
                <w:rFonts w:cs="Times New Roman"/>
                <w:sz w:val="20"/>
                <w:szCs w:val="20"/>
              </w:rPr>
              <w:t xml:space="preserve">% </w:t>
            </w:r>
            <w:r w:rsidRPr="00E67861">
              <w:rPr>
                <w:rFonts w:cs="Times New Roman"/>
                <w:sz w:val="20"/>
                <w:szCs w:val="20"/>
              </w:rPr>
              <w:t xml:space="preserve">∆ strength </w:t>
            </w:r>
          </w:p>
        </w:tc>
        <w:tc>
          <w:tcPr>
            <w:tcW w:w="3827" w:type="dxa"/>
            <w:tcBorders>
              <w:top w:val="single" w:sz="8" w:space="0" w:color="auto"/>
              <w:left w:val="nil"/>
              <w:bottom w:val="single" w:sz="18" w:space="0" w:color="auto"/>
              <w:right w:val="nil"/>
            </w:tcBorders>
            <w:shd w:val="clear" w:color="auto" w:fill="auto"/>
            <w:vAlign w:val="center"/>
          </w:tcPr>
          <w:p w14:paraId="456733C5" w14:textId="77777777" w:rsidR="005A1D98" w:rsidRPr="00E67861" w:rsidRDefault="005A1D98" w:rsidP="005A1D98">
            <w:pPr>
              <w:ind w:left="-108"/>
              <w:jc w:val="center"/>
              <w:rPr>
                <w:rFonts w:cs="Times New Roman"/>
                <w:sz w:val="20"/>
                <w:szCs w:val="20"/>
              </w:rPr>
            </w:pPr>
            <w:r w:rsidRPr="00E67861">
              <w:rPr>
                <w:rFonts w:cs="Times New Roman"/>
                <w:sz w:val="20"/>
                <w:szCs w:val="20"/>
              </w:rPr>
              <w:t>Glycemic control</w:t>
            </w:r>
          </w:p>
        </w:tc>
        <w:tc>
          <w:tcPr>
            <w:tcW w:w="1276" w:type="dxa"/>
            <w:tcBorders>
              <w:top w:val="single" w:sz="8" w:space="0" w:color="auto"/>
              <w:left w:val="nil"/>
              <w:bottom w:val="single" w:sz="18" w:space="0" w:color="auto"/>
              <w:right w:val="nil"/>
            </w:tcBorders>
            <w:shd w:val="clear" w:color="auto" w:fill="auto"/>
            <w:vAlign w:val="center"/>
          </w:tcPr>
          <w:p w14:paraId="2339E4C2" w14:textId="77777777" w:rsidR="005A1D98" w:rsidRPr="00E67861" w:rsidRDefault="005A1D98" w:rsidP="005A1D98">
            <w:pPr>
              <w:ind w:left="-108"/>
              <w:jc w:val="center"/>
              <w:rPr>
                <w:rFonts w:cs="Times New Roman"/>
                <w:sz w:val="20"/>
                <w:szCs w:val="20"/>
              </w:rPr>
            </w:pPr>
            <w:r w:rsidRPr="00E67861">
              <w:rPr>
                <w:rFonts w:cs="Times New Roman"/>
                <w:sz w:val="20"/>
                <w:szCs w:val="20"/>
              </w:rPr>
              <w:t>Other</w:t>
            </w:r>
          </w:p>
        </w:tc>
      </w:tr>
      <w:tr w:rsidR="00935C80" w:rsidRPr="006900B2" w14:paraId="5B61CC16" w14:textId="77777777" w:rsidTr="00935C80">
        <w:tc>
          <w:tcPr>
            <w:tcW w:w="1418" w:type="dxa"/>
            <w:vMerge w:val="restart"/>
            <w:tcBorders>
              <w:top w:val="single" w:sz="18" w:space="0" w:color="auto"/>
              <w:left w:val="nil"/>
              <w:bottom w:val="nil"/>
              <w:right w:val="nil"/>
            </w:tcBorders>
            <w:shd w:val="clear" w:color="auto" w:fill="auto"/>
            <w:vAlign w:val="center"/>
          </w:tcPr>
          <w:p w14:paraId="32F022F0" w14:textId="77777777" w:rsidR="005A1D98" w:rsidRPr="00996828" w:rsidRDefault="005A1D98" w:rsidP="005A1D98">
            <w:pPr>
              <w:spacing w:before="50" w:after="50"/>
              <w:ind w:left="-108"/>
              <w:rPr>
                <w:rFonts w:cs="Times New Roman"/>
                <w:sz w:val="20"/>
                <w:szCs w:val="20"/>
                <w:vertAlign w:val="superscript"/>
              </w:rPr>
            </w:pPr>
            <w:r w:rsidRPr="006900B2">
              <w:rPr>
                <w:rFonts w:cs="Times New Roman"/>
                <w:sz w:val="20"/>
                <w:szCs w:val="20"/>
              </w:rPr>
              <w:t>Olsen et al. (</w:t>
            </w:r>
            <w:proofErr w:type="gramStart"/>
            <w:r w:rsidRPr="006900B2">
              <w:rPr>
                <w:rFonts w:cs="Times New Roman"/>
                <w:sz w:val="20"/>
                <w:szCs w:val="20"/>
              </w:rPr>
              <w:t>2008)</w:t>
            </w:r>
            <w:r>
              <w:rPr>
                <w:rFonts w:cs="Times New Roman"/>
                <w:sz w:val="20"/>
                <w:szCs w:val="20"/>
                <w:vertAlign w:val="superscript"/>
              </w:rPr>
              <w:t>1</w:t>
            </w:r>
            <w:proofErr w:type="gramEnd"/>
          </w:p>
        </w:tc>
        <w:tc>
          <w:tcPr>
            <w:tcW w:w="1134" w:type="dxa"/>
            <w:vMerge w:val="restart"/>
            <w:tcBorders>
              <w:top w:val="single" w:sz="18" w:space="0" w:color="auto"/>
              <w:left w:val="nil"/>
              <w:bottom w:val="nil"/>
              <w:right w:val="nil"/>
            </w:tcBorders>
            <w:shd w:val="clear" w:color="auto" w:fill="auto"/>
            <w:vAlign w:val="center"/>
          </w:tcPr>
          <w:p w14:paraId="4179173F" w14:textId="77777777" w:rsidR="005A1D98" w:rsidRDefault="005A1D98" w:rsidP="005A1D98">
            <w:pPr>
              <w:spacing w:before="50" w:after="50"/>
              <w:ind w:left="-108"/>
              <w:jc w:val="center"/>
              <w:rPr>
                <w:rFonts w:cs="Times New Roman"/>
                <w:sz w:val="20"/>
                <w:szCs w:val="20"/>
              </w:rPr>
            </w:pPr>
            <w:r>
              <w:rPr>
                <w:rFonts w:cs="Times New Roman"/>
                <w:sz w:val="20"/>
                <w:szCs w:val="20"/>
              </w:rPr>
              <w:t>Young</w:t>
            </w:r>
          </w:p>
          <w:p w14:paraId="5D7D9F5B"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(27)</w:t>
            </w:r>
          </w:p>
        </w:tc>
        <w:tc>
          <w:tcPr>
            <w:tcW w:w="850" w:type="dxa"/>
            <w:vMerge w:val="restart"/>
            <w:tcBorders>
              <w:top w:val="single" w:sz="18" w:space="0" w:color="auto"/>
              <w:left w:val="nil"/>
              <w:bottom w:val="nil"/>
              <w:right w:val="nil"/>
            </w:tcBorders>
            <w:shd w:val="clear" w:color="auto" w:fill="auto"/>
            <w:vAlign w:val="center"/>
          </w:tcPr>
          <w:p w14:paraId="37574D3C"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M</w:t>
            </w:r>
          </w:p>
        </w:tc>
        <w:tc>
          <w:tcPr>
            <w:tcW w:w="1276" w:type="dxa"/>
            <w:vMerge w:val="restart"/>
            <w:tcBorders>
              <w:top w:val="single" w:sz="18" w:space="0" w:color="auto"/>
              <w:left w:val="nil"/>
              <w:bottom w:val="nil"/>
              <w:right w:val="nil"/>
            </w:tcBorders>
            <w:shd w:val="clear" w:color="auto" w:fill="auto"/>
            <w:vAlign w:val="center"/>
          </w:tcPr>
          <w:p w14:paraId="2B3AD535" w14:textId="77777777" w:rsidR="005A1D98" w:rsidRDefault="005A1D98" w:rsidP="005A1D98">
            <w:pPr>
              <w:spacing w:before="50" w:after="50"/>
              <w:ind w:left="-108"/>
              <w:jc w:val="center"/>
              <w:rPr>
                <w:rFonts w:cs="Times New Roman"/>
                <w:sz w:val="20"/>
                <w:szCs w:val="20"/>
              </w:rPr>
            </w:pPr>
            <w:r>
              <w:rPr>
                <w:rFonts w:cs="Times New Roman"/>
                <w:sz w:val="20"/>
                <w:szCs w:val="20"/>
              </w:rPr>
              <w:t>&lt;1500</w:t>
            </w:r>
          </w:p>
          <w:p w14:paraId="0B122700"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(78)</w:t>
            </w:r>
          </w:p>
        </w:tc>
        <w:tc>
          <w:tcPr>
            <w:tcW w:w="992" w:type="dxa"/>
            <w:tcBorders>
              <w:top w:val="single" w:sz="18" w:space="0" w:color="auto"/>
              <w:left w:val="nil"/>
              <w:bottom w:val="nil"/>
              <w:right w:val="nil"/>
            </w:tcBorders>
            <w:shd w:val="clear" w:color="auto" w:fill="auto"/>
            <w:vAlign w:val="center"/>
          </w:tcPr>
          <w:p w14:paraId="526EEF2F"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7</w:t>
            </w:r>
          </w:p>
        </w:tc>
        <w:tc>
          <w:tcPr>
            <w:tcW w:w="851" w:type="dxa"/>
            <w:tcBorders>
              <w:top w:val="single" w:sz="18" w:space="0" w:color="auto"/>
              <w:left w:val="nil"/>
              <w:bottom w:val="nil"/>
              <w:right w:val="nil"/>
            </w:tcBorders>
            <w:shd w:val="clear" w:color="auto" w:fill="auto"/>
            <w:vAlign w:val="center"/>
          </w:tcPr>
          <w:p w14:paraId="04DAC328"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w:t>
            </w:r>
          </w:p>
        </w:tc>
        <w:tc>
          <w:tcPr>
            <w:tcW w:w="1134" w:type="dxa"/>
            <w:tcBorders>
              <w:top w:val="single" w:sz="18" w:space="0" w:color="auto"/>
              <w:left w:val="nil"/>
              <w:bottom w:val="nil"/>
              <w:right w:val="nil"/>
            </w:tcBorders>
            <w:shd w:val="clear" w:color="auto" w:fill="auto"/>
            <w:vAlign w:val="center"/>
          </w:tcPr>
          <w:p w14:paraId="577D8A48"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w:t>
            </w:r>
          </w:p>
        </w:tc>
        <w:tc>
          <w:tcPr>
            <w:tcW w:w="3827" w:type="dxa"/>
            <w:tcBorders>
              <w:top w:val="single" w:sz="18" w:space="0" w:color="auto"/>
              <w:left w:val="nil"/>
              <w:bottom w:val="nil"/>
              <w:right w:val="nil"/>
            </w:tcBorders>
            <w:shd w:val="clear" w:color="auto" w:fill="auto"/>
            <w:vAlign w:val="center"/>
          </w:tcPr>
          <w:p w14:paraId="062EC134" w14:textId="77777777" w:rsidR="005A1D98" w:rsidRPr="006900B2" w:rsidRDefault="005A1D98" w:rsidP="005A1D98">
            <w:pPr>
              <w:spacing w:before="50" w:after="50"/>
              <w:ind w:left="-108"/>
              <w:jc w:val="center"/>
              <w:rPr>
                <w:rFonts w:cs="Times New Roman"/>
                <w:sz w:val="20"/>
                <w:szCs w:val="20"/>
              </w:rPr>
            </w:pPr>
            <w:r w:rsidRPr="006900B2">
              <w:rPr>
                <w:sz w:val="20"/>
                <w:szCs w:val="20"/>
              </w:rPr>
              <w:t xml:space="preserve">↑ </w:t>
            </w:r>
            <w:r>
              <w:rPr>
                <w:rFonts w:cs="Times New Roman"/>
                <w:sz w:val="20"/>
                <w:szCs w:val="20"/>
              </w:rPr>
              <w:t>53</w:t>
            </w:r>
            <w:r w:rsidRPr="006900B2">
              <w:rPr>
                <w:rFonts w:cs="Times New Roman"/>
                <w:sz w:val="20"/>
                <w:szCs w:val="20"/>
              </w:rPr>
              <w:t>% insulin AUC (OGTT)</w:t>
            </w:r>
          </w:p>
        </w:tc>
        <w:tc>
          <w:tcPr>
            <w:tcW w:w="1276" w:type="dxa"/>
            <w:tcBorders>
              <w:top w:val="single" w:sz="18" w:space="0" w:color="auto"/>
              <w:left w:val="nil"/>
              <w:bottom w:val="nil"/>
              <w:right w:val="nil"/>
            </w:tcBorders>
            <w:shd w:val="clear" w:color="auto" w:fill="auto"/>
            <w:vAlign w:val="center"/>
          </w:tcPr>
          <w:p w14:paraId="4AB6A196"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w:t>
            </w:r>
          </w:p>
        </w:tc>
      </w:tr>
      <w:tr w:rsidR="00935C80" w:rsidRPr="006900B2" w14:paraId="7D0CFF93" w14:textId="77777777" w:rsidTr="00935C80">
        <w:tc>
          <w:tcPr>
            <w:tcW w:w="1418" w:type="dxa"/>
            <w:vMerge/>
            <w:tcBorders>
              <w:top w:val="nil"/>
              <w:left w:val="nil"/>
              <w:bottom w:val="nil"/>
              <w:right w:val="nil"/>
            </w:tcBorders>
            <w:shd w:val="clear" w:color="auto" w:fill="auto"/>
            <w:vAlign w:val="center"/>
          </w:tcPr>
          <w:p w14:paraId="51DF449A" w14:textId="77777777" w:rsidR="005A1D98" w:rsidRPr="006900B2" w:rsidRDefault="005A1D98" w:rsidP="005A1D98">
            <w:pPr>
              <w:spacing w:before="50" w:after="50"/>
              <w:ind w:left="-108"/>
              <w:rPr>
                <w:rFonts w:cs="Times New Roman"/>
                <w:sz w:val="20"/>
                <w:szCs w:val="20"/>
              </w:rPr>
            </w:pPr>
          </w:p>
        </w:tc>
        <w:tc>
          <w:tcPr>
            <w:tcW w:w="1134" w:type="dxa"/>
            <w:vMerge/>
            <w:tcBorders>
              <w:top w:val="nil"/>
              <w:left w:val="nil"/>
              <w:bottom w:val="nil"/>
              <w:right w:val="nil"/>
            </w:tcBorders>
            <w:shd w:val="clear" w:color="auto" w:fill="auto"/>
            <w:vAlign w:val="center"/>
          </w:tcPr>
          <w:p w14:paraId="7D57B543" w14:textId="77777777" w:rsidR="005A1D98" w:rsidRPr="006900B2" w:rsidRDefault="005A1D98" w:rsidP="005A1D98">
            <w:pPr>
              <w:spacing w:before="50" w:after="50"/>
              <w:ind w:left="-108"/>
              <w:jc w:val="center"/>
              <w:rPr>
                <w:rFonts w:cs="Times New Roman"/>
                <w:sz w:val="20"/>
                <w:szCs w:val="20"/>
              </w:rPr>
            </w:pPr>
          </w:p>
        </w:tc>
        <w:tc>
          <w:tcPr>
            <w:tcW w:w="850" w:type="dxa"/>
            <w:vMerge/>
            <w:tcBorders>
              <w:top w:val="nil"/>
              <w:left w:val="nil"/>
              <w:bottom w:val="nil"/>
              <w:right w:val="nil"/>
            </w:tcBorders>
            <w:shd w:val="clear" w:color="auto" w:fill="auto"/>
            <w:vAlign w:val="center"/>
          </w:tcPr>
          <w:p w14:paraId="28D1CC12" w14:textId="77777777" w:rsidR="005A1D98" w:rsidRPr="006900B2" w:rsidRDefault="005A1D98" w:rsidP="005A1D98">
            <w:pPr>
              <w:spacing w:before="50" w:after="50"/>
              <w:ind w:left="-108"/>
              <w:jc w:val="center"/>
              <w:rPr>
                <w:rFonts w:cs="Times New Roman"/>
                <w:sz w:val="20"/>
                <w:szCs w:val="20"/>
              </w:rPr>
            </w:pPr>
          </w:p>
        </w:tc>
        <w:tc>
          <w:tcPr>
            <w:tcW w:w="1276" w:type="dxa"/>
            <w:vMerge/>
            <w:tcBorders>
              <w:top w:val="nil"/>
              <w:left w:val="nil"/>
              <w:bottom w:val="nil"/>
              <w:right w:val="nil"/>
            </w:tcBorders>
            <w:shd w:val="clear" w:color="auto" w:fill="auto"/>
            <w:vAlign w:val="center"/>
          </w:tcPr>
          <w:p w14:paraId="138E846A" w14:textId="77777777" w:rsidR="005A1D98" w:rsidRPr="006900B2" w:rsidRDefault="005A1D98" w:rsidP="005A1D98">
            <w:pPr>
              <w:spacing w:before="50" w:after="50"/>
              <w:ind w:left="-108"/>
              <w:jc w:val="center"/>
              <w:rPr>
                <w:rFonts w:cs="Times New Roman"/>
                <w:sz w:val="20"/>
                <w:szCs w:val="20"/>
              </w:rPr>
            </w:pPr>
          </w:p>
        </w:tc>
        <w:tc>
          <w:tcPr>
            <w:tcW w:w="992" w:type="dxa"/>
            <w:tcBorders>
              <w:top w:val="nil"/>
              <w:left w:val="nil"/>
              <w:bottom w:val="nil"/>
              <w:right w:val="nil"/>
            </w:tcBorders>
            <w:shd w:val="clear" w:color="auto" w:fill="auto"/>
            <w:vAlign w:val="center"/>
          </w:tcPr>
          <w:p w14:paraId="5D7AA0FC"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14</w:t>
            </w:r>
          </w:p>
        </w:tc>
        <w:tc>
          <w:tcPr>
            <w:tcW w:w="851" w:type="dxa"/>
            <w:tcBorders>
              <w:top w:val="nil"/>
              <w:left w:val="nil"/>
              <w:bottom w:val="nil"/>
              <w:right w:val="nil"/>
            </w:tcBorders>
            <w:shd w:val="clear" w:color="auto" w:fill="auto"/>
            <w:vAlign w:val="center"/>
          </w:tcPr>
          <w:p w14:paraId="447ED284"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w:t>
            </w:r>
          </w:p>
        </w:tc>
        <w:tc>
          <w:tcPr>
            <w:tcW w:w="1134" w:type="dxa"/>
            <w:tcBorders>
              <w:top w:val="nil"/>
              <w:left w:val="nil"/>
              <w:bottom w:val="nil"/>
              <w:right w:val="nil"/>
            </w:tcBorders>
            <w:shd w:val="clear" w:color="auto" w:fill="auto"/>
            <w:vAlign w:val="center"/>
          </w:tcPr>
          <w:p w14:paraId="505EEC2B"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w:t>
            </w:r>
          </w:p>
        </w:tc>
        <w:tc>
          <w:tcPr>
            <w:tcW w:w="3827" w:type="dxa"/>
            <w:tcBorders>
              <w:top w:val="nil"/>
              <w:left w:val="nil"/>
              <w:bottom w:val="nil"/>
              <w:right w:val="nil"/>
            </w:tcBorders>
            <w:shd w:val="clear" w:color="auto" w:fill="auto"/>
            <w:vAlign w:val="center"/>
          </w:tcPr>
          <w:p w14:paraId="6496FBC5" w14:textId="77777777" w:rsidR="005A1D98" w:rsidRPr="006900B2" w:rsidRDefault="005A1D98" w:rsidP="005A1D98">
            <w:pPr>
              <w:spacing w:before="50" w:after="50"/>
              <w:ind w:left="-108"/>
              <w:jc w:val="center"/>
              <w:rPr>
                <w:rFonts w:cs="Times New Roman"/>
                <w:sz w:val="20"/>
                <w:szCs w:val="20"/>
              </w:rPr>
            </w:pPr>
            <w:r w:rsidRPr="006900B2">
              <w:rPr>
                <w:sz w:val="20"/>
                <w:szCs w:val="20"/>
              </w:rPr>
              <w:t xml:space="preserve">↑ </w:t>
            </w:r>
            <w:r>
              <w:rPr>
                <w:rFonts w:cs="Times New Roman"/>
                <w:sz w:val="20"/>
                <w:szCs w:val="20"/>
              </w:rPr>
              <w:t>61</w:t>
            </w:r>
            <w:r w:rsidRPr="006900B2">
              <w:rPr>
                <w:rFonts w:cs="Times New Roman"/>
                <w:sz w:val="20"/>
                <w:szCs w:val="20"/>
              </w:rPr>
              <w:t>% insulin AUC (OGTT)</w:t>
            </w:r>
          </w:p>
        </w:tc>
        <w:tc>
          <w:tcPr>
            <w:tcW w:w="1276" w:type="dxa"/>
            <w:tcBorders>
              <w:top w:val="nil"/>
              <w:left w:val="nil"/>
              <w:bottom w:val="nil"/>
              <w:right w:val="nil"/>
            </w:tcBorders>
            <w:shd w:val="clear" w:color="auto" w:fill="auto"/>
            <w:vAlign w:val="center"/>
          </w:tcPr>
          <w:p w14:paraId="0F459FB8"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w:t>
            </w:r>
          </w:p>
        </w:tc>
      </w:tr>
      <w:tr w:rsidR="00935C80" w:rsidRPr="006900B2" w14:paraId="10816D99" w14:textId="77777777" w:rsidTr="00935C80">
        <w:tc>
          <w:tcPr>
            <w:tcW w:w="1418" w:type="dxa"/>
            <w:vMerge/>
            <w:tcBorders>
              <w:top w:val="nil"/>
              <w:left w:val="nil"/>
              <w:bottom w:val="single" w:sz="8" w:space="0" w:color="auto"/>
              <w:right w:val="nil"/>
            </w:tcBorders>
            <w:shd w:val="clear" w:color="auto" w:fill="auto"/>
            <w:vAlign w:val="center"/>
          </w:tcPr>
          <w:p w14:paraId="76B5B145" w14:textId="77777777" w:rsidR="005A1D98" w:rsidRPr="006900B2" w:rsidRDefault="005A1D98" w:rsidP="005A1D98">
            <w:pPr>
              <w:spacing w:before="50" w:after="50"/>
              <w:ind w:left="-108"/>
              <w:rPr>
                <w:rFonts w:cs="Times New Roman"/>
                <w:sz w:val="20"/>
                <w:szCs w:val="20"/>
              </w:rPr>
            </w:pPr>
          </w:p>
        </w:tc>
        <w:tc>
          <w:tcPr>
            <w:tcW w:w="1134" w:type="dxa"/>
            <w:vMerge/>
            <w:tcBorders>
              <w:top w:val="nil"/>
              <w:left w:val="nil"/>
              <w:bottom w:val="single" w:sz="8" w:space="0" w:color="auto"/>
              <w:right w:val="nil"/>
            </w:tcBorders>
            <w:shd w:val="clear" w:color="auto" w:fill="auto"/>
            <w:vAlign w:val="center"/>
          </w:tcPr>
          <w:p w14:paraId="335EA279" w14:textId="77777777" w:rsidR="005A1D98" w:rsidRPr="006900B2" w:rsidRDefault="005A1D98" w:rsidP="005A1D98">
            <w:pPr>
              <w:spacing w:before="50" w:after="50"/>
              <w:ind w:left="-108"/>
              <w:jc w:val="center"/>
              <w:rPr>
                <w:rFonts w:cs="Times New Roman"/>
                <w:sz w:val="20"/>
                <w:szCs w:val="20"/>
              </w:rPr>
            </w:pPr>
          </w:p>
        </w:tc>
        <w:tc>
          <w:tcPr>
            <w:tcW w:w="850" w:type="dxa"/>
            <w:vMerge/>
            <w:tcBorders>
              <w:top w:val="nil"/>
              <w:left w:val="nil"/>
              <w:bottom w:val="single" w:sz="8" w:space="0" w:color="auto"/>
              <w:right w:val="nil"/>
            </w:tcBorders>
            <w:shd w:val="clear" w:color="auto" w:fill="auto"/>
            <w:vAlign w:val="center"/>
          </w:tcPr>
          <w:p w14:paraId="508BBFEB" w14:textId="77777777" w:rsidR="005A1D98" w:rsidRPr="006900B2" w:rsidRDefault="005A1D98" w:rsidP="005A1D98">
            <w:pPr>
              <w:spacing w:before="50" w:after="50"/>
              <w:ind w:left="-108"/>
              <w:jc w:val="center"/>
              <w:rPr>
                <w:rFonts w:cs="Times New Roman"/>
                <w:sz w:val="20"/>
                <w:szCs w:val="20"/>
              </w:rPr>
            </w:pPr>
          </w:p>
        </w:tc>
        <w:tc>
          <w:tcPr>
            <w:tcW w:w="1276" w:type="dxa"/>
            <w:vMerge/>
            <w:tcBorders>
              <w:top w:val="nil"/>
              <w:left w:val="nil"/>
              <w:bottom w:val="single" w:sz="8" w:space="0" w:color="auto"/>
              <w:right w:val="nil"/>
            </w:tcBorders>
            <w:shd w:val="clear" w:color="auto" w:fill="auto"/>
            <w:vAlign w:val="center"/>
          </w:tcPr>
          <w:p w14:paraId="1C4E6A8C" w14:textId="77777777" w:rsidR="005A1D98" w:rsidRPr="006900B2" w:rsidRDefault="005A1D98" w:rsidP="005A1D98">
            <w:pPr>
              <w:spacing w:before="50" w:after="50"/>
              <w:ind w:left="-108"/>
              <w:jc w:val="center"/>
              <w:rPr>
                <w:rFonts w:cs="Times New Roman"/>
                <w:sz w:val="20"/>
                <w:szCs w:val="20"/>
              </w:rPr>
            </w:pPr>
          </w:p>
        </w:tc>
        <w:tc>
          <w:tcPr>
            <w:tcW w:w="992" w:type="dxa"/>
            <w:tcBorders>
              <w:top w:val="nil"/>
              <w:left w:val="nil"/>
              <w:bottom w:val="single" w:sz="8" w:space="0" w:color="auto"/>
              <w:right w:val="nil"/>
            </w:tcBorders>
            <w:shd w:val="clear" w:color="auto" w:fill="auto"/>
            <w:vAlign w:val="center"/>
          </w:tcPr>
          <w:p w14:paraId="075A3DFA"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22</w:t>
            </w:r>
          </w:p>
        </w:tc>
        <w:tc>
          <w:tcPr>
            <w:tcW w:w="851" w:type="dxa"/>
            <w:tcBorders>
              <w:top w:val="nil"/>
              <w:left w:val="nil"/>
              <w:bottom w:val="single" w:sz="8" w:space="0" w:color="auto"/>
              <w:right w:val="nil"/>
            </w:tcBorders>
            <w:shd w:val="clear" w:color="auto" w:fill="auto"/>
            <w:vAlign w:val="center"/>
          </w:tcPr>
          <w:p w14:paraId="2C084D61"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w:t>
            </w:r>
          </w:p>
        </w:tc>
        <w:tc>
          <w:tcPr>
            <w:tcW w:w="1134" w:type="dxa"/>
            <w:tcBorders>
              <w:top w:val="nil"/>
              <w:left w:val="nil"/>
              <w:bottom w:val="single" w:sz="8" w:space="0" w:color="auto"/>
              <w:right w:val="nil"/>
            </w:tcBorders>
            <w:shd w:val="clear" w:color="auto" w:fill="auto"/>
            <w:vAlign w:val="center"/>
          </w:tcPr>
          <w:p w14:paraId="558D467F"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w:t>
            </w:r>
          </w:p>
        </w:tc>
        <w:tc>
          <w:tcPr>
            <w:tcW w:w="3827" w:type="dxa"/>
            <w:tcBorders>
              <w:top w:val="nil"/>
              <w:left w:val="nil"/>
              <w:bottom w:val="single" w:sz="8" w:space="0" w:color="auto"/>
              <w:right w:val="nil"/>
            </w:tcBorders>
            <w:shd w:val="clear" w:color="auto" w:fill="auto"/>
            <w:vAlign w:val="center"/>
          </w:tcPr>
          <w:p w14:paraId="27D6622F" w14:textId="77777777" w:rsidR="005A1D98" w:rsidRPr="006900B2" w:rsidRDefault="005A1D98" w:rsidP="005A1D98">
            <w:pPr>
              <w:spacing w:before="50" w:after="50"/>
              <w:ind w:left="-108"/>
              <w:jc w:val="center"/>
              <w:rPr>
                <w:rFonts w:cs="Times New Roman"/>
                <w:sz w:val="20"/>
                <w:szCs w:val="20"/>
              </w:rPr>
            </w:pPr>
            <w:r w:rsidRPr="006900B2">
              <w:rPr>
                <w:sz w:val="20"/>
                <w:szCs w:val="20"/>
              </w:rPr>
              <w:t xml:space="preserve">↑ </w:t>
            </w:r>
            <w:r>
              <w:rPr>
                <w:rFonts w:cs="Times New Roman"/>
                <w:sz w:val="20"/>
                <w:szCs w:val="20"/>
              </w:rPr>
              <w:t>79</w:t>
            </w:r>
            <w:r w:rsidRPr="006900B2">
              <w:rPr>
                <w:rFonts w:cs="Times New Roman"/>
                <w:sz w:val="20"/>
                <w:szCs w:val="20"/>
              </w:rPr>
              <w:t>% insulin AUC (OGTT)</w:t>
            </w:r>
          </w:p>
        </w:tc>
        <w:tc>
          <w:tcPr>
            <w:tcW w:w="1276" w:type="dxa"/>
            <w:tcBorders>
              <w:top w:val="nil"/>
              <w:left w:val="nil"/>
              <w:bottom w:val="single" w:sz="8" w:space="0" w:color="auto"/>
              <w:right w:val="nil"/>
            </w:tcBorders>
            <w:shd w:val="clear" w:color="auto" w:fill="auto"/>
            <w:vAlign w:val="center"/>
          </w:tcPr>
          <w:p w14:paraId="66817C10"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w:t>
            </w:r>
          </w:p>
        </w:tc>
      </w:tr>
      <w:tr w:rsidR="00935C80" w:rsidRPr="006900B2" w14:paraId="10ABFDC8" w14:textId="77777777" w:rsidTr="00935C80">
        <w:tc>
          <w:tcPr>
            <w:tcW w:w="1418" w:type="dxa"/>
            <w:tcBorders>
              <w:top w:val="single" w:sz="8" w:space="0" w:color="auto"/>
              <w:left w:val="nil"/>
              <w:bottom w:val="single" w:sz="8" w:space="0" w:color="auto"/>
              <w:right w:val="nil"/>
            </w:tcBorders>
            <w:shd w:val="clear" w:color="auto" w:fill="auto"/>
            <w:vAlign w:val="center"/>
          </w:tcPr>
          <w:p w14:paraId="50563CC1" w14:textId="77777777" w:rsidR="005A1D98" w:rsidRPr="00996828" w:rsidRDefault="005A1D98" w:rsidP="005A1D98">
            <w:pPr>
              <w:spacing w:before="50" w:after="50"/>
              <w:ind w:left="-108"/>
              <w:rPr>
                <w:rFonts w:cs="Times New Roman"/>
                <w:sz w:val="20"/>
                <w:szCs w:val="20"/>
                <w:vertAlign w:val="superscript"/>
              </w:rPr>
            </w:pPr>
            <w:r>
              <w:rPr>
                <w:rFonts w:cs="Times New Roman"/>
                <w:sz w:val="20"/>
                <w:szCs w:val="20"/>
              </w:rPr>
              <w:t>Olsen et al. (</w:t>
            </w:r>
            <w:proofErr w:type="gramStart"/>
            <w:r>
              <w:rPr>
                <w:rFonts w:cs="Times New Roman"/>
                <w:sz w:val="20"/>
                <w:szCs w:val="20"/>
              </w:rPr>
              <w:t>2008)</w:t>
            </w:r>
            <w:r>
              <w:rPr>
                <w:rFonts w:cs="Times New Roman"/>
                <w:sz w:val="20"/>
                <w:szCs w:val="20"/>
                <w:vertAlign w:val="superscript"/>
              </w:rPr>
              <w:t>2</w:t>
            </w:r>
            <w:proofErr w:type="gramEnd"/>
          </w:p>
        </w:tc>
        <w:tc>
          <w:tcPr>
            <w:tcW w:w="1134" w:type="dxa"/>
            <w:tcBorders>
              <w:top w:val="single" w:sz="8" w:space="0" w:color="auto"/>
              <w:left w:val="nil"/>
              <w:bottom w:val="single" w:sz="8" w:space="0" w:color="auto"/>
              <w:right w:val="nil"/>
            </w:tcBorders>
            <w:shd w:val="clear" w:color="auto" w:fill="auto"/>
            <w:vAlign w:val="center"/>
          </w:tcPr>
          <w:p w14:paraId="17659E78" w14:textId="77777777" w:rsidR="005A1D98" w:rsidRDefault="005A1D98" w:rsidP="005A1D98">
            <w:pPr>
              <w:spacing w:before="50" w:after="50"/>
              <w:ind w:left="-108"/>
              <w:jc w:val="center"/>
              <w:rPr>
                <w:rFonts w:cs="Times New Roman"/>
                <w:sz w:val="20"/>
                <w:szCs w:val="20"/>
              </w:rPr>
            </w:pPr>
            <w:r>
              <w:rPr>
                <w:rFonts w:cs="Times New Roman"/>
                <w:sz w:val="20"/>
                <w:szCs w:val="20"/>
              </w:rPr>
              <w:t>Young</w:t>
            </w:r>
          </w:p>
          <w:p w14:paraId="307D19B7"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(24)</w:t>
            </w:r>
          </w:p>
        </w:tc>
        <w:tc>
          <w:tcPr>
            <w:tcW w:w="850" w:type="dxa"/>
            <w:tcBorders>
              <w:top w:val="single" w:sz="8" w:space="0" w:color="auto"/>
              <w:left w:val="nil"/>
              <w:bottom w:val="single" w:sz="8" w:space="0" w:color="auto"/>
              <w:right w:val="nil"/>
            </w:tcBorders>
            <w:shd w:val="clear" w:color="auto" w:fill="auto"/>
            <w:vAlign w:val="center"/>
          </w:tcPr>
          <w:p w14:paraId="4A505D31"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M</w:t>
            </w:r>
          </w:p>
        </w:tc>
        <w:tc>
          <w:tcPr>
            <w:tcW w:w="1276" w:type="dxa"/>
            <w:tcBorders>
              <w:top w:val="single" w:sz="8" w:space="0" w:color="auto"/>
              <w:left w:val="nil"/>
              <w:bottom w:val="single" w:sz="8" w:space="0" w:color="auto"/>
              <w:right w:val="nil"/>
            </w:tcBorders>
            <w:shd w:val="clear" w:color="auto" w:fill="auto"/>
            <w:vAlign w:val="center"/>
          </w:tcPr>
          <w:p w14:paraId="0814073B" w14:textId="77777777" w:rsidR="005A1D98" w:rsidRDefault="005A1D98" w:rsidP="005A1D98">
            <w:pPr>
              <w:spacing w:before="50" w:after="50"/>
              <w:ind w:left="-108"/>
              <w:jc w:val="center"/>
              <w:rPr>
                <w:rFonts w:cs="Times New Roman"/>
                <w:sz w:val="20"/>
                <w:szCs w:val="20"/>
              </w:rPr>
            </w:pPr>
            <w:r w:rsidRPr="006900B2">
              <w:rPr>
                <w:rFonts w:cs="Times New Roman"/>
                <w:sz w:val="20"/>
                <w:szCs w:val="20"/>
              </w:rPr>
              <w:t>&lt;1500</w:t>
            </w:r>
          </w:p>
          <w:p w14:paraId="03662187"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(87)</w:t>
            </w:r>
          </w:p>
        </w:tc>
        <w:tc>
          <w:tcPr>
            <w:tcW w:w="992" w:type="dxa"/>
            <w:tcBorders>
              <w:top w:val="single" w:sz="8" w:space="0" w:color="auto"/>
              <w:left w:val="nil"/>
              <w:bottom w:val="single" w:sz="8" w:space="0" w:color="auto"/>
              <w:right w:val="nil"/>
            </w:tcBorders>
            <w:shd w:val="clear" w:color="auto" w:fill="auto"/>
            <w:vAlign w:val="center"/>
          </w:tcPr>
          <w:p w14:paraId="0020E946"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14</w:t>
            </w:r>
          </w:p>
        </w:tc>
        <w:tc>
          <w:tcPr>
            <w:tcW w:w="851" w:type="dxa"/>
            <w:tcBorders>
              <w:top w:val="single" w:sz="8" w:space="0" w:color="auto"/>
              <w:left w:val="nil"/>
              <w:bottom w:val="single" w:sz="8" w:space="0" w:color="auto"/>
              <w:right w:val="nil"/>
            </w:tcBorders>
            <w:shd w:val="clear" w:color="auto" w:fill="auto"/>
            <w:vAlign w:val="center"/>
          </w:tcPr>
          <w:p w14:paraId="09A1E2DF" w14:textId="77777777" w:rsidR="005A1D98" w:rsidRPr="006900B2" w:rsidRDefault="005A1D98" w:rsidP="005A1D98">
            <w:pPr>
              <w:spacing w:before="50" w:after="50"/>
              <w:ind w:left="-108"/>
              <w:jc w:val="center"/>
              <w:rPr>
                <w:rFonts w:cs="Times New Roman"/>
                <w:sz w:val="20"/>
                <w:szCs w:val="20"/>
              </w:rPr>
            </w:pPr>
            <w:r w:rsidRPr="006900B2">
              <w:rPr>
                <w:sz w:val="20"/>
                <w:szCs w:val="20"/>
              </w:rPr>
              <w:t xml:space="preserve">↓ </w:t>
            </w:r>
            <w:r w:rsidRPr="006900B2">
              <w:rPr>
                <w:rFonts w:cs="Times New Roman"/>
                <w:sz w:val="20"/>
                <w:szCs w:val="20"/>
              </w:rPr>
              <w:t>2.2</w:t>
            </w:r>
            <w:r>
              <w:rPr>
                <w:rFonts w:cs="Times New Roman"/>
                <w:sz w:val="20"/>
                <w:szCs w:val="20"/>
              </w:rPr>
              <w:t xml:space="preserve"> (body)</w:t>
            </w:r>
          </w:p>
        </w:tc>
        <w:tc>
          <w:tcPr>
            <w:tcW w:w="1134" w:type="dxa"/>
            <w:tcBorders>
              <w:top w:val="single" w:sz="8" w:space="0" w:color="auto"/>
              <w:left w:val="nil"/>
              <w:bottom w:val="single" w:sz="8" w:space="0" w:color="auto"/>
              <w:right w:val="nil"/>
            </w:tcBorders>
            <w:shd w:val="clear" w:color="auto" w:fill="auto"/>
            <w:vAlign w:val="center"/>
          </w:tcPr>
          <w:p w14:paraId="22894095"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w:t>
            </w:r>
          </w:p>
        </w:tc>
        <w:tc>
          <w:tcPr>
            <w:tcW w:w="3827" w:type="dxa"/>
            <w:tcBorders>
              <w:top w:val="single" w:sz="8" w:space="0" w:color="auto"/>
              <w:left w:val="nil"/>
              <w:bottom w:val="single" w:sz="8" w:space="0" w:color="auto"/>
              <w:right w:val="nil"/>
            </w:tcBorders>
            <w:shd w:val="clear" w:color="auto" w:fill="auto"/>
            <w:vAlign w:val="center"/>
          </w:tcPr>
          <w:p w14:paraId="067F657F" w14:textId="77777777" w:rsidR="005A1D98" w:rsidRPr="006900B2" w:rsidRDefault="005A1D98" w:rsidP="005A1D98">
            <w:pPr>
              <w:spacing w:before="50" w:after="50"/>
              <w:ind w:left="-108"/>
              <w:jc w:val="center"/>
              <w:rPr>
                <w:sz w:val="20"/>
                <w:szCs w:val="20"/>
              </w:rPr>
            </w:pPr>
            <w:r w:rsidRPr="006900B2">
              <w:rPr>
                <w:sz w:val="20"/>
                <w:szCs w:val="20"/>
              </w:rPr>
              <w:t xml:space="preserve">↑ </w:t>
            </w:r>
            <w:r>
              <w:rPr>
                <w:rFonts w:cs="Times New Roman"/>
                <w:sz w:val="20"/>
                <w:szCs w:val="20"/>
              </w:rPr>
              <w:t>57</w:t>
            </w:r>
            <w:r w:rsidRPr="006900B2">
              <w:rPr>
                <w:rFonts w:cs="Times New Roman"/>
                <w:sz w:val="20"/>
                <w:szCs w:val="20"/>
              </w:rPr>
              <w:t>% insulin AUC (OGTT)</w:t>
            </w:r>
          </w:p>
        </w:tc>
        <w:tc>
          <w:tcPr>
            <w:tcW w:w="1276" w:type="dxa"/>
            <w:tcBorders>
              <w:top w:val="single" w:sz="8" w:space="0" w:color="auto"/>
              <w:left w:val="nil"/>
              <w:bottom w:val="single" w:sz="8" w:space="0" w:color="auto"/>
              <w:right w:val="nil"/>
            </w:tcBorders>
            <w:shd w:val="clear" w:color="auto" w:fill="auto"/>
            <w:vAlign w:val="center"/>
          </w:tcPr>
          <w:p w14:paraId="60656767" w14:textId="77777777" w:rsidR="005A1D98" w:rsidRPr="006900B2" w:rsidRDefault="005A1D98" w:rsidP="005A1D98">
            <w:pPr>
              <w:spacing w:before="50" w:after="50"/>
              <w:ind w:left="-108"/>
              <w:jc w:val="center"/>
              <w:rPr>
                <w:rFonts w:cs="Times New Roman"/>
                <w:sz w:val="20"/>
                <w:szCs w:val="20"/>
              </w:rPr>
            </w:pPr>
            <w:r w:rsidRPr="006900B2">
              <w:rPr>
                <w:sz w:val="20"/>
                <w:szCs w:val="20"/>
              </w:rPr>
              <w:t>↑</w:t>
            </w:r>
            <w:r>
              <w:rPr>
                <w:rFonts w:cs="Times New Roman"/>
                <w:sz w:val="20"/>
                <w:szCs w:val="20"/>
              </w:rPr>
              <w:t xml:space="preserve"> 7% IAFM</w:t>
            </w:r>
          </w:p>
          <w:p w14:paraId="2D3CCDB2" w14:textId="77777777" w:rsidR="005A1D98" w:rsidRPr="006900B2" w:rsidRDefault="005A1D98" w:rsidP="005A1D98">
            <w:pPr>
              <w:spacing w:before="50" w:after="50"/>
              <w:ind w:left="-108"/>
              <w:jc w:val="center"/>
              <w:rPr>
                <w:sz w:val="20"/>
                <w:szCs w:val="20"/>
              </w:rPr>
            </w:pPr>
            <w:r w:rsidRPr="006900B2">
              <w:rPr>
                <w:sz w:val="20"/>
                <w:szCs w:val="20"/>
              </w:rPr>
              <w:t xml:space="preserve">↑ </w:t>
            </w:r>
            <w:r>
              <w:rPr>
                <w:rFonts w:cs="Times New Roman"/>
                <w:sz w:val="20"/>
                <w:szCs w:val="20"/>
              </w:rPr>
              <w:t>21</w:t>
            </w:r>
            <w:r w:rsidRPr="006900B2">
              <w:rPr>
                <w:rFonts w:cs="Times New Roman"/>
                <w:sz w:val="20"/>
                <w:szCs w:val="20"/>
              </w:rPr>
              <w:t xml:space="preserve">% </w:t>
            </w:r>
            <w:r>
              <w:rPr>
                <w:rFonts w:cs="Times New Roman"/>
                <w:sz w:val="20"/>
                <w:szCs w:val="20"/>
              </w:rPr>
              <w:t>plasma TG</w:t>
            </w:r>
            <w:r w:rsidRPr="006900B2">
              <w:rPr>
                <w:rFonts w:cs="Times New Roman"/>
                <w:sz w:val="20"/>
                <w:szCs w:val="20"/>
              </w:rPr>
              <w:t xml:space="preserve"> (OFTT)</w:t>
            </w:r>
          </w:p>
        </w:tc>
      </w:tr>
      <w:tr w:rsidR="00935C80" w:rsidRPr="006900B2" w14:paraId="225BE241" w14:textId="77777777" w:rsidTr="00935C80">
        <w:tc>
          <w:tcPr>
            <w:tcW w:w="1418" w:type="dxa"/>
            <w:tcBorders>
              <w:top w:val="single" w:sz="8" w:space="0" w:color="auto"/>
              <w:left w:val="nil"/>
              <w:bottom w:val="single" w:sz="8" w:space="0" w:color="auto"/>
              <w:right w:val="nil"/>
            </w:tcBorders>
            <w:shd w:val="clear" w:color="auto" w:fill="auto"/>
            <w:vAlign w:val="center"/>
          </w:tcPr>
          <w:p w14:paraId="3133AC83" w14:textId="77777777" w:rsidR="005A1D98" w:rsidRPr="006900B2" w:rsidRDefault="005A1D98" w:rsidP="005A1D98">
            <w:pPr>
              <w:spacing w:before="50" w:after="50"/>
              <w:ind w:left="-108"/>
              <w:rPr>
                <w:rFonts w:cs="Times New Roman"/>
                <w:sz w:val="20"/>
                <w:szCs w:val="20"/>
              </w:rPr>
            </w:pPr>
            <w:r>
              <w:rPr>
                <w:rFonts w:cs="Times New Roman"/>
                <w:sz w:val="20"/>
                <w:szCs w:val="20"/>
              </w:rPr>
              <w:t>Krogh-Madsen et al. (2010</w:t>
            </w:r>
            <w:r w:rsidRPr="006900B2">
              <w:rPr>
                <w:rFonts w:cs="Times New Roman"/>
                <w:sz w:val="20"/>
                <w:szCs w:val="20"/>
              </w:rPr>
              <w:t>)</w:t>
            </w:r>
          </w:p>
        </w:tc>
        <w:tc>
          <w:tcPr>
            <w:tcW w:w="1134" w:type="dxa"/>
            <w:tcBorders>
              <w:top w:val="single" w:sz="8" w:space="0" w:color="auto"/>
              <w:left w:val="nil"/>
              <w:bottom w:val="single" w:sz="8" w:space="0" w:color="auto"/>
              <w:right w:val="nil"/>
            </w:tcBorders>
            <w:shd w:val="clear" w:color="auto" w:fill="auto"/>
            <w:vAlign w:val="center"/>
          </w:tcPr>
          <w:p w14:paraId="266DE2AD" w14:textId="77777777" w:rsidR="005A1D98" w:rsidRDefault="005A1D98" w:rsidP="005A1D98">
            <w:pPr>
              <w:spacing w:before="50" w:after="50"/>
              <w:ind w:left="-108"/>
              <w:jc w:val="center"/>
              <w:rPr>
                <w:rFonts w:cs="Times New Roman"/>
                <w:sz w:val="20"/>
                <w:szCs w:val="20"/>
              </w:rPr>
            </w:pPr>
            <w:r>
              <w:rPr>
                <w:rFonts w:cs="Times New Roman"/>
                <w:sz w:val="20"/>
                <w:szCs w:val="20"/>
              </w:rPr>
              <w:t>Young</w:t>
            </w:r>
          </w:p>
          <w:p w14:paraId="609DCC74"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(24)</w:t>
            </w:r>
          </w:p>
        </w:tc>
        <w:tc>
          <w:tcPr>
            <w:tcW w:w="850" w:type="dxa"/>
            <w:tcBorders>
              <w:top w:val="single" w:sz="8" w:space="0" w:color="auto"/>
              <w:left w:val="nil"/>
              <w:bottom w:val="single" w:sz="8" w:space="0" w:color="auto"/>
              <w:right w:val="nil"/>
            </w:tcBorders>
            <w:shd w:val="clear" w:color="auto" w:fill="auto"/>
            <w:vAlign w:val="center"/>
          </w:tcPr>
          <w:p w14:paraId="20B97488"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M</w:t>
            </w:r>
          </w:p>
        </w:tc>
        <w:tc>
          <w:tcPr>
            <w:tcW w:w="1276" w:type="dxa"/>
            <w:tcBorders>
              <w:top w:val="single" w:sz="8" w:space="0" w:color="auto"/>
              <w:left w:val="nil"/>
              <w:bottom w:val="single" w:sz="8" w:space="0" w:color="auto"/>
              <w:right w:val="nil"/>
            </w:tcBorders>
            <w:shd w:val="clear" w:color="auto" w:fill="auto"/>
            <w:vAlign w:val="center"/>
          </w:tcPr>
          <w:p w14:paraId="05B83896" w14:textId="77777777" w:rsidR="005A1D98" w:rsidRDefault="005A1D98" w:rsidP="005A1D98">
            <w:pPr>
              <w:spacing w:before="50" w:after="50"/>
              <w:ind w:left="-108"/>
              <w:jc w:val="center"/>
              <w:rPr>
                <w:rFonts w:cs="Times New Roman"/>
                <w:sz w:val="20"/>
                <w:szCs w:val="20"/>
              </w:rPr>
            </w:pPr>
            <w:r w:rsidRPr="006900B2">
              <w:rPr>
                <w:rFonts w:cs="Times New Roman"/>
                <w:sz w:val="20"/>
                <w:szCs w:val="20"/>
              </w:rPr>
              <w:t>&lt;</w:t>
            </w:r>
            <w:r>
              <w:rPr>
                <w:rFonts w:cs="Times New Roman"/>
                <w:sz w:val="20"/>
                <w:szCs w:val="20"/>
              </w:rPr>
              <w:t>1500</w:t>
            </w:r>
          </w:p>
          <w:p w14:paraId="075F884B"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w:t>
            </w:r>
            <w:r w:rsidRPr="006900B2">
              <w:rPr>
                <w:rFonts w:cs="Times New Roman"/>
                <w:sz w:val="20"/>
                <w:szCs w:val="20"/>
              </w:rPr>
              <w:t>&gt;85</w:t>
            </w:r>
            <w:r>
              <w:rPr>
                <w:rFonts w:cs="Times New Roman"/>
                <w:sz w:val="20"/>
                <w:szCs w:val="20"/>
              </w:rPr>
              <w:t>)</w:t>
            </w:r>
          </w:p>
        </w:tc>
        <w:tc>
          <w:tcPr>
            <w:tcW w:w="992" w:type="dxa"/>
            <w:tcBorders>
              <w:top w:val="single" w:sz="8" w:space="0" w:color="auto"/>
              <w:left w:val="nil"/>
              <w:bottom w:val="single" w:sz="8" w:space="0" w:color="auto"/>
              <w:right w:val="nil"/>
            </w:tcBorders>
            <w:shd w:val="clear" w:color="auto" w:fill="auto"/>
            <w:vAlign w:val="center"/>
          </w:tcPr>
          <w:p w14:paraId="76FC68C1"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14</w:t>
            </w:r>
          </w:p>
        </w:tc>
        <w:tc>
          <w:tcPr>
            <w:tcW w:w="851" w:type="dxa"/>
            <w:tcBorders>
              <w:top w:val="single" w:sz="8" w:space="0" w:color="auto"/>
              <w:left w:val="nil"/>
              <w:bottom w:val="single" w:sz="8" w:space="0" w:color="auto"/>
              <w:right w:val="nil"/>
            </w:tcBorders>
            <w:shd w:val="clear" w:color="auto" w:fill="auto"/>
            <w:vAlign w:val="center"/>
          </w:tcPr>
          <w:p w14:paraId="4C4BA734" w14:textId="77777777" w:rsidR="005A1D98" w:rsidRPr="006900B2" w:rsidRDefault="005A1D98" w:rsidP="005A1D98">
            <w:pPr>
              <w:spacing w:before="50" w:after="50"/>
              <w:ind w:left="-108"/>
              <w:jc w:val="center"/>
              <w:rPr>
                <w:rFonts w:cs="Times New Roman"/>
                <w:sz w:val="20"/>
                <w:szCs w:val="20"/>
              </w:rPr>
            </w:pPr>
            <w:r w:rsidRPr="006900B2">
              <w:rPr>
                <w:sz w:val="20"/>
                <w:szCs w:val="20"/>
              </w:rPr>
              <w:t xml:space="preserve">↓ </w:t>
            </w:r>
            <w:r w:rsidRPr="006900B2">
              <w:rPr>
                <w:rFonts w:cs="Times New Roman"/>
                <w:sz w:val="20"/>
                <w:szCs w:val="20"/>
              </w:rPr>
              <w:t>2.8 (leg)</w:t>
            </w:r>
          </w:p>
        </w:tc>
        <w:tc>
          <w:tcPr>
            <w:tcW w:w="1134" w:type="dxa"/>
            <w:tcBorders>
              <w:top w:val="single" w:sz="8" w:space="0" w:color="auto"/>
              <w:left w:val="nil"/>
              <w:bottom w:val="single" w:sz="8" w:space="0" w:color="auto"/>
              <w:right w:val="nil"/>
            </w:tcBorders>
            <w:shd w:val="clear" w:color="auto" w:fill="auto"/>
            <w:vAlign w:val="center"/>
          </w:tcPr>
          <w:p w14:paraId="0D5A4FBC"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w:t>
            </w:r>
          </w:p>
        </w:tc>
        <w:tc>
          <w:tcPr>
            <w:tcW w:w="3827" w:type="dxa"/>
            <w:tcBorders>
              <w:top w:val="single" w:sz="8" w:space="0" w:color="auto"/>
              <w:left w:val="nil"/>
              <w:bottom w:val="single" w:sz="8" w:space="0" w:color="auto"/>
              <w:right w:val="nil"/>
            </w:tcBorders>
            <w:shd w:val="clear" w:color="auto" w:fill="auto"/>
            <w:vAlign w:val="center"/>
          </w:tcPr>
          <w:p w14:paraId="5CB18A9B" w14:textId="77777777" w:rsidR="005A1D98" w:rsidRPr="006900B2" w:rsidRDefault="005A1D98" w:rsidP="005A1D98">
            <w:pPr>
              <w:spacing w:before="50" w:after="50"/>
              <w:ind w:left="-108"/>
              <w:jc w:val="center"/>
              <w:rPr>
                <w:rFonts w:cs="Times New Roman"/>
                <w:sz w:val="20"/>
                <w:szCs w:val="20"/>
              </w:rPr>
            </w:pPr>
            <w:r w:rsidRPr="006900B2">
              <w:rPr>
                <w:sz w:val="20"/>
                <w:szCs w:val="20"/>
              </w:rPr>
              <w:t>↓ 17% GIR (</w:t>
            </w:r>
            <w:r>
              <w:rPr>
                <w:sz w:val="20"/>
                <w:szCs w:val="20"/>
              </w:rPr>
              <w:t xml:space="preserve">H-E </w:t>
            </w:r>
            <w:r w:rsidRPr="006900B2">
              <w:rPr>
                <w:sz w:val="20"/>
                <w:szCs w:val="20"/>
              </w:rPr>
              <w:t>clamp)</w:t>
            </w:r>
          </w:p>
        </w:tc>
        <w:tc>
          <w:tcPr>
            <w:tcW w:w="1276" w:type="dxa"/>
            <w:tcBorders>
              <w:top w:val="single" w:sz="8" w:space="0" w:color="auto"/>
              <w:left w:val="nil"/>
              <w:bottom w:val="single" w:sz="8" w:space="0" w:color="auto"/>
              <w:right w:val="nil"/>
            </w:tcBorders>
            <w:shd w:val="clear" w:color="auto" w:fill="auto"/>
            <w:vAlign w:val="center"/>
          </w:tcPr>
          <w:p w14:paraId="221F35B3" w14:textId="77777777" w:rsidR="005A1D98" w:rsidRPr="006900B2" w:rsidRDefault="005A1D98" w:rsidP="005A1D98">
            <w:pPr>
              <w:spacing w:before="50" w:after="50"/>
              <w:ind w:left="-108"/>
              <w:jc w:val="center"/>
              <w:rPr>
                <w:rFonts w:cs="Times New Roman"/>
                <w:sz w:val="20"/>
                <w:szCs w:val="20"/>
              </w:rPr>
            </w:pPr>
            <w:r w:rsidRPr="006900B2">
              <w:rPr>
                <w:sz w:val="20"/>
                <w:szCs w:val="20"/>
              </w:rPr>
              <w:t xml:space="preserve">↓ </w:t>
            </w:r>
            <w:r>
              <w:rPr>
                <w:rFonts w:cs="Times New Roman"/>
                <w:sz w:val="20"/>
                <w:szCs w:val="20"/>
              </w:rPr>
              <w:t>7</w:t>
            </w:r>
            <w:r w:rsidRPr="006900B2">
              <w:rPr>
                <w:rFonts w:cs="Times New Roman"/>
                <w:sz w:val="20"/>
                <w:szCs w:val="20"/>
              </w:rPr>
              <w:t xml:space="preserve">% rel. </w:t>
            </w:r>
            <w:r w:rsidRPr="00537663">
              <w:rPr>
                <w:rFonts w:cs="Times New Roman"/>
                <w:sz w:val="20"/>
                <w:lang w:val="en-US"/>
              </w:rPr>
              <w:t>V̇</w:t>
            </w:r>
            <w:r w:rsidRPr="006900B2">
              <w:rPr>
                <w:rFonts w:cs="Times New Roman"/>
                <w:sz w:val="20"/>
                <w:szCs w:val="20"/>
              </w:rPr>
              <w:t>O</w:t>
            </w:r>
            <w:r w:rsidRPr="006900B2">
              <w:rPr>
                <w:rFonts w:cs="Times New Roman"/>
                <w:sz w:val="20"/>
                <w:szCs w:val="20"/>
                <w:vertAlign w:val="subscript"/>
              </w:rPr>
              <w:t>2</w:t>
            </w:r>
            <w:r w:rsidRPr="006900B2">
              <w:rPr>
                <w:rFonts w:cs="Times New Roman"/>
                <w:sz w:val="20"/>
                <w:szCs w:val="20"/>
              </w:rPr>
              <w:t>max</w:t>
            </w:r>
          </w:p>
        </w:tc>
      </w:tr>
      <w:tr w:rsidR="00935C80" w:rsidRPr="006900B2" w14:paraId="5D08B96C" w14:textId="77777777" w:rsidTr="00935C80">
        <w:tc>
          <w:tcPr>
            <w:tcW w:w="1418" w:type="dxa"/>
            <w:tcBorders>
              <w:top w:val="single" w:sz="8" w:space="0" w:color="auto"/>
              <w:left w:val="nil"/>
              <w:bottom w:val="single" w:sz="8" w:space="0" w:color="auto"/>
              <w:right w:val="nil"/>
            </w:tcBorders>
            <w:shd w:val="clear" w:color="auto" w:fill="auto"/>
            <w:vAlign w:val="center"/>
          </w:tcPr>
          <w:p w14:paraId="3A03A35E" w14:textId="77777777" w:rsidR="005A1D98" w:rsidRPr="006900B2" w:rsidRDefault="005A1D98" w:rsidP="005A1D98">
            <w:pPr>
              <w:spacing w:before="50" w:after="50"/>
              <w:ind w:left="-108"/>
              <w:rPr>
                <w:rFonts w:cs="Times New Roman"/>
                <w:sz w:val="20"/>
                <w:szCs w:val="20"/>
              </w:rPr>
            </w:pPr>
            <w:r w:rsidRPr="006900B2">
              <w:rPr>
                <w:rFonts w:cs="Times New Roman"/>
                <w:sz w:val="20"/>
                <w:szCs w:val="20"/>
              </w:rPr>
              <w:t>Mikus et al. (2011)</w:t>
            </w:r>
          </w:p>
        </w:tc>
        <w:tc>
          <w:tcPr>
            <w:tcW w:w="1134" w:type="dxa"/>
            <w:tcBorders>
              <w:top w:val="single" w:sz="8" w:space="0" w:color="auto"/>
              <w:left w:val="nil"/>
              <w:bottom w:val="single" w:sz="8" w:space="0" w:color="auto"/>
              <w:right w:val="nil"/>
            </w:tcBorders>
            <w:shd w:val="clear" w:color="auto" w:fill="auto"/>
            <w:vAlign w:val="center"/>
          </w:tcPr>
          <w:p w14:paraId="389F1920" w14:textId="77777777" w:rsidR="005A1D98" w:rsidRDefault="005A1D98" w:rsidP="005A1D98">
            <w:pPr>
              <w:spacing w:before="50" w:after="50"/>
              <w:ind w:left="-108"/>
              <w:jc w:val="center"/>
              <w:rPr>
                <w:rFonts w:cs="Times New Roman"/>
                <w:sz w:val="20"/>
                <w:szCs w:val="20"/>
              </w:rPr>
            </w:pPr>
            <w:r>
              <w:rPr>
                <w:rFonts w:cs="Times New Roman"/>
                <w:sz w:val="20"/>
                <w:szCs w:val="20"/>
              </w:rPr>
              <w:t>Young</w:t>
            </w:r>
          </w:p>
          <w:p w14:paraId="4A93C182"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(29)</w:t>
            </w:r>
          </w:p>
        </w:tc>
        <w:tc>
          <w:tcPr>
            <w:tcW w:w="850" w:type="dxa"/>
            <w:tcBorders>
              <w:top w:val="single" w:sz="8" w:space="0" w:color="auto"/>
              <w:left w:val="nil"/>
              <w:bottom w:val="single" w:sz="8" w:space="0" w:color="auto"/>
              <w:right w:val="nil"/>
            </w:tcBorders>
            <w:shd w:val="clear" w:color="auto" w:fill="auto"/>
            <w:vAlign w:val="center"/>
          </w:tcPr>
          <w:p w14:paraId="21736CBF"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M/W</w:t>
            </w:r>
          </w:p>
        </w:tc>
        <w:tc>
          <w:tcPr>
            <w:tcW w:w="1276" w:type="dxa"/>
            <w:tcBorders>
              <w:top w:val="single" w:sz="8" w:space="0" w:color="auto"/>
              <w:left w:val="nil"/>
              <w:bottom w:val="single" w:sz="8" w:space="0" w:color="auto"/>
              <w:right w:val="nil"/>
            </w:tcBorders>
            <w:shd w:val="clear" w:color="auto" w:fill="auto"/>
            <w:vAlign w:val="center"/>
          </w:tcPr>
          <w:p w14:paraId="641FB107" w14:textId="77777777" w:rsidR="005A1D98" w:rsidRDefault="005A1D98" w:rsidP="005A1D98">
            <w:pPr>
              <w:spacing w:before="50" w:after="50"/>
              <w:ind w:left="-108"/>
              <w:jc w:val="center"/>
              <w:rPr>
                <w:rFonts w:cs="Times New Roman"/>
                <w:sz w:val="20"/>
                <w:szCs w:val="20"/>
              </w:rPr>
            </w:pPr>
            <w:r>
              <w:rPr>
                <w:rFonts w:cs="Times New Roman"/>
                <w:sz w:val="20"/>
                <w:szCs w:val="20"/>
              </w:rPr>
              <w:t>&lt;5000</w:t>
            </w:r>
          </w:p>
          <w:p w14:paraId="2ED74AFC"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(6</w:t>
            </w:r>
            <w:r w:rsidRPr="006900B2">
              <w:rPr>
                <w:rFonts w:cs="Times New Roman"/>
                <w:sz w:val="20"/>
                <w:szCs w:val="20"/>
              </w:rPr>
              <w:t>7</w:t>
            </w:r>
            <w:r>
              <w:rPr>
                <w:rFonts w:cs="Times New Roman"/>
                <w:sz w:val="20"/>
                <w:szCs w:val="20"/>
              </w:rPr>
              <w:t>)</w:t>
            </w:r>
          </w:p>
        </w:tc>
        <w:tc>
          <w:tcPr>
            <w:tcW w:w="992" w:type="dxa"/>
            <w:tcBorders>
              <w:top w:val="single" w:sz="8" w:space="0" w:color="auto"/>
              <w:left w:val="nil"/>
              <w:bottom w:val="single" w:sz="8" w:space="0" w:color="auto"/>
              <w:right w:val="nil"/>
            </w:tcBorders>
            <w:shd w:val="clear" w:color="auto" w:fill="auto"/>
            <w:vAlign w:val="center"/>
          </w:tcPr>
          <w:p w14:paraId="14647F8A"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3</w:t>
            </w:r>
          </w:p>
        </w:tc>
        <w:tc>
          <w:tcPr>
            <w:tcW w:w="851" w:type="dxa"/>
            <w:tcBorders>
              <w:top w:val="single" w:sz="8" w:space="0" w:color="auto"/>
              <w:left w:val="nil"/>
              <w:bottom w:val="single" w:sz="8" w:space="0" w:color="auto"/>
              <w:right w:val="nil"/>
            </w:tcBorders>
            <w:shd w:val="clear" w:color="auto" w:fill="auto"/>
            <w:vAlign w:val="center"/>
          </w:tcPr>
          <w:p w14:paraId="6E7D8A60"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w:t>
            </w:r>
          </w:p>
        </w:tc>
        <w:tc>
          <w:tcPr>
            <w:tcW w:w="1134" w:type="dxa"/>
            <w:tcBorders>
              <w:top w:val="single" w:sz="8" w:space="0" w:color="auto"/>
              <w:left w:val="nil"/>
              <w:bottom w:val="single" w:sz="8" w:space="0" w:color="auto"/>
              <w:right w:val="nil"/>
            </w:tcBorders>
            <w:shd w:val="clear" w:color="auto" w:fill="auto"/>
            <w:vAlign w:val="center"/>
          </w:tcPr>
          <w:p w14:paraId="61327C62" w14:textId="77777777" w:rsidR="005A1D98" w:rsidRPr="006900B2" w:rsidRDefault="005A1D98" w:rsidP="005A1D98">
            <w:pPr>
              <w:spacing w:before="50" w:after="50"/>
              <w:ind w:left="-108"/>
              <w:jc w:val="center"/>
              <w:rPr>
                <w:rFonts w:cs="Times New Roman"/>
                <w:sz w:val="20"/>
                <w:szCs w:val="20"/>
              </w:rPr>
            </w:pPr>
            <w:r w:rsidRPr="006900B2">
              <w:rPr>
                <w:rFonts w:cs="Times New Roman"/>
                <w:sz w:val="20"/>
                <w:szCs w:val="20"/>
              </w:rPr>
              <w:t>-</w:t>
            </w:r>
          </w:p>
        </w:tc>
        <w:tc>
          <w:tcPr>
            <w:tcW w:w="3827" w:type="dxa"/>
            <w:tcBorders>
              <w:top w:val="single" w:sz="8" w:space="0" w:color="auto"/>
              <w:left w:val="nil"/>
              <w:bottom w:val="single" w:sz="8" w:space="0" w:color="auto"/>
              <w:right w:val="nil"/>
            </w:tcBorders>
            <w:shd w:val="clear" w:color="auto" w:fill="auto"/>
            <w:vAlign w:val="center"/>
          </w:tcPr>
          <w:p w14:paraId="68DAB103" w14:textId="77777777" w:rsidR="005A1D98" w:rsidRDefault="005A1D98" w:rsidP="005A1D98">
            <w:pPr>
              <w:spacing w:before="50" w:after="50"/>
              <w:ind w:left="-108"/>
              <w:jc w:val="center"/>
              <w:rPr>
                <w:rFonts w:cs="Times New Roman"/>
                <w:sz w:val="20"/>
                <w:szCs w:val="20"/>
              </w:rPr>
            </w:pPr>
            <w:r w:rsidRPr="006900B2">
              <w:rPr>
                <w:sz w:val="20"/>
                <w:szCs w:val="20"/>
              </w:rPr>
              <w:t>↑</w:t>
            </w:r>
            <w:r>
              <w:rPr>
                <w:rFonts w:cs="Times New Roman"/>
                <w:sz w:val="20"/>
                <w:szCs w:val="20"/>
              </w:rPr>
              <w:t>30-50% ∆PPG</w:t>
            </w:r>
            <w:r w:rsidRPr="006900B2">
              <w:rPr>
                <w:rFonts w:cs="Times New Roman"/>
                <w:sz w:val="20"/>
                <w:szCs w:val="20"/>
              </w:rPr>
              <w:t xml:space="preserve">, </w:t>
            </w:r>
            <w:r w:rsidRPr="006900B2">
              <w:rPr>
                <w:sz w:val="20"/>
                <w:szCs w:val="20"/>
              </w:rPr>
              <w:t>↑</w:t>
            </w:r>
            <w:r>
              <w:rPr>
                <w:rFonts w:cs="Times New Roman"/>
                <w:sz w:val="20"/>
                <w:szCs w:val="20"/>
              </w:rPr>
              <w:t xml:space="preserve"> 26% peak PPG (CGMS)</w:t>
            </w:r>
          </w:p>
          <w:p w14:paraId="28C5B222" w14:textId="77777777" w:rsidR="005A1D98" w:rsidRPr="006900B2" w:rsidRDefault="005A1D98" w:rsidP="005A1D98">
            <w:pPr>
              <w:spacing w:before="50" w:after="50"/>
              <w:ind w:left="-108"/>
              <w:jc w:val="center"/>
              <w:rPr>
                <w:rFonts w:cs="Times New Roman"/>
                <w:sz w:val="20"/>
                <w:szCs w:val="20"/>
              </w:rPr>
            </w:pPr>
            <w:r w:rsidRPr="006900B2">
              <w:rPr>
                <w:sz w:val="20"/>
                <w:szCs w:val="20"/>
              </w:rPr>
              <w:t>↓</w:t>
            </w:r>
            <w:r w:rsidRPr="006900B2">
              <w:rPr>
                <w:rFonts w:cs="Times New Roman"/>
                <w:sz w:val="20"/>
                <w:szCs w:val="20"/>
              </w:rPr>
              <w:t xml:space="preserve">30.5% ISI, </w:t>
            </w:r>
            <w:r w:rsidRPr="006900B2">
              <w:rPr>
                <w:sz w:val="20"/>
                <w:szCs w:val="20"/>
              </w:rPr>
              <w:t xml:space="preserve">↑ </w:t>
            </w:r>
            <w:r>
              <w:rPr>
                <w:rFonts w:cs="Times New Roman"/>
                <w:sz w:val="20"/>
                <w:szCs w:val="20"/>
              </w:rPr>
              <w:t>49.4% HOMA</w:t>
            </w:r>
            <w:r w:rsidRPr="006900B2">
              <w:rPr>
                <w:rFonts w:cs="Times New Roman"/>
                <w:sz w:val="20"/>
                <w:szCs w:val="20"/>
              </w:rPr>
              <w:t>-IR (OGTT)</w:t>
            </w:r>
          </w:p>
        </w:tc>
        <w:tc>
          <w:tcPr>
            <w:tcW w:w="1276" w:type="dxa"/>
            <w:tcBorders>
              <w:top w:val="single" w:sz="8" w:space="0" w:color="auto"/>
              <w:left w:val="nil"/>
              <w:bottom w:val="single" w:sz="8" w:space="0" w:color="auto"/>
              <w:right w:val="nil"/>
            </w:tcBorders>
            <w:shd w:val="clear" w:color="auto" w:fill="auto"/>
            <w:vAlign w:val="center"/>
          </w:tcPr>
          <w:p w14:paraId="434F875C"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w:t>
            </w:r>
          </w:p>
        </w:tc>
      </w:tr>
      <w:tr w:rsidR="00935C80" w:rsidRPr="006900B2" w14:paraId="27626317" w14:textId="77777777" w:rsidTr="00935C80">
        <w:tc>
          <w:tcPr>
            <w:tcW w:w="1418" w:type="dxa"/>
            <w:tcBorders>
              <w:top w:val="single" w:sz="8" w:space="0" w:color="auto"/>
              <w:left w:val="nil"/>
              <w:bottom w:val="single" w:sz="8" w:space="0" w:color="auto"/>
              <w:right w:val="nil"/>
            </w:tcBorders>
            <w:shd w:val="clear" w:color="auto" w:fill="auto"/>
            <w:vAlign w:val="center"/>
          </w:tcPr>
          <w:p w14:paraId="32BE5EBE" w14:textId="77777777" w:rsidR="005A1D98" w:rsidRPr="006900B2" w:rsidRDefault="005A1D98" w:rsidP="005A1D98">
            <w:pPr>
              <w:spacing w:before="50" w:after="50"/>
              <w:ind w:left="-108"/>
              <w:rPr>
                <w:rFonts w:cs="Times New Roman"/>
                <w:sz w:val="20"/>
                <w:szCs w:val="20"/>
              </w:rPr>
            </w:pPr>
            <w:r>
              <w:rPr>
                <w:rFonts w:cs="Times New Roman"/>
                <w:sz w:val="20"/>
                <w:szCs w:val="20"/>
              </w:rPr>
              <w:t>Knudsen et al. (2012)*</w:t>
            </w:r>
          </w:p>
        </w:tc>
        <w:tc>
          <w:tcPr>
            <w:tcW w:w="1134" w:type="dxa"/>
            <w:tcBorders>
              <w:top w:val="single" w:sz="8" w:space="0" w:color="auto"/>
              <w:left w:val="nil"/>
              <w:bottom w:val="single" w:sz="8" w:space="0" w:color="auto"/>
              <w:right w:val="nil"/>
            </w:tcBorders>
            <w:shd w:val="clear" w:color="auto" w:fill="auto"/>
            <w:vAlign w:val="center"/>
          </w:tcPr>
          <w:p w14:paraId="4C457830" w14:textId="77777777" w:rsidR="005A1D98" w:rsidRDefault="005A1D98" w:rsidP="005A1D98">
            <w:pPr>
              <w:spacing w:before="50" w:after="50"/>
              <w:ind w:left="-108"/>
              <w:jc w:val="center"/>
              <w:rPr>
                <w:rFonts w:cs="Times New Roman"/>
                <w:sz w:val="20"/>
                <w:szCs w:val="20"/>
              </w:rPr>
            </w:pPr>
            <w:r>
              <w:rPr>
                <w:rFonts w:cs="Times New Roman"/>
                <w:sz w:val="20"/>
                <w:szCs w:val="20"/>
              </w:rPr>
              <w:t>Young</w:t>
            </w:r>
          </w:p>
          <w:p w14:paraId="2020A920"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(24)</w:t>
            </w:r>
          </w:p>
        </w:tc>
        <w:tc>
          <w:tcPr>
            <w:tcW w:w="850" w:type="dxa"/>
            <w:tcBorders>
              <w:top w:val="single" w:sz="8" w:space="0" w:color="auto"/>
              <w:left w:val="nil"/>
              <w:bottom w:val="single" w:sz="8" w:space="0" w:color="auto"/>
              <w:right w:val="nil"/>
            </w:tcBorders>
            <w:shd w:val="clear" w:color="auto" w:fill="auto"/>
            <w:vAlign w:val="center"/>
          </w:tcPr>
          <w:p w14:paraId="2004E261"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M</w:t>
            </w:r>
          </w:p>
        </w:tc>
        <w:tc>
          <w:tcPr>
            <w:tcW w:w="1276" w:type="dxa"/>
            <w:tcBorders>
              <w:top w:val="single" w:sz="8" w:space="0" w:color="auto"/>
              <w:left w:val="nil"/>
              <w:bottom w:val="single" w:sz="8" w:space="0" w:color="auto"/>
              <w:right w:val="nil"/>
            </w:tcBorders>
            <w:shd w:val="clear" w:color="auto" w:fill="auto"/>
            <w:vAlign w:val="center"/>
          </w:tcPr>
          <w:p w14:paraId="766D6E17" w14:textId="77777777" w:rsidR="005A1D98" w:rsidRDefault="005A1D98" w:rsidP="005A1D98">
            <w:pPr>
              <w:spacing w:before="50" w:after="50"/>
              <w:ind w:left="-108"/>
              <w:jc w:val="center"/>
              <w:rPr>
                <w:rFonts w:cs="Times New Roman"/>
                <w:sz w:val="20"/>
                <w:szCs w:val="20"/>
              </w:rPr>
            </w:pPr>
            <w:r>
              <w:rPr>
                <w:rFonts w:cs="Times New Roman"/>
                <w:sz w:val="20"/>
                <w:szCs w:val="20"/>
              </w:rPr>
              <w:t>&lt;1500</w:t>
            </w:r>
          </w:p>
          <w:p w14:paraId="5F2553CD"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(85)</w:t>
            </w:r>
          </w:p>
        </w:tc>
        <w:tc>
          <w:tcPr>
            <w:tcW w:w="992" w:type="dxa"/>
            <w:tcBorders>
              <w:top w:val="single" w:sz="8" w:space="0" w:color="auto"/>
              <w:left w:val="nil"/>
              <w:bottom w:val="single" w:sz="8" w:space="0" w:color="auto"/>
              <w:right w:val="nil"/>
            </w:tcBorders>
            <w:shd w:val="clear" w:color="auto" w:fill="auto"/>
            <w:vAlign w:val="center"/>
          </w:tcPr>
          <w:p w14:paraId="360CCB98"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14</w:t>
            </w:r>
          </w:p>
        </w:tc>
        <w:tc>
          <w:tcPr>
            <w:tcW w:w="851" w:type="dxa"/>
            <w:tcBorders>
              <w:top w:val="single" w:sz="8" w:space="0" w:color="auto"/>
              <w:left w:val="nil"/>
              <w:bottom w:val="single" w:sz="8" w:space="0" w:color="auto"/>
              <w:right w:val="nil"/>
            </w:tcBorders>
            <w:shd w:val="clear" w:color="auto" w:fill="auto"/>
            <w:vAlign w:val="center"/>
          </w:tcPr>
          <w:p w14:paraId="23EB642E" w14:textId="77777777" w:rsidR="005A1D98" w:rsidRPr="001B2B8C" w:rsidRDefault="005A1D98" w:rsidP="005A1D98">
            <w:pPr>
              <w:spacing w:before="50" w:after="50"/>
              <w:ind w:left="-108"/>
              <w:jc w:val="center"/>
              <w:rPr>
                <w:rFonts w:cs="Times New Roman"/>
                <w:sz w:val="20"/>
                <w:szCs w:val="20"/>
              </w:rPr>
            </w:pPr>
            <w:r w:rsidRPr="006900B2">
              <w:rPr>
                <w:sz w:val="20"/>
                <w:szCs w:val="20"/>
              </w:rPr>
              <w:t xml:space="preserve">↓ </w:t>
            </w:r>
            <w:r>
              <w:rPr>
                <w:rFonts w:cs="Times New Roman"/>
                <w:sz w:val="20"/>
                <w:szCs w:val="20"/>
              </w:rPr>
              <w:t xml:space="preserve">0.5 (body, </w:t>
            </w:r>
            <w:r w:rsidRPr="001B2B8C">
              <w:rPr>
                <w:rFonts w:cs="Times New Roman"/>
                <w:i/>
                <w:sz w:val="20"/>
                <w:szCs w:val="20"/>
              </w:rPr>
              <w:t>NS</w:t>
            </w:r>
            <w:r>
              <w:rPr>
                <w:rFonts w:cs="Times New Roman"/>
                <w:sz w:val="20"/>
                <w:szCs w:val="20"/>
              </w:rPr>
              <w:t>)</w:t>
            </w:r>
          </w:p>
        </w:tc>
        <w:tc>
          <w:tcPr>
            <w:tcW w:w="1134" w:type="dxa"/>
            <w:tcBorders>
              <w:top w:val="single" w:sz="8" w:space="0" w:color="auto"/>
              <w:left w:val="nil"/>
              <w:bottom w:val="single" w:sz="8" w:space="0" w:color="auto"/>
              <w:right w:val="nil"/>
            </w:tcBorders>
            <w:shd w:val="clear" w:color="auto" w:fill="auto"/>
            <w:vAlign w:val="center"/>
          </w:tcPr>
          <w:p w14:paraId="186F0A03"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w:t>
            </w:r>
          </w:p>
        </w:tc>
        <w:tc>
          <w:tcPr>
            <w:tcW w:w="3827" w:type="dxa"/>
            <w:tcBorders>
              <w:top w:val="single" w:sz="8" w:space="0" w:color="auto"/>
              <w:left w:val="nil"/>
              <w:bottom w:val="single" w:sz="8" w:space="0" w:color="auto"/>
              <w:right w:val="nil"/>
            </w:tcBorders>
            <w:shd w:val="clear" w:color="auto" w:fill="auto"/>
            <w:vAlign w:val="center"/>
          </w:tcPr>
          <w:p w14:paraId="76DFCBA2" w14:textId="1AF84B92" w:rsidR="005A1D98" w:rsidRDefault="00425E61" w:rsidP="005A1D98">
            <w:pPr>
              <w:keepNext/>
              <w:spacing w:before="50" w:after="50"/>
              <w:ind w:left="-108"/>
              <w:jc w:val="center"/>
              <w:rPr>
                <w:rFonts w:cs="Times New Roman"/>
                <w:sz w:val="20"/>
                <w:szCs w:val="20"/>
              </w:rPr>
            </w:pPr>
            <w:r w:rsidRPr="006900B2">
              <w:rPr>
                <w:sz w:val="20"/>
                <w:szCs w:val="20"/>
              </w:rPr>
              <w:t>↓</w:t>
            </w:r>
            <w:r w:rsidR="005A1D98" w:rsidRPr="006900B2">
              <w:rPr>
                <w:sz w:val="20"/>
                <w:szCs w:val="20"/>
              </w:rPr>
              <w:t xml:space="preserve"> </w:t>
            </w:r>
            <w:r w:rsidR="005A1D98">
              <w:rPr>
                <w:rFonts w:cs="Times New Roman"/>
                <w:sz w:val="20"/>
                <w:szCs w:val="20"/>
              </w:rPr>
              <w:t>29% ISI</w:t>
            </w:r>
            <w:r w:rsidR="005A1D98" w:rsidRPr="006900B2">
              <w:rPr>
                <w:sz w:val="20"/>
                <w:szCs w:val="20"/>
              </w:rPr>
              <w:t xml:space="preserve"> </w:t>
            </w:r>
            <w:r w:rsidR="005A1D98">
              <w:rPr>
                <w:sz w:val="20"/>
                <w:szCs w:val="20"/>
              </w:rPr>
              <w:t xml:space="preserve">(NS), </w:t>
            </w:r>
            <w:r w:rsidR="005A1D98" w:rsidRPr="006900B2">
              <w:rPr>
                <w:sz w:val="20"/>
                <w:szCs w:val="20"/>
              </w:rPr>
              <w:t xml:space="preserve">↑ </w:t>
            </w:r>
            <w:r w:rsidR="005A1D98">
              <w:rPr>
                <w:rFonts w:cs="Times New Roman"/>
                <w:sz w:val="20"/>
                <w:szCs w:val="20"/>
              </w:rPr>
              <w:t xml:space="preserve">37% insulin AUC </w:t>
            </w:r>
            <w:r w:rsidR="005A1D98" w:rsidRPr="006900B2">
              <w:rPr>
                <w:rFonts w:cs="Times New Roman"/>
                <w:sz w:val="20"/>
                <w:szCs w:val="20"/>
              </w:rPr>
              <w:t>(OGTT)</w:t>
            </w:r>
          </w:p>
          <w:p w14:paraId="02940F0D" w14:textId="77777777" w:rsidR="005A1D98" w:rsidRPr="006900B2" w:rsidRDefault="005A1D98" w:rsidP="005A1D98">
            <w:pPr>
              <w:keepNext/>
              <w:spacing w:before="50" w:after="50"/>
              <w:ind w:left="-108"/>
              <w:jc w:val="center"/>
              <w:rPr>
                <w:rFonts w:cs="Times New Roman"/>
                <w:sz w:val="20"/>
                <w:szCs w:val="20"/>
              </w:rPr>
            </w:pPr>
            <w:r w:rsidRPr="006900B2">
              <w:rPr>
                <w:sz w:val="20"/>
                <w:szCs w:val="20"/>
              </w:rPr>
              <w:t>↓</w:t>
            </w:r>
            <w:r>
              <w:rPr>
                <w:sz w:val="20"/>
                <w:szCs w:val="20"/>
              </w:rPr>
              <w:t xml:space="preserve"> 44% GIR, </w:t>
            </w:r>
            <w:r w:rsidRPr="006900B2">
              <w:rPr>
                <w:sz w:val="20"/>
                <w:szCs w:val="20"/>
              </w:rPr>
              <w:t>↓</w:t>
            </w:r>
            <w:r>
              <w:rPr>
                <w:sz w:val="20"/>
                <w:szCs w:val="20"/>
              </w:rPr>
              <w:t xml:space="preserve"> 28% glucose Rd (H-E clamp)</w:t>
            </w:r>
          </w:p>
        </w:tc>
        <w:tc>
          <w:tcPr>
            <w:tcW w:w="1276" w:type="dxa"/>
            <w:tcBorders>
              <w:top w:val="single" w:sz="8" w:space="0" w:color="auto"/>
              <w:left w:val="nil"/>
              <w:bottom w:val="single" w:sz="8" w:space="0" w:color="auto"/>
              <w:right w:val="nil"/>
            </w:tcBorders>
            <w:shd w:val="clear" w:color="auto" w:fill="auto"/>
            <w:vAlign w:val="center"/>
          </w:tcPr>
          <w:p w14:paraId="05120951" w14:textId="77777777" w:rsidR="005A1D98" w:rsidRDefault="005A1D98" w:rsidP="005A1D98">
            <w:pPr>
              <w:keepNext/>
              <w:spacing w:before="50" w:after="50"/>
              <w:ind w:left="-108"/>
              <w:jc w:val="center"/>
              <w:rPr>
                <w:rFonts w:cs="Times New Roman"/>
                <w:sz w:val="20"/>
                <w:szCs w:val="20"/>
              </w:rPr>
            </w:pPr>
            <w:r w:rsidRPr="00572DDB">
              <w:rPr>
                <w:sz w:val="20"/>
                <w:szCs w:val="20"/>
              </w:rPr>
              <w:t>↑</w:t>
            </w:r>
            <w:r>
              <w:rPr>
                <w:sz w:val="20"/>
                <w:szCs w:val="20"/>
              </w:rPr>
              <w:t xml:space="preserve"> </w:t>
            </w:r>
            <w:r>
              <w:rPr>
                <w:rFonts w:cs="Times New Roman"/>
                <w:sz w:val="20"/>
                <w:szCs w:val="20"/>
              </w:rPr>
              <w:t>50% VAT (cm</w:t>
            </w:r>
            <w:r>
              <w:rPr>
                <w:rFonts w:cs="Times New Roman"/>
                <w:sz w:val="20"/>
                <w:szCs w:val="20"/>
                <w:vertAlign w:val="superscript"/>
              </w:rPr>
              <w:t>2</w:t>
            </w:r>
            <w:r>
              <w:rPr>
                <w:rFonts w:cs="Times New Roman"/>
                <w:sz w:val="20"/>
                <w:szCs w:val="20"/>
              </w:rPr>
              <w:t>)</w:t>
            </w:r>
          </w:p>
          <w:p w14:paraId="1FFC269F" w14:textId="77777777" w:rsidR="005A1D98" w:rsidRPr="00FD121F" w:rsidRDefault="005A1D98" w:rsidP="005A1D98">
            <w:pPr>
              <w:keepNext/>
              <w:spacing w:before="50" w:after="50"/>
              <w:ind w:left="-108"/>
              <w:jc w:val="center"/>
              <w:rPr>
                <w:rFonts w:cs="Times New Roman"/>
                <w:sz w:val="20"/>
                <w:szCs w:val="20"/>
                <w:vertAlign w:val="subscript"/>
              </w:rPr>
            </w:pPr>
            <w:r w:rsidRPr="006900B2">
              <w:rPr>
                <w:sz w:val="20"/>
                <w:szCs w:val="20"/>
              </w:rPr>
              <w:t xml:space="preserve">↓ </w:t>
            </w:r>
            <w:r>
              <w:rPr>
                <w:rFonts w:cs="Times New Roman"/>
                <w:sz w:val="20"/>
                <w:szCs w:val="20"/>
              </w:rPr>
              <w:t>3</w:t>
            </w:r>
            <w:r w:rsidRPr="006900B2">
              <w:rPr>
                <w:rFonts w:cs="Times New Roman"/>
                <w:sz w:val="20"/>
                <w:szCs w:val="20"/>
              </w:rPr>
              <w:t xml:space="preserve">% rel. </w:t>
            </w:r>
            <w:r w:rsidRPr="00537663">
              <w:rPr>
                <w:rFonts w:cs="Times New Roman"/>
                <w:sz w:val="20"/>
                <w:lang w:val="en-US"/>
              </w:rPr>
              <w:t>V̇</w:t>
            </w:r>
            <w:r w:rsidRPr="006900B2">
              <w:rPr>
                <w:rFonts w:cs="Times New Roman"/>
                <w:sz w:val="20"/>
                <w:szCs w:val="20"/>
              </w:rPr>
              <w:t>O</w:t>
            </w:r>
            <w:r w:rsidRPr="006900B2">
              <w:rPr>
                <w:rFonts w:cs="Times New Roman"/>
                <w:sz w:val="20"/>
                <w:szCs w:val="20"/>
                <w:vertAlign w:val="subscript"/>
              </w:rPr>
              <w:t>2</w:t>
            </w:r>
            <w:r>
              <w:rPr>
                <w:rFonts w:cs="Times New Roman"/>
                <w:sz w:val="20"/>
                <w:szCs w:val="20"/>
                <w:vertAlign w:val="subscript"/>
              </w:rPr>
              <w:t>peak</w:t>
            </w:r>
          </w:p>
        </w:tc>
      </w:tr>
      <w:tr w:rsidR="00935C80" w:rsidRPr="006900B2" w14:paraId="32FDB6EB" w14:textId="77777777" w:rsidTr="00935C80">
        <w:tc>
          <w:tcPr>
            <w:tcW w:w="1418" w:type="dxa"/>
            <w:tcBorders>
              <w:top w:val="single" w:sz="8" w:space="0" w:color="auto"/>
              <w:left w:val="nil"/>
              <w:bottom w:val="single" w:sz="8" w:space="0" w:color="auto"/>
              <w:right w:val="nil"/>
            </w:tcBorders>
            <w:shd w:val="clear" w:color="auto" w:fill="auto"/>
            <w:vAlign w:val="center"/>
          </w:tcPr>
          <w:p w14:paraId="048042F0" w14:textId="77777777" w:rsidR="005A1D98" w:rsidRPr="006900B2" w:rsidRDefault="005A1D98" w:rsidP="005A1D98">
            <w:pPr>
              <w:spacing w:before="50" w:after="50"/>
              <w:ind w:left="-108"/>
              <w:rPr>
                <w:rFonts w:cs="Times New Roman"/>
                <w:sz w:val="20"/>
                <w:szCs w:val="20"/>
              </w:rPr>
            </w:pPr>
            <w:r>
              <w:rPr>
                <w:rFonts w:cs="Times New Roman"/>
                <w:sz w:val="20"/>
                <w:szCs w:val="20"/>
              </w:rPr>
              <w:t>Walhin et al. (2013)*</w:t>
            </w:r>
          </w:p>
        </w:tc>
        <w:tc>
          <w:tcPr>
            <w:tcW w:w="1134" w:type="dxa"/>
            <w:tcBorders>
              <w:top w:val="single" w:sz="8" w:space="0" w:color="auto"/>
              <w:left w:val="nil"/>
              <w:bottom w:val="single" w:sz="8" w:space="0" w:color="auto"/>
              <w:right w:val="nil"/>
            </w:tcBorders>
            <w:shd w:val="clear" w:color="auto" w:fill="auto"/>
            <w:vAlign w:val="center"/>
          </w:tcPr>
          <w:p w14:paraId="4794974A" w14:textId="77777777" w:rsidR="005A1D98" w:rsidRDefault="005A1D98" w:rsidP="005A1D98">
            <w:pPr>
              <w:spacing w:before="50" w:after="50"/>
              <w:ind w:left="-108"/>
              <w:jc w:val="center"/>
              <w:rPr>
                <w:rFonts w:cs="Times New Roman"/>
                <w:sz w:val="20"/>
                <w:szCs w:val="20"/>
              </w:rPr>
            </w:pPr>
            <w:r>
              <w:rPr>
                <w:rFonts w:cs="Times New Roman"/>
                <w:sz w:val="20"/>
                <w:szCs w:val="20"/>
              </w:rPr>
              <w:t>Young</w:t>
            </w:r>
          </w:p>
          <w:p w14:paraId="2A7CC684"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(25)</w:t>
            </w:r>
          </w:p>
        </w:tc>
        <w:tc>
          <w:tcPr>
            <w:tcW w:w="850" w:type="dxa"/>
            <w:tcBorders>
              <w:top w:val="single" w:sz="8" w:space="0" w:color="auto"/>
              <w:left w:val="nil"/>
              <w:bottom w:val="single" w:sz="8" w:space="0" w:color="auto"/>
              <w:right w:val="nil"/>
            </w:tcBorders>
            <w:shd w:val="clear" w:color="auto" w:fill="auto"/>
            <w:vAlign w:val="center"/>
          </w:tcPr>
          <w:p w14:paraId="0FD882D5"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M</w:t>
            </w:r>
          </w:p>
        </w:tc>
        <w:tc>
          <w:tcPr>
            <w:tcW w:w="1276" w:type="dxa"/>
            <w:tcBorders>
              <w:top w:val="single" w:sz="8" w:space="0" w:color="auto"/>
              <w:left w:val="nil"/>
              <w:bottom w:val="single" w:sz="8" w:space="0" w:color="auto"/>
              <w:right w:val="nil"/>
            </w:tcBorders>
            <w:shd w:val="clear" w:color="auto" w:fill="auto"/>
            <w:vAlign w:val="center"/>
          </w:tcPr>
          <w:p w14:paraId="001FE6CC" w14:textId="77777777" w:rsidR="005A1D98" w:rsidRDefault="005A1D98" w:rsidP="005A1D98">
            <w:pPr>
              <w:spacing w:before="50" w:after="50"/>
              <w:ind w:left="-108"/>
              <w:jc w:val="center"/>
              <w:rPr>
                <w:rFonts w:cs="Times New Roman"/>
                <w:sz w:val="20"/>
                <w:szCs w:val="20"/>
              </w:rPr>
            </w:pPr>
            <w:r>
              <w:rPr>
                <w:rFonts w:cs="Times New Roman"/>
                <w:sz w:val="20"/>
                <w:szCs w:val="20"/>
              </w:rPr>
              <w:t>&lt;4000</w:t>
            </w:r>
          </w:p>
          <w:p w14:paraId="62E5C32D"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(71)</w:t>
            </w:r>
          </w:p>
        </w:tc>
        <w:tc>
          <w:tcPr>
            <w:tcW w:w="992" w:type="dxa"/>
            <w:tcBorders>
              <w:top w:val="single" w:sz="8" w:space="0" w:color="auto"/>
              <w:left w:val="nil"/>
              <w:bottom w:val="single" w:sz="8" w:space="0" w:color="auto"/>
              <w:right w:val="nil"/>
            </w:tcBorders>
            <w:shd w:val="clear" w:color="auto" w:fill="auto"/>
            <w:vAlign w:val="center"/>
          </w:tcPr>
          <w:p w14:paraId="237D6F7D"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7</w:t>
            </w:r>
          </w:p>
        </w:tc>
        <w:tc>
          <w:tcPr>
            <w:tcW w:w="851" w:type="dxa"/>
            <w:tcBorders>
              <w:top w:val="single" w:sz="8" w:space="0" w:color="auto"/>
              <w:left w:val="nil"/>
              <w:bottom w:val="single" w:sz="8" w:space="0" w:color="auto"/>
              <w:right w:val="nil"/>
            </w:tcBorders>
            <w:shd w:val="clear" w:color="auto" w:fill="auto"/>
            <w:vAlign w:val="center"/>
          </w:tcPr>
          <w:p w14:paraId="1E2AE3FB" w14:textId="77777777" w:rsidR="005A1D98" w:rsidRPr="00951D94" w:rsidRDefault="005A1D98" w:rsidP="005A1D98">
            <w:pPr>
              <w:spacing w:before="50" w:after="50"/>
              <w:ind w:left="-108"/>
              <w:jc w:val="center"/>
              <w:rPr>
                <w:rFonts w:cs="Times New Roman"/>
                <w:sz w:val="20"/>
                <w:szCs w:val="20"/>
              </w:rPr>
            </w:pPr>
            <w:r w:rsidRPr="006900B2">
              <w:rPr>
                <w:sz w:val="20"/>
                <w:szCs w:val="20"/>
              </w:rPr>
              <w:t xml:space="preserve">↑ </w:t>
            </w:r>
            <w:r>
              <w:rPr>
                <w:rFonts w:cs="Times New Roman"/>
                <w:sz w:val="20"/>
                <w:szCs w:val="20"/>
              </w:rPr>
              <w:t>4.5 (body)</w:t>
            </w:r>
          </w:p>
        </w:tc>
        <w:tc>
          <w:tcPr>
            <w:tcW w:w="1134" w:type="dxa"/>
            <w:tcBorders>
              <w:top w:val="single" w:sz="8" w:space="0" w:color="auto"/>
              <w:left w:val="nil"/>
              <w:bottom w:val="single" w:sz="8" w:space="0" w:color="auto"/>
              <w:right w:val="nil"/>
            </w:tcBorders>
            <w:shd w:val="clear" w:color="auto" w:fill="auto"/>
            <w:vAlign w:val="center"/>
          </w:tcPr>
          <w:p w14:paraId="6E78D84A"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w:t>
            </w:r>
          </w:p>
        </w:tc>
        <w:tc>
          <w:tcPr>
            <w:tcW w:w="3827" w:type="dxa"/>
            <w:tcBorders>
              <w:top w:val="single" w:sz="8" w:space="0" w:color="auto"/>
              <w:left w:val="nil"/>
              <w:bottom w:val="single" w:sz="8" w:space="0" w:color="auto"/>
              <w:right w:val="nil"/>
            </w:tcBorders>
            <w:shd w:val="clear" w:color="auto" w:fill="auto"/>
            <w:vAlign w:val="center"/>
          </w:tcPr>
          <w:p w14:paraId="2D0E935C" w14:textId="77777777" w:rsidR="005A1D98" w:rsidRPr="006900B2" w:rsidRDefault="005A1D98" w:rsidP="005A1D98">
            <w:pPr>
              <w:keepNext/>
              <w:spacing w:before="50" w:after="50"/>
              <w:ind w:left="-108"/>
              <w:jc w:val="center"/>
              <w:rPr>
                <w:rFonts w:cs="Times New Roman"/>
                <w:sz w:val="20"/>
                <w:szCs w:val="20"/>
              </w:rPr>
            </w:pPr>
            <w:r w:rsidRPr="006900B2">
              <w:rPr>
                <w:sz w:val="20"/>
                <w:szCs w:val="20"/>
              </w:rPr>
              <w:t>↓</w:t>
            </w:r>
            <w:r>
              <w:rPr>
                <w:sz w:val="20"/>
                <w:szCs w:val="20"/>
              </w:rPr>
              <w:t xml:space="preserve"> 48% ISI, </w:t>
            </w:r>
            <w:r w:rsidRPr="00572DDB">
              <w:rPr>
                <w:sz w:val="20"/>
                <w:szCs w:val="20"/>
              </w:rPr>
              <w:t>↑</w:t>
            </w:r>
            <w:r>
              <w:rPr>
                <w:sz w:val="20"/>
                <w:szCs w:val="20"/>
              </w:rPr>
              <w:t xml:space="preserve"> 95% HOMA-IR (OGTT)</w:t>
            </w:r>
          </w:p>
        </w:tc>
        <w:tc>
          <w:tcPr>
            <w:tcW w:w="1276" w:type="dxa"/>
            <w:tcBorders>
              <w:top w:val="single" w:sz="8" w:space="0" w:color="auto"/>
              <w:left w:val="nil"/>
              <w:bottom w:val="single" w:sz="8" w:space="0" w:color="auto"/>
              <w:right w:val="nil"/>
            </w:tcBorders>
            <w:shd w:val="clear" w:color="auto" w:fill="auto"/>
            <w:vAlign w:val="center"/>
          </w:tcPr>
          <w:p w14:paraId="2337E94B" w14:textId="77777777" w:rsidR="005A1D98" w:rsidRPr="00951D94" w:rsidRDefault="005A1D98" w:rsidP="005A1D98">
            <w:pPr>
              <w:keepNext/>
              <w:spacing w:before="50" w:after="50"/>
              <w:ind w:left="-108"/>
              <w:jc w:val="center"/>
              <w:rPr>
                <w:rFonts w:cs="Times New Roman"/>
                <w:sz w:val="20"/>
                <w:szCs w:val="20"/>
              </w:rPr>
            </w:pPr>
            <w:r>
              <w:rPr>
                <w:sz w:val="20"/>
                <w:szCs w:val="20"/>
              </w:rPr>
              <w:t>-</w:t>
            </w:r>
          </w:p>
        </w:tc>
      </w:tr>
      <w:tr w:rsidR="00935C80" w:rsidRPr="006900B2" w14:paraId="3F37FB41" w14:textId="77777777" w:rsidTr="00935C80">
        <w:tc>
          <w:tcPr>
            <w:tcW w:w="1418" w:type="dxa"/>
            <w:tcBorders>
              <w:top w:val="single" w:sz="8" w:space="0" w:color="auto"/>
              <w:left w:val="nil"/>
              <w:bottom w:val="single" w:sz="8" w:space="0" w:color="auto"/>
              <w:right w:val="nil"/>
            </w:tcBorders>
            <w:shd w:val="clear" w:color="auto" w:fill="auto"/>
            <w:vAlign w:val="center"/>
          </w:tcPr>
          <w:p w14:paraId="4A5F1296" w14:textId="4277D8D6" w:rsidR="005A1D98" w:rsidRPr="006B2537" w:rsidRDefault="005A1D98" w:rsidP="00A96752">
            <w:pPr>
              <w:spacing w:before="50" w:after="50"/>
              <w:ind w:left="-108"/>
              <w:rPr>
                <w:rFonts w:cs="Times New Roman"/>
                <w:sz w:val="20"/>
                <w:szCs w:val="20"/>
              </w:rPr>
            </w:pPr>
            <w:r w:rsidRPr="006B2537">
              <w:rPr>
                <w:rFonts w:cs="Times New Roman"/>
                <w:sz w:val="20"/>
                <w:szCs w:val="20"/>
              </w:rPr>
              <w:t>Krogh-Madsen et al. (</w:t>
            </w:r>
            <w:r w:rsidR="00A96752" w:rsidRPr="006B2537">
              <w:rPr>
                <w:rFonts w:cs="Times New Roman"/>
                <w:sz w:val="20"/>
                <w:szCs w:val="20"/>
              </w:rPr>
              <w:t>201</w:t>
            </w:r>
            <w:r w:rsidR="00A96752">
              <w:rPr>
                <w:rFonts w:cs="Times New Roman"/>
                <w:sz w:val="20"/>
                <w:szCs w:val="20"/>
              </w:rPr>
              <w:t>4</w:t>
            </w:r>
            <w:r w:rsidRPr="006B2537">
              <w:rPr>
                <w:rFonts w:cs="Times New Roman"/>
                <w:sz w:val="20"/>
                <w:szCs w:val="20"/>
              </w:rPr>
              <w:t>)*</w:t>
            </w:r>
          </w:p>
        </w:tc>
        <w:tc>
          <w:tcPr>
            <w:tcW w:w="1134" w:type="dxa"/>
            <w:tcBorders>
              <w:top w:val="single" w:sz="8" w:space="0" w:color="auto"/>
              <w:left w:val="nil"/>
              <w:bottom w:val="single" w:sz="8" w:space="0" w:color="auto"/>
              <w:right w:val="nil"/>
            </w:tcBorders>
            <w:shd w:val="clear" w:color="auto" w:fill="auto"/>
            <w:vAlign w:val="center"/>
          </w:tcPr>
          <w:p w14:paraId="3C58EDB1" w14:textId="77777777" w:rsidR="005A1D98" w:rsidRDefault="005A1D98" w:rsidP="005A1D98">
            <w:pPr>
              <w:spacing w:before="50" w:after="50"/>
              <w:ind w:left="-108"/>
              <w:jc w:val="center"/>
              <w:rPr>
                <w:rFonts w:cs="Times New Roman"/>
                <w:sz w:val="20"/>
                <w:szCs w:val="20"/>
              </w:rPr>
            </w:pPr>
            <w:r>
              <w:rPr>
                <w:rFonts w:cs="Times New Roman"/>
                <w:sz w:val="20"/>
                <w:szCs w:val="20"/>
              </w:rPr>
              <w:t>Young</w:t>
            </w:r>
          </w:p>
          <w:p w14:paraId="3AA37A0A" w14:textId="77777777" w:rsidR="005A1D98" w:rsidRPr="006B2537" w:rsidRDefault="005A1D98" w:rsidP="005A1D98">
            <w:pPr>
              <w:spacing w:before="50" w:after="50"/>
              <w:ind w:left="-108"/>
              <w:jc w:val="center"/>
              <w:rPr>
                <w:rFonts w:cs="Times New Roman"/>
                <w:sz w:val="20"/>
                <w:szCs w:val="20"/>
              </w:rPr>
            </w:pPr>
            <w:r>
              <w:rPr>
                <w:rFonts w:cs="Times New Roman"/>
                <w:sz w:val="20"/>
                <w:szCs w:val="20"/>
              </w:rPr>
              <w:t>(22)</w:t>
            </w:r>
          </w:p>
        </w:tc>
        <w:tc>
          <w:tcPr>
            <w:tcW w:w="850" w:type="dxa"/>
            <w:tcBorders>
              <w:top w:val="single" w:sz="8" w:space="0" w:color="auto"/>
              <w:left w:val="nil"/>
              <w:bottom w:val="single" w:sz="8" w:space="0" w:color="auto"/>
              <w:right w:val="nil"/>
            </w:tcBorders>
            <w:shd w:val="clear" w:color="auto" w:fill="auto"/>
            <w:vAlign w:val="center"/>
          </w:tcPr>
          <w:p w14:paraId="2C8DAA33" w14:textId="77777777" w:rsidR="005A1D98" w:rsidRPr="006B2537" w:rsidRDefault="005A1D98" w:rsidP="005A1D98">
            <w:pPr>
              <w:spacing w:before="50" w:after="50"/>
              <w:ind w:left="-108"/>
              <w:jc w:val="center"/>
              <w:rPr>
                <w:rFonts w:cs="Times New Roman"/>
                <w:sz w:val="20"/>
                <w:szCs w:val="20"/>
              </w:rPr>
            </w:pPr>
            <w:r>
              <w:rPr>
                <w:rFonts w:cs="Times New Roman"/>
                <w:sz w:val="20"/>
                <w:szCs w:val="20"/>
              </w:rPr>
              <w:t>M</w:t>
            </w:r>
          </w:p>
        </w:tc>
        <w:tc>
          <w:tcPr>
            <w:tcW w:w="1276" w:type="dxa"/>
            <w:tcBorders>
              <w:top w:val="single" w:sz="8" w:space="0" w:color="auto"/>
              <w:left w:val="nil"/>
              <w:bottom w:val="single" w:sz="8" w:space="0" w:color="auto"/>
              <w:right w:val="nil"/>
            </w:tcBorders>
            <w:shd w:val="clear" w:color="auto" w:fill="auto"/>
            <w:vAlign w:val="center"/>
          </w:tcPr>
          <w:p w14:paraId="51C734D4" w14:textId="77777777" w:rsidR="005A1D98" w:rsidRDefault="005A1D98" w:rsidP="005A1D98">
            <w:pPr>
              <w:spacing w:before="50" w:after="50"/>
              <w:ind w:left="-108"/>
              <w:jc w:val="center"/>
              <w:rPr>
                <w:rFonts w:cs="Times New Roman"/>
                <w:sz w:val="20"/>
                <w:szCs w:val="20"/>
              </w:rPr>
            </w:pPr>
            <w:r>
              <w:rPr>
                <w:rFonts w:cs="Times New Roman"/>
                <w:sz w:val="20"/>
                <w:szCs w:val="20"/>
              </w:rPr>
              <w:t>&lt;1500</w:t>
            </w:r>
          </w:p>
          <w:p w14:paraId="62427BBC" w14:textId="77777777" w:rsidR="005A1D98" w:rsidRPr="006B2537" w:rsidRDefault="005A1D98" w:rsidP="005A1D98">
            <w:pPr>
              <w:spacing w:before="50" w:after="50"/>
              <w:ind w:left="-108"/>
              <w:jc w:val="center"/>
              <w:rPr>
                <w:rFonts w:cs="Times New Roman"/>
                <w:sz w:val="20"/>
                <w:szCs w:val="20"/>
              </w:rPr>
            </w:pPr>
            <w:r>
              <w:rPr>
                <w:rFonts w:cs="Times New Roman"/>
                <w:sz w:val="20"/>
                <w:szCs w:val="20"/>
              </w:rPr>
              <w:t>(84)</w:t>
            </w:r>
          </w:p>
        </w:tc>
        <w:tc>
          <w:tcPr>
            <w:tcW w:w="992" w:type="dxa"/>
            <w:tcBorders>
              <w:top w:val="single" w:sz="8" w:space="0" w:color="auto"/>
              <w:left w:val="nil"/>
              <w:bottom w:val="single" w:sz="8" w:space="0" w:color="auto"/>
              <w:right w:val="nil"/>
            </w:tcBorders>
            <w:shd w:val="clear" w:color="auto" w:fill="auto"/>
            <w:vAlign w:val="center"/>
          </w:tcPr>
          <w:p w14:paraId="2B91C985" w14:textId="77777777" w:rsidR="005A1D98" w:rsidRPr="006B2537" w:rsidRDefault="005A1D98" w:rsidP="005A1D98">
            <w:pPr>
              <w:spacing w:before="50" w:after="50"/>
              <w:ind w:left="-108"/>
              <w:jc w:val="center"/>
              <w:rPr>
                <w:rFonts w:cs="Times New Roman"/>
                <w:sz w:val="20"/>
                <w:szCs w:val="20"/>
              </w:rPr>
            </w:pPr>
            <w:r>
              <w:rPr>
                <w:rFonts w:cs="Times New Roman"/>
                <w:sz w:val="20"/>
                <w:szCs w:val="20"/>
              </w:rPr>
              <w:t>14</w:t>
            </w:r>
          </w:p>
        </w:tc>
        <w:tc>
          <w:tcPr>
            <w:tcW w:w="851" w:type="dxa"/>
            <w:tcBorders>
              <w:top w:val="single" w:sz="8" w:space="0" w:color="auto"/>
              <w:left w:val="nil"/>
              <w:bottom w:val="single" w:sz="8" w:space="0" w:color="auto"/>
              <w:right w:val="nil"/>
            </w:tcBorders>
            <w:shd w:val="clear" w:color="auto" w:fill="auto"/>
            <w:vAlign w:val="center"/>
          </w:tcPr>
          <w:p w14:paraId="12ECAE37" w14:textId="77777777" w:rsidR="005A1D98" w:rsidRPr="006B2537" w:rsidRDefault="005A1D98" w:rsidP="005A1D98">
            <w:pPr>
              <w:spacing w:before="50" w:after="50"/>
              <w:ind w:left="-108"/>
              <w:jc w:val="center"/>
              <w:rPr>
                <w:sz w:val="20"/>
                <w:szCs w:val="20"/>
              </w:rPr>
            </w:pPr>
            <w:r>
              <w:rPr>
                <w:sz w:val="20"/>
                <w:szCs w:val="20"/>
              </w:rPr>
              <w:t>ND</w:t>
            </w:r>
          </w:p>
        </w:tc>
        <w:tc>
          <w:tcPr>
            <w:tcW w:w="1134" w:type="dxa"/>
            <w:tcBorders>
              <w:top w:val="single" w:sz="8" w:space="0" w:color="auto"/>
              <w:left w:val="nil"/>
              <w:bottom w:val="single" w:sz="8" w:space="0" w:color="auto"/>
              <w:right w:val="nil"/>
            </w:tcBorders>
            <w:shd w:val="clear" w:color="auto" w:fill="auto"/>
            <w:vAlign w:val="center"/>
          </w:tcPr>
          <w:p w14:paraId="1CE41E9E" w14:textId="77777777" w:rsidR="005A1D98" w:rsidRPr="006B2537" w:rsidRDefault="005A1D98" w:rsidP="005A1D98">
            <w:pPr>
              <w:spacing w:before="50" w:after="50"/>
              <w:ind w:left="-108"/>
              <w:jc w:val="center"/>
              <w:rPr>
                <w:rFonts w:cs="Times New Roman"/>
                <w:sz w:val="20"/>
                <w:szCs w:val="20"/>
              </w:rPr>
            </w:pPr>
            <w:r>
              <w:rPr>
                <w:rFonts w:cs="Times New Roman"/>
                <w:sz w:val="20"/>
                <w:szCs w:val="20"/>
              </w:rPr>
              <w:t>-</w:t>
            </w:r>
          </w:p>
        </w:tc>
        <w:tc>
          <w:tcPr>
            <w:tcW w:w="3827" w:type="dxa"/>
            <w:tcBorders>
              <w:top w:val="single" w:sz="8" w:space="0" w:color="auto"/>
              <w:left w:val="nil"/>
              <w:bottom w:val="single" w:sz="8" w:space="0" w:color="auto"/>
              <w:right w:val="nil"/>
            </w:tcBorders>
            <w:shd w:val="clear" w:color="auto" w:fill="auto"/>
            <w:vAlign w:val="center"/>
          </w:tcPr>
          <w:p w14:paraId="7677546F" w14:textId="77777777" w:rsidR="005A1D98" w:rsidRDefault="005A1D98" w:rsidP="005A1D98">
            <w:pPr>
              <w:keepNext/>
              <w:spacing w:before="50" w:after="50"/>
              <w:ind w:left="-108"/>
              <w:jc w:val="center"/>
              <w:rPr>
                <w:sz w:val="20"/>
                <w:szCs w:val="20"/>
              </w:rPr>
            </w:pPr>
            <w:r w:rsidRPr="006900B2">
              <w:rPr>
                <w:sz w:val="20"/>
                <w:szCs w:val="20"/>
              </w:rPr>
              <w:t>↑</w:t>
            </w:r>
            <w:r>
              <w:rPr>
                <w:sz w:val="20"/>
                <w:szCs w:val="20"/>
              </w:rPr>
              <w:t xml:space="preserve"> 10% [</w:t>
            </w:r>
            <w:proofErr w:type="gramStart"/>
            <w:r>
              <w:rPr>
                <w:sz w:val="20"/>
                <w:szCs w:val="20"/>
              </w:rPr>
              <w:t>G]</w:t>
            </w:r>
            <w:r>
              <w:rPr>
                <w:sz w:val="20"/>
                <w:szCs w:val="20"/>
                <w:vertAlign w:val="subscript"/>
              </w:rPr>
              <w:t>24h</w:t>
            </w:r>
            <w:proofErr w:type="gramEnd"/>
            <w:r>
              <w:rPr>
                <w:sz w:val="20"/>
                <w:szCs w:val="20"/>
              </w:rPr>
              <w:t xml:space="preserve">, </w:t>
            </w:r>
            <w:r w:rsidRPr="006900B2">
              <w:rPr>
                <w:sz w:val="20"/>
                <w:szCs w:val="20"/>
              </w:rPr>
              <w:t>↑</w:t>
            </w:r>
            <w:r>
              <w:rPr>
                <w:sz w:val="20"/>
                <w:szCs w:val="20"/>
              </w:rPr>
              <w:t xml:space="preserve"> 9% [G]</w:t>
            </w:r>
            <w:r>
              <w:rPr>
                <w:sz w:val="20"/>
                <w:szCs w:val="20"/>
                <w:vertAlign w:val="subscript"/>
              </w:rPr>
              <w:t>max</w:t>
            </w:r>
          </w:p>
          <w:p w14:paraId="5AEF19A3" w14:textId="77777777" w:rsidR="005A1D98" w:rsidRPr="008919A1" w:rsidRDefault="005A1D98" w:rsidP="005A1D98">
            <w:pPr>
              <w:keepNext/>
              <w:spacing w:before="50" w:after="50"/>
              <w:ind w:left="-108"/>
              <w:jc w:val="center"/>
              <w:rPr>
                <w:sz w:val="20"/>
                <w:szCs w:val="20"/>
              </w:rPr>
            </w:pPr>
            <w:r>
              <w:rPr>
                <w:sz w:val="20"/>
                <w:szCs w:val="20"/>
              </w:rPr>
              <w:t>(CGMS)</w:t>
            </w:r>
          </w:p>
        </w:tc>
        <w:tc>
          <w:tcPr>
            <w:tcW w:w="1276" w:type="dxa"/>
            <w:tcBorders>
              <w:top w:val="single" w:sz="8" w:space="0" w:color="auto"/>
              <w:left w:val="nil"/>
              <w:bottom w:val="single" w:sz="8" w:space="0" w:color="auto"/>
              <w:right w:val="nil"/>
            </w:tcBorders>
            <w:shd w:val="clear" w:color="auto" w:fill="auto"/>
            <w:vAlign w:val="center"/>
          </w:tcPr>
          <w:p w14:paraId="21B77109" w14:textId="77777777" w:rsidR="005A1D98" w:rsidRDefault="005A1D98" w:rsidP="005A1D98">
            <w:pPr>
              <w:keepNext/>
              <w:spacing w:before="50" w:after="50"/>
              <w:ind w:left="-108"/>
              <w:jc w:val="center"/>
              <w:rPr>
                <w:rFonts w:cs="Times New Roman"/>
                <w:sz w:val="20"/>
                <w:szCs w:val="20"/>
              </w:rPr>
            </w:pPr>
            <w:r w:rsidRPr="00572DDB">
              <w:rPr>
                <w:sz w:val="20"/>
                <w:szCs w:val="20"/>
              </w:rPr>
              <w:t>↑</w:t>
            </w:r>
            <w:r>
              <w:rPr>
                <w:sz w:val="20"/>
                <w:szCs w:val="20"/>
              </w:rPr>
              <w:t xml:space="preserve"> </w:t>
            </w:r>
            <w:r>
              <w:rPr>
                <w:rFonts w:cs="Times New Roman"/>
                <w:sz w:val="20"/>
                <w:szCs w:val="20"/>
              </w:rPr>
              <w:t>30% VAT (cm</w:t>
            </w:r>
            <w:r>
              <w:rPr>
                <w:rFonts w:cs="Times New Roman"/>
                <w:sz w:val="20"/>
                <w:szCs w:val="20"/>
                <w:vertAlign w:val="superscript"/>
              </w:rPr>
              <w:t>3</w:t>
            </w:r>
            <w:r>
              <w:rPr>
                <w:rFonts w:cs="Times New Roman"/>
                <w:sz w:val="20"/>
                <w:szCs w:val="20"/>
              </w:rPr>
              <w:t>)</w:t>
            </w:r>
          </w:p>
          <w:p w14:paraId="1578328D" w14:textId="77777777" w:rsidR="005A1D98" w:rsidRPr="006B2537" w:rsidRDefault="005A1D98" w:rsidP="005A1D98">
            <w:pPr>
              <w:keepNext/>
              <w:spacing w:before="50" w:after="50"/>
              <w:ind w:left="-108"/>
              <w:jc w:val="center"/>
              <w:rPr>
                <w:sz w:val="20"/>
                <w:szCs w:val="20"/>
              </w:rPr>
            </w:pPr>
            <w:r w:rsidRPr="006900B2">
              <w:rPr>
                <w:sz w:val="20"/>
                <w:szCs w:val="20"/>
              </w:rPr>
              <w:t xml:space="preserve">↓ </w:t>
            </w:r>
            <w:r>
              <w:rPr>
                <w:rFonts w:cs="Times New Roman"/>
                <w:sz w:val="20"/>
                <w:szCs w:val="20"/>
              </w:rPr>
              <w:t>6</w:t>
            </w:r>
            <w:r w:rsidRPr="006900B2">
              <w:rPr>
                <w:rFonts w:cs="Times New Roman"/>
                <w:sz w:val="20"/>
                <w:szCs w:val="20"/>
              </w:rPr>
              <w:t xml:space="preserve">% rel. </w:t>
            </w:r>
            <w:r w:rsidRPr="00537663">
              <w:rPr>
                <w:rFonts w:cs="Times New Roman"/>
                <w:sz w:val="20"/>
                <w:szCs w:val="20"/>
                <w:lang w:val="en-US"/>
              </w:rPr>
              <w:t>V̇</w:t>
            </w:r>
            <w:r w:rsidRPr="006900B2">
              <w:rPr>
                <w:rFonts w:cs="Times New Roman"/>
                <w:sz w:val="20"/>
                <w:szCs w:val="20"/>
              </w:rPr>
              <w:t>O</w:t>
            </w:r>
            <w:r w:rsidRPr="006900B2">
              <w:rPr>
                <w:rFonts w:cs="Times New Roman"/>
                <w:sz w:val="20"/>
                <w:szCs w:val="20"/>
                <w:vertAlign w:val="subscript"/>
              </w:rPr>
              <w:t>2</w:t>
            </w:r>
            <w:r>
              <w:rPr>
                <w:rFonts w:cs="Times New Roman"/>
                <w:sz w:val="20"/>
                <w:szCs w:val="20"/>
                <w:vertAlign w:val="subscript"/>
              </w:rPr>
              <w:t>peak</w:t>
            </w:r>
          </w:p>
        </w:tc>
      </w:tr>
      <w:tr w:rsidR="00935C80" w:rsidRPr="006900B2" w14:paraId="032A6A48" w14:textId="77777777" w:rsidTr="00F32838">
        <w:tc>
          <w:tcPr>
            <w:tcW w:w="1418" w:type="dxa"/>
            <w:tcBorders>
              <w:top w:val="single" w:sz="8" w:space="0" w:color="auto"/>
              <w:left w:val="nil"/>
              <w:bottom w:val="double" w:sz="4" w:space="0" w:color="auto"/>
              <w:right w:val="nil"/>
            </w:tcBorders>
            <w:shd w:val="clear" w:color="auto" w:fill="auto"/>
            <w:vAlign w:val="center"/>
          </w:tcPr>
          <w:p w14:paraId="61AEB0A5" w14:textId="77777777" w:rsidR="005A1D98" w:rsidRDefault="005A1D98" w:rsidP="005A1D98">
            <w:pPr>
              <w:spacing w:before="50" w:after="50"/>
              <w:ind w:left="-108"/>
              <w:rPr>
                <w:rFonts w:cs="Times New Roman"/>
                <w:sz w:val="20"/>
                <w:szCs w:val="20"/>
              </w:rPr>
            </w:pPr>
            <w:r>
              <w:rPr>
                <w:rFonts w:cs="Times New Roman"/>
                <w:sz w:val="20"/>
                <w:szCs w:val="20"/>
              </w:rPr>
              <w:t>Reynolds et al. (2014)</w:t>
            </w:r>
          </w:p>
        </w:tc>
        <w:tc>
          <w:tcPr>
            <w:tcW w:w="1134" w:type="dxa"/>
            <w:tcBorders>
              <w:top w:val="single" w:sz="8" w:space="0" w:color="auto"/>
              <w:left w:val="nil"/>
              <w:bottom w:val="double" w:sz="4" w:space="0" w:color="auto"/>
              <w:right w:val="nil"/>
            </w:tcBorders>
            <w:shd w:val="clear" w:color="auto" w:fill="auto"/>
            <w:vAlign w:val="center"/>
          </w:tcPr>
          <w:p w14:paraId="05BBA773" w14:textId="77777777" w:rsidR="005A1D98" w:rsidRDefault="005A1D98" w:rsidP="005A1D98">
            <w:pPr>
              <w:spacing w:before="50" w:after="50"/>
              <w:ind w:left="-108"/>
              <w:jc w:val="center"/>
              <w:rPr>
                <w:rFonts w:cs="Times New Roman"/>
                <w:sz w:val="20"/>
                <w:szCs w:val="20"/>
              </w:rPr>
            </w:pPr>
            <w:r>
              <w:rPr>
                <w:rFonts w:cs="Times New Roman"/>
                <w:sz w:val="20"/>
                <w:szCs w:val="20"/>
              </w:rPr>
              <w:t>Young</w:t>
            </w:r>
          </w:p>
          <w:p w14:paraId="0B13A3C6" w14:textId="77777777" w:rsidR="005A1D98" w:rsidRDefault="005A1D98" w:rsidP="005A1D98">
            <w:pPr>
              <w:spacing w:before="50" w:after="50"/>
              <w:ind w:left="-108"/>
              <w:jc w:val="center"/>
              <w:rPr>
                <w:rFonts w:cs="Times New Roman"/>
                <w:sz w:val="20"/>
                <w:szCs w:val="20"/>
              </w:rPr>
            </w:pPr>
            <w:r>
              <w:rPr>
                <w:rFonts w:cs="Times New Roman"/>
                <w:sz w:val="20"/>
                <w:szCs w:val="20"/>
              </w:rPr>
              <w:t>(24)</w:t>
            </w:r>
          </w:p>
        </w:tc>
        <w:tc>
          <w:tcPr>
            <w:tcW w:w="850" w:type="dxa"/>
            <w:tcBorders>
              <w:top w:val="single" w:sz="8" w:space="0" w:color="auto"/>
              <w:left w:val="nil"/>
              <w:bottom w:val="double" w:sz="4" w:space="0" w:color="auto"/>
              <w:right w:val="nil"/>
            </w:tcBorders>
            <w:shd w:val="clear" w:color="auto" w:fill="auto"/>
            <w:vAlign w:val="center"/>
          </w:tcPr>
          <w:p w14:paraId="0B7E90DD" w14:textId="77777777" w:rsidR="005A1D98" w:rsidRDefault="005A1D98" w:rsidP="005A1D98">
            <w:pPr>
              <w:spacing w:before="50" w:after="50"/>
              <w:ind w:left="-108"/>
              <w:jc w:val="center"/>
              <w:rPr>
                <w:rFonts w:cs="Times New Roman"/>
                <w:sz w:val="20"/>
                <w:szCs w:val="20"/>
              </w:rPr>
            </w:pPr>
            <w:r>
              <w:rPr>
                <w:rFonts w:cs="Times New Roman"/>
                <w:sz w:val="20"/>
                <w:szCs w:val="20"/>
              </w:rPr>
              <w:t>M</w:t>
            </w:r>
          </w:p>
        </w:tc>
        <w:tc>
          <w:tcPr>
            <w:tcW w:w="1276" w:type="dxa"/>
            <w:tcBorders>
              <w:top w:val="single" w:sz="8" w:space="0" w:color="auto"/>
              <w:left w:val="nil"/>
              <w:bottom w:val="double" w:sz="4" w:space="0" w:color="auto"/>
              <w:right w:val="nil"/>
            </w:tcBorders>
            <w:shd w:val="clear" w:color="auto" w:fill="auto"/>
            <w:vAlign w:val="center"/>
          </w:tcPr>
          <w:p w14:paraId="11882F07" w14:textId="77777777" w:rsidR="005A1D98" w:rsidRDefault="005A1D98" w:rsidP="005A1D98">
            <w:pPr>
              <w:spacing w:before="50" w:after="50"/>
              <w:ind w:left="-108"/>
              <w:jc w:val="center"/>
              <w:rPr>
                <w:rFonts w:cs="Times New Roman"/>
                <w:sz w:val="20"/>
                <w:szCs w:val="20"/>
              </w:rPr>
            </w:pPr>
            <w:r>
              <w:rPr>
                <w:rFonts w:cs="Times New Roman"/>
                <w:sz w:val="20"/>
                <w:szCs w:val="20"/>
              </w:rPr>
              <w:t>&lt;5000</w:t>
            </w:r>
          </w:p>
          <w:p w14:paraId="3080D09F" w14:textId="77777777" w:rsidR="005A1D98" w:rsidRDefault="005A1D98" w:rsidP="005A1D98">
            <w:pPr>
              <w:spacing w:before="50" w:after="50"/>
              <w:ind w:left="-108"/>
              <w:jc w:val="center"/>
              <w:rPr>
                <w:rFonts w:cs="Times New Roman"/>
                <w:sz w:val="20"/>
                <w:szCs w:val="20"/>
              </w:rPr>
            </w:pPr>
            <w:r>
              <w:rPr>
                <w:rFonts w:cs="Times New Roman"/>
                <w:sz w:val="20"/>
                <w:szCs w:val="20"/>
              </w:rPr>
              <w:t>(&gt;50)</w:t>
            </w:r>
          </w:p>
        </w:tc>
        <w:tc>
          <w:tcPr>
            <w:tcW w:w="992" w:type="dxa"/>
            <w:tcBorders>
              <w:top w:val="single" w:sz="8" w:space="0" w:color="auto"/>
              <w:left w:val="nil"/>
              <w:bottom w:val="double" w:sz="4" w:space="0" w:color="auto"/>
              <w:right w:val="nil"/>
            </w:tcBorders>
            <w:shd w:val="clear" w:color="auto" w:fill="auto"/>
            <w:vAlign w:val="center"/>
          </w:tcPr>
          <w:p w14:paraId="58D03CA0" w14:textId="77777777" w:rsidR="005A1D98" w:rsidRDefault="005A1D98" w:rsidP="005A1D98">
            <w:pPr>
              <w:spacing w:before="50" w:after="50"/>
              <w:ind w:left="-108"/>
              <w:jc w:val="center"/>
              <w:rPr>
                <w:rFonts w:cs="Times New Roman"/>
                <w:sz w:val="20"/>
                <w:szCs w:val="20"/>
              </w:rPr>
            </w:pPr>
            <w:r>
              <w:rPr>
                <w:rFonts w:cs="Times New Roman"/>
                <w:sz w:val="20"/>
                <w:szCs w:val="20"/>
              </w:rPr>
              <w:t>5</w:t>
            </w:r>
          </w:p>
        </w:tc>
        <w:tc>
          <w:tcPr>
            <w:tcW w:w="851" w:type="dxa"/>
            <w:tcBorders>
              <w:top w:val="single" w:sz="8" w:space="0" w:color="auto"/>
              <w:left w:val="nil"/>
              <w:bottom w:val="double" w:sz="4" w:space="0" w:color="auto"/>
              <w:right w:val="nil"/>
            </w:tcBorders>
            <w:shd w:val="clear" w:color="auto" w:fill="auto"/>
            <w:vAlign w:val="center"/>
          </w:tcPr>
          <w:p w14:paraId="47B2B04C" w14:textId="77777777" w:rsidR="005A1D98" w:rsidRPr="006900B2" w:rsidRDefault="005A1D98" w:rsidP="005A1D98">
            <w:pPr>
              <w:spacing w:before="50" w:after="50"/>
              <w:ind w:left="-108"/>
              <w:jc w:val="center"/>
              <w:rPr>
                <w:sz w:val="20"/>
                <w:szCs w:val="20"/>
              </w:rPr>
            </w:pPr>
            <w:r>
              <w:rPr>
                <w:sz w:val="20"/>
                <w:szCs w:val="20"/>
              </w:rPr>
              <w:t>-</w:t>
            </w:r>
          </w:p>
        </w:tc>
        <w:tc>
          <w:tcPr>
            <w:tcW w:w="1134" w:type="dxa"/>
            <w:tcBorders>
              <w:top w:val="single" w:sz="8" w:space="0" w:color="auto"/>
              <w:left w:val="nil"/>
              <w:bottom w:val="double" w:sz="4" w:space="0" w:color="auto"/>
              <w:right w:val="nil"/>
            </w:tcBorders>
            <w:shd w:val="clear" w:color="auto" w:fill="auto"/>
            <w:vAlign w:val="center"/>
          </w:tcPr>
          <w:p w14:paraId="2D223C36" w14:textId="77777777" w:rsidR="005A1D98" w:rsidRDefault="005A1D98" w:rsidP="005A1D98">
            <w:pPr>
              <w:spacing w:before="50" w:after="50"/>
              <w:ind w:left="-108"/>
              <w:jc w:val="center"/>
              <w:rPr>
                <w:rFonts w:cs="Times New Roman"/>
                <w:sz w:val="20"/>
                <w:szCs w:val="20"/>
              </w:rPr>
            </w:pPr>
            <w:r>
              <w:rPr>
                <w:rFonts w:cs="Times New Roman"/>
                <w:sz w:val="20"/>
                <w:szCs w:val="20"/>
              </w:rPr>
              <w:t>-</w:t>
            </w:r>
          </w:p>
        </w:tc>
        <w:tc>
          <w:tcPr>
            <w:tcW w:w="3827" w:type="dxa"/>
            <w:tcBorders>
              <w:top w:val="single" w:sz="8" w:space="0" w:color="auto"/>
              <w:left w:val="nil"/>
              <w:bottom w:val="double" w:sz="4" w:space="0" w:color="auto"/>
              <w:right w:val="nil"/>
            </w:tcBorders>
            <w:shd w:val="clear" w:color="auto" w:fill="auto"/>
            <w:vAlign w:val="center"/>
          </w:tcPr>
          <w:p w14:paraId="156CACFA" w14:textId="77777777" w:rsidR="005A1D98" w:rsidRDefault="005A1D98" w:rsidP="005A1D98">
            <w:pPr>
              <w:keepNext/>
              <w:spacing w:before="50" w:after="50"/>
              <w:ind w:left="-108"/>
              <w:jc w:val="center"/>
              <w:rPr>
                <w:sz w:val="20"/>
                <w:szCs w:val="20"/>
              </w:rPr>
            </w:pPr>
            <w:r w:rsidRPr="006900B2">
              <w:rPr>
                <w:sz w:val="20"/>
                <w:szCs w:val="20"/>
              </w:rPr>
              <w:t>↓</w:t>
            </w:r>
            <w:r>
              <w:rPr>
                <w:sz w:val="20"/>
                <w:szCs w:val="20"/>
              </w:rPr>
              <w:t xml:space="preserve"> 29% ISI (OGTT)</w:t>
            </w:r>
          </w:p>
          <w:p w14:paraId="05349FA2" w14:textId="77777777" w:rsidR="005A1D98" w:rsidRPr="006900B2" w:rsidRDefault="005A1D98" w:rsidP="005A1D98">
            <w:pPr>
              <w:keepNext/>
              <w:spacing w:before="50" w:after="50"/>
              <w:ind w:left="-108"/>
              <w:jc w:val="center"/>
              <w:rPr>
                <w:sz w:val="20"/>
                <w:szCs w:val="20"/>
              </w:rPr>
            </w:pPr>
            <w:r>
              <w:rPr>
                <w:sz w:val="20"/>
                <w:szCs w:val="20"/>
              </w:rPr>
              <w:t xml:space="preserve"> </w:t>
            </w:r>
            <w:r w:rsidRPr="00572DDB">
              <w:rPr>
                <w:sz w:val="20"/>
                <w:szCs w:val="20"/>
              </w:rPr>
              <w:t>↑</w:t>
            </w:r>
            <w:r>
              <w:rPr>
                <w:sz w:val="20"/>
                <w:szCs w:val="20"/>
              </w:rPr>
              <w:t xml:space="preserve"> 9% peak PPG (CGMS)</w:t>
            </w:r>
          </w:p>
        </w:tc>
        <w:tc>
          <w:tcPr>
            <w:tcW w:w="1276" w:type="dxa"/>
            <w:tcBorders>
              <w:top w:val="single" w:sz="8" w:space="0" w:color="auto"/>
              <w:left w:val="nil"/>
              <w:bottom w:val="double" w:sz="4" w:space="0" w:color="auto"/>
              <w:right w:val="nil"/>
            </w:tcBorders>
            <w:shd w:val="clear" w:color="auto" w:fill="auto"/>
            <w:vAlign w:val="center"/>
          </w:tcPr>
          <w:p w14:paraId="4EDCAECA" w14:textId="77777777" w:rsidR="005A1D98" w:rsidRPr="00572DDB" w:rsidRDefault="005A1D98" w:rsidP="005A1D98">
            <w:pPr>
              <w:keepNext/>
              <w:spacing w:before="50" w:after="50"/>
              <w:ind w:left="-108"/>
              <w:jc w:val="center"/>
              <w:rPr>
                <w:sz w:val="20"/>
                <w:szCs w:val="20"/>
              </w:rPr>
            </w:pPr>
            <w:r>
              <w:rPr>
                <w:sz w:val="20"/>
                <w:szCs w:val="20"/>
              </w:rPr>
              <w:t>-</w:t>
            </w:r>
          </w:p>
        </w:tc>
      </w:tr>
      <w:tr w:rsidR="00F32838" w:rsidRPr="006900B2" w14:paraId="638870FB" w14:textId="77777777" w:rsidTr="00F32838">
        <w:tc>
          <w:tcPr>
            <w:tcW w:w="1418" w:type="dxa"/>
            <w:tcBorders>
              <w:top w:val="double" w:sz="4" w:space="0" w:color="auto"/>
              <w:left w:val="nil"/>
              <w:right w:val="nil"/>
            </w:tcBorders>
            <w:shd w:val="clear" w:color="auto" w:fill="auto"/>
            <w:vAlign w:val="center"/>
          </w:tcPr>
          <w:p w14:paraId="2906C8A1" w14:textId="77777777" w:rsidR="00F32838" w:rsidRDefault="00F32838" w:rsidP="005A1D98">
            <w:pPr>
              <w:spacing w:before="50" w:after="50"/>
              <w:ind w:left="-108"/>
              <w:rPr>
                <w:rFonts w:cs="Times New Roman"/>
                <w:sz w:val="20"/>
                <w:szCs w:val="20"/>
              </w:rPr>
            </w:pPr>
          </w:p>
        </w:tc>
        <w:tc>
          <w:tcPr>
            <w:tcW w:w="1134" w:type="dxa"/>
            <w:tcBorders>
              <w:top w:val="double" w:sz="4" w:space="0" w:color="auto"/>
              <w:left w:val="nil"/>
              <w:right w:val="nil"/>
            </w:tcBorders>
            <w:shd w:val="clear" w:color="auto" w:fill="auto"/>
            <w:vAlign w:val="center"/>
          </w:tcPr>
          <w:p w14:paraId="044B8961" w14:textId="77777777" w:rsidR="00F32838" w:rsidRDefault="00F32838" w:rsidP="005A1D98">
            <w:pPr>
              <w:spacing w:before="50" w:after="50"/>
              <w:ind w:left="-108"/>
              <w:jc w:val="center"/>
              <w:rPr>
                <w:rFonts w:cs="Times New Roman"/>
                <w:sz w:val="20"/>
                <w:szCs w:val="20"/>
              </w:rPr>
            </w:pPr>
          </w:p>
        </w:tc>
        <w:tc>
          <w:tcPr>
            <w:tcW w:w="850" w:type="dxa"/>
            <w:tcBorders>
              <w:top w:val="double" w:sz="4" w:space="0" w:color="auto"/>
              <w:left w:val="nil"/>
              <w:right w:val="nil"/>
            </w:tcBorders>
            <w:shd w:val="clear" w:color="auto" w:fill="auto"/>
            <w:vAlign w:val="center"/>
          </w:tcPr>
          <w:p w14:paraId="60E20D40" w14:textId="77777777" w:rsidR="00F32838" w:rsidRDefault="00F32838" w:rsidP="005A1D98">
            <w:pPr>
              <w:spacing w:before="50" w:after="50"/>
              <w:ind w:left="-108"/>
              <w:jc w:val="center"/>
              <w:rPr>
                <w:rFonts w:cs="Times New Roman"/>
                <w:sz w:val="20"/>
                <w:szCs w:val="20"/>
              </w:rPr>
            </w:pPr>
          </w:p>
        </w:tc>
        <w:tc>
          <w:tcPr>
            <w:tcW w:w="1276" w:type="dxa"/>
            <w:tcBorders>
              <w:top w:val="double" w:sz="4" w:space="0" w:color="auto"/>
              <w:left w:val="nil"/>
              <w:right w:val="nil"/>
            </w:tcBorders>
            <w:shd w:val="clear" w:color="auto" w:fill="auto"/>
            <w:vAlign w:val="center"/>
          </w:tcPr>
          <w:p w14:paraId="5B23473C" w14:textId="77777777" w:rsidR="00F32838" w:rsidRDefault="00F32838" w:rsidP="005A1D98">
            <w:pPr>
              <w:spacing w:before="50" w:after="50"/>
              <w:ind w:left="-108"/>
              <w:jc w:val="center"/>
              <w:rPr>
                <w:rFonts w:cs="Times New Roman"/>
                <w:sz w:val="20"/>
                <w:szCs w:val="20"/>
              </w:rPr>
            </w:pPr>
          </w:p>
        </w:tc>
        <w:tc>
          <w:tcPr>
            <w:tcW w:w="992" w:type="dxa"/>
            <w:tcBorders>
              <w:top w:val="double" w:sz="4" w:space="0" w:color="auto"/>
              <w:left w:val="nil"/>
              <w:right w:val="nil"/>
            </w:tcBorders>
            <w:shd w:val="clear" w:color="auto" w:fill="auto"/>
            <w:vAlign w:val="center"/>
          </w:tcPr>
          <w:p w14:paraId="7370B3B7" w14:textId="77777777" w:rsidR="00F32838" w:rsidRDefault="00F32838" w:rsidP="005A1D98">
            <w:pPr>
              <w:spacing w:before="50" w:after="50"/>
              <w:ind w:left="-108"/>
              <w:jc w:val="center"/>
              <w:rPr>
                <w:rFonts w:cs="Times New Roman"/>
                <w:sz w:val="20"/>
                <w:szCs w:val="20"/>
              </w:rPr>
            </w:pPr>
          </w:p>
        </w:tc>
        <w:tc>
          <w:tcPr>
            <w:tcW w:w="851" w:type="dxa"/>
            <w:tcBorders>
              <w:top w:val="double" w:sz="4" w:space="0" w:color="auto"/>
              <w:left w:val="nil"/>
              <w:right w:val="nil"/>
            </w:tcBorders>
            <w:shd w:val="clear" w:color="auto" w:fill="auto"/>
            <w:vAlign w:val="center"/>
          </w:tcPr>
          <w:p w14:paraId="45AB7B66" w14:textId="77777777" w:rsidR="00F32838" w:rsidRPr="006900B2" w:rsidRDefault="00F32838" w:rsidP="005A1D98">
            <w:pPr>
              <w:spacing w:before="50" w:after="50"/>
              <w:ind w:left="-108"/>
              <w:jc w:val="center"/>
              <w:rPr>
                <w:sz w:val="20"/>
                <w:szCs w:val="20"/>
              </w:rPr>
            </w:pPr>
          </w:p>
        </w:tc>
        <w:tc>
          <w:tcPr>
            <w:tcW w:w="1134" w:type="dxa"/>
            <w:tcBorders>
              <w:top w:val="double" w:sz="4" w:space="0" w:color="auto"/>
              <w:left w:val="nil"/>
              <w:right w:val="nil"/>
            </w:tcBorders>
            <w:shd w:val="clear" w:color="auto" w:fill="auto"/>
            <w:vAlign w:val="center"/>
          </w:tcPr>
          <w:p w14:paraId="5EA9E513" w14:textId="77777777" w:rsidR="00F32838" w:rsidRPr="006900B2" w:rsidRDefault="00F32838" w:rsidP="005A1D98">
            <w:pPr>
              <w:spacing w:before="50" w:after="50"/>
              <w:ind w:left="-108"/>
              <w:jc w:val="center"/>
              <w:rPr>
                <w:sz w:val="20"/>
                <w:szCs w:val="20"/>
              </w:rPr>
            </w:pPr>
          </w:p>
        </w:tc>
        <w:tc>
          <w:tcPr>
            <w:tcW w:w="3827" w:type="dxa"/>
            <w:tcBorders>
              <w:top w:val="double" w:sz="4" w:space="0" w:color="auto"/>
              <w:left w:val="nil"/>
              <w:right w:val="nil"/>
            </w:tcBorders>
            <w:shd w:val="clear" w:color="auto" w:fill="auto"/>
            <w:vAlign w:val="center"/>
          </w:tcPr>
          <w:p w14:paraId="36C5EEC2" w14:textId="77777777" w:rsidR="00F32838" w:rsidRPr="00572DDB" w:rsidRDefault="00F32838" w:rsidP="005A1D98">
            <w:pPr>
              <w:keepNext/>
              <w:spacing w:before="50" w:after="50"/>
              <w:ind w:left="-108"/>
              <w:jc w:val="center"/>
              <w:rPr>
                <w:sz w:val="20"/>
                <w:szCs w:val="20"/>
              </w:rPr>
            </w:pPr>
          </w:p>
        </w:tc>
        <w:tc>
          <w:tcPr>
            <w:tcW w:w="1276" w:type="dxa"/>
            <w:tcBorders>
              <w:top w:val="double" w:sz="4" w:space="0" w:color="auto"/>
              <w:left w:val="nil"/>
              <w:right w:val="nil"/>
            </w:tcBorders>
            <w:shd w:val="clear" w:color="auto" w:fill="auto"/>
            <w:vAlign w:val="center"/>
          </w:tcPr>
          <w:p w14:paraId="62654EAF" w14:textId="77777777" w:rsidR="00F32838" w:rsidRPr="006900B2" w:rsidRDefault="00F32838" w:rsidP="005A1D98">
            <w:pPr>
              <w:keepNext/>
              <w:spacing w:before="50" w:after="50"/>
              <w:ind w:left="-108"/>
              <w:jc w:val="center"/>
              <w:rPr>
                <w:sz w:val="20"/>
                <w:szCs w:val="20"/>
              </w:rPr>
            </w:pPr>
          </w:p>
        </w:tc>
      </w:tr>
      <w:tr w:rsidR="00935C80" w:rsidRPr="006900B2" w14:paraId="341CF5CE" w14:textId="77777777" w:rsidTr="00F32838">
        <w:tc>
          <w:tcPr>
            <w:tcW w:w="1418" w:type="dxa"/>
            <w:tcBorders>
              <w:left w:val="nil"/>
              <w:bottom w:val="single" w:sz="4" w:space="0" w:color="auto"/>
              <w:right w:val="nil"/>
            </w:tcBorders>
            <w:shd w:val="clear" w:color="auto" w:fill="auto"/>
            <w:vAlign w:val="center"/>
          </w:tcPr>
          <w:p w14:paraId="0D3BF90B" w14:textId="77777777" w:rsidR="005A1D98" w:rsidRPr="006900B2" w:rsidRDefault="005A1D98" w:rsidP="005A1D98">
            <w:pPr>
              <w:spacing w:before="50" w:after="50"/>
              <w:ind w:left="-108"/>
              <w:rPr>
                <w:rFonts w:cs="Times New Roman"/>
                <w:sz w:val="20"/>
                <w:szCs w:val="20"/>
              </w:rPr>
            </w:pPr>
            <w:r>
              <w:rPr>
                <w:rFonts w:cs="Times New Roman"/>
                <w:sz w:val="20"/>
                <w:szCs w:val="20"/>
              </w:rPr>
              <w:lastRenderedPageBreak/>
              <w:t>Breen et al. (2013)</w:t>
            </w:r>
          </w:p>
        </w:tc>
        <w:tc>
          <w:tcPr>
            <w:tcW w:w="1134" w:type="dxa"/>
            <w:tcBorders>
              <w:left w:val="nil"/>
              <w:bottom w:val="single" w:sz="4" w:space="0" w:color="auto"/>
              <w:right w:val="nil"/>
            </w:tcBorders>
            <w:shd w:val="clear" w:color="auto" w:fill="auto"/>
            <w:vAlign w:val="center"/>
          </w:tcPr>
          <w:p w14:paraId="50CDC6E8" w14:textId="77777777" w:rsidR="005A1D98" w:rsidRDefault="005A1D98" w:rsidP="005A1D98">
            <w:pPr>
              <w:spacing w:before="50" w:after="50"/>
              <w:ind w:left="-108"/>
              <w:jc w:val="center"/>
              <w:rPr>
                <w:rFonts w:cs="Times New Roman"/>
                <w:sz w:val="20"/>
                <w:szCs w:val="20"/>
              </w:rPr>
            </w:pPr>
            <w:r>
              <w:rPr>
                <w:rFonts w:cs="Times New Roman"/>
                <w:sz w:val="20"/>
                <w:szCs w:val="20"/>
              </w:rPr>
              <w:t>Elderly</w:t>
            </w:r>
          </w:p>
          <w:p w14:paraId="01548DB0"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(72)</w:t>
            </w:r>
          </w:p>
        </w:tc>
        <w:tc>
          <w:tcPr>
            <w:tcW w:w="850" w:type="dxa"/>
            <w:tcBorders>
              <w:left w:val="nil"/>
              <w:bottom w:val="single" w:sz="4" w:space="0" w:color="auto"/>
              <w:right w:val="nil"/>
            </w:tcBorders>
            <w:shd w:val="clear" w:color="auto" w:fill="auto"/>
            <w:vAlign w:val="center"/>
          </w:tcPr>
          <w:p w14:paraId="23CC5435"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M/W</w:t>
            </w:r>
          </w:p>
        </w:tc>
        <w:tc>
          <w:tcPr>
            <w:tcW w:w="1276" w:type="dxa"/>
            <w:tcBorders>
              <w:left w:val="nil"/>
              <w:bottom w:val="single" w:sz="4" w:space="0" w:color="auto"/>
              <w:right w:val="nil"/>
            </w:tcBorders>
            <w:shd w:val="clear" w:color="auto" w:fill="auto"/>
            <w:vAlign w:val="center"/>
          </w:tcPr>
          <w:p w14:paraId="70C742BA" w14:textId="77777777" w:rsidR="005A1D98" w:rsidRDefault="005A1D98" w:rsidP="005A1D98">
            <w:pPr>
              <w:spacing w:before="50" w:after="50"/>
              <w:ind w:left="-108"/>
              <w:jc w:val="center"/>
              <w:rPr>
                <w:rFonts w:cs="Times New Roman"/>
                <w:sz w:val="20"/>
                <w:szCs w:val="20"/>
              </w:rPr>
            </w:pPr>
            <w:r>
              <w:rPr>
                <w:rFonts w:cs="Times New Roman"/>
                <w:sz w:val="20"/>
                <w:szCs w:val="20"/>
              </w:rPr>
              <w:t>&lt;1500</w:t>
            </w:r>
          </w:p>
          <w:p w14:paraId="2757DE3C"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(76)</w:t>
            </w:r>
          </w:p>
        </w:tc>
        <w:tc>
          <w:tcPr>
            <w:tcW w:w="992" w:type="dxa"/>
            <w:tcBorders>
              <w:left w:val="nil"/>
              <w:bottom w:val="single" w:sz="4" w:space="0" w:color="auto"/>
              <w:right w:val="nil"/>
            </w:tcBorders>
            <w:shd w:val="clear" w:color="auto" w:fill="auto"/>
            <w:vAlign w:val="center"/>
          </w:tcPr>
          <w:p w14:paraId="70F55B04" w14:textId="77777777" w:rsidR="005A1D98" w:rsidRPr="006900B2" w:rsidRDefault="005A1D98" w:rsidP="005A1D98">
            <w:pPr>
              <w:spacing w:before="50" w:after="50"/>
              <w:ind w:left="-108"/>
              <w:jc w:val="center"/>
              <w:rPr>
                <w:rFonts w:cs="Times New Roman"/>
                <w:sz w:val="20"/>
                <w:szCs w:val="20"/>
              </w:rPr>
            </w:pPr>
            <w:r>
              <w:rPr>
                <w:rFonts w:cs="Times New Roman"/>
                <w:sz w:val="20"/>
                <w:szCs w:val="20"/>
              </w:rPr>
              <w:t>14</w:t>
            </w:r>
          </w:p>
        </w:tc>
        <w:tc>
          <w:tcPr>
            <w:tcW w:w="851" w:type="dxa"/>
            <w:tcBorders>
              <w:left w:val="nil"/>
              <w:bottom w:val="single" w:sz="4" w:space="0" w:color="auto"/>
              <w:right w:val="nil"/>
            </w:tcBorders>
            <w:shd w:val="clear" w:color="auto" w:fill="auto"/>
            <w:vAlign w:val="center"/>
          </w:tcPr>
          <w:p w14:paraId="0FB1A3A3" w14:textId="77777777" w:rsidR="005A1D98" w:rsidRPr="006900B2" w:rsidRDefault="005A1D98" w:rsidP="005A1D98">
            <w:pPr>
              <w:spacing w:before="50" w:after="50"/>
              <w:ind w:left="-108"/>
              <w:jc w:val="center"/>
              <w:rPr>
                <w:rFonts w:cs="Times New Roman"/>
                <w:sz w:val="20"/>
                <w:szCs w:val="20"/>
              </w:rPr>
            </w:pPr>
            <w:r w:rsidRPr="006900B2">
              <w:rPr>
                <w:sz w:val="20"/>
                <w:szCs w:val="20"/>
              </w:rPr>
              <w:t>↓</w:t>
            </w:r>
            <w:r>
              <w:rPr>
                <w:sz w:val="20"/>
                <w:szCs w:val="20"/>
              </w:rPr>
              <w:t xml:space="preserve"> </w:t>
            </w:r>
            <w:r>
              <w:rPr>
                <w:rFonts w:cs="Times New Roman"/>
                <w:sz w:val="20"/>
                <w:szCs w:val="20"/>
              </w:rPr>
              <w:t>3.7 (leg)</w:t>
            </w:r>
          </w:p>
        </w:tc>
        <w:tc>
          <w:tcPr>
            <w:tcW w:w="1134" w:type="dxa"/>
            <w:tcBorders>
              <w:left w:val="nil"/>
              <w:bottom w:val="single" w:sz="4" w:space="0" w:color="auto"/>
              <w:right w:val="nil"/>
            </w:tcBorders>
            <w:shd w:val="clear" w:color="auto" w:fill="auto"/>
            <w:vAlign w:val="center"/>
          </w:tcPr>
          <w:p w14:paraId="2CDF6F5F" w14:textId="77777777" w:rsidR="005A1D98" w:rsidRPr="00827C5E" w:rsidRDefault="005A1D98" w:rsidP="005A1D98">
            <w:pPr>
              <w:spacing w:before="50" w:after="50"/>
              <w:ind w:left="-108"/>
              <w:jc w:val="center"/>
              <w:rPr>
                <w:rFonts w:cs="Times New Roman"/>
                <w:sz w:val="20"/>
                <w:szCs w:val="20"/>
              </w:rPr>
            </w:pPr>
            <w:r w:rsidRPr="006900B2">
              <w:rPr>
                <w:sz w:val="20"/>
                <w:szCs w:val="20"/>
              </w:rPr>
              <w:t>↑</w:t>
            </w:r>
            <w:r>
              <w:rPr>
                <w:sz w:val="20"/>
                <w:szCs w:val="20"/>
              </w:rPr>
              <w:t xml:space="preserve"> 1.5 (</w:t>
            </w:r>
            <w:r>
              <w:rPr>
                <w:i/>
                <w:sz w:val="20"/>
                <w:szCs w:val="20"/>
              </w:rPr>
              <w:t>NS)</w:t>
            </w:r>
          </w:p>
        </w:tc>
        <w:tc>
          <w:tcPr>
            <w:tcW w:w="3827" w:type="dxa"/>
            <w:tcBorders>
              <w:left w:val="nil"/>
              <w:bottom w:val="single" w:sz="4" w:space="0" w:color="auto"/>
              <w:right w:val="nil"/>
            </w:tcBorders>
            <w:shd w:val="clear" w:color="auto" w:fill="auto"/>
            <w:vAlign w:val="center"/>
          </w:tcPr>
          <w:p w14:paraId="12C04A1C" w14:textId="6AE00306" w:rsidR="005A1D98" w:rsidRPr="006900B2" w:rsidRDefault="005A1D98" w:rsidP="005A1D98">
            <w:pPr>
              <w:keepNext/>
              <w:spacing w:before="50" w:after="50"/>
              <w:ind w:left="-108"/>
              <w:jc w:val="center"/>
              <w:rPr>
                <w:rFonts w:cs="Times New Roman"/>
                <w:sz w:val="20"/>
                <w:szCs w:val="20"/>
              </w:rPr>
            </w:pPr>
            <w:r w:rsidRPr="00572DDB">
              <w:rPr>
                <w:sz w:val="20"/>
                <w:szCs w:val="20"/>
              </w:rPr>
              <w:t>↑</w:t>
            </w:r>
            <w:r>
              <w:rPr>
                <w:sz w:val="20"/>
                <w:szCs w:val="20"/>
              </w:rPr>
              <w:t xml:space="preserve"> 9% glucose AUC, </w:t>
            </w:r>
            <w:r w:rsidRPr="00572DDB">
              <w:rPr>
                <w:sz w:val="20"/>
                <w:szCs w:val="20"/>
              </w:rPr>
              <w:t>↑</w:t>
            </w:r>
            <w:r>
              <w:rPr>
                <w:sz w:val="20"/>
                <w:szCs w:val="20"/>
              </w:rPr>
              <w:t xml:space="preserve"> 12% insulin AUC, </w:t>
            </w:r>
            <w:r w:rsidR="00935C80">
              <w:rPr>
                <w:sz w:val="20"/>
                <w:szCs w:val="20"/>
              </w:rPr>
              <w:br/>
            </w:r>
            <w:r w:rsidRPr="006900B2">
              <w:rPr>
                <w:sz w:val="20"/>
                <w:szCs w:val="20"/>
              </w:rPr>
              <w:t>↓</w:t>
            </w:r>
            <w:r>
              <w:rPr>
                <w:sz w:val="20"/>
                <w:szCs w:val="20"/>
              </w:rPr>
              <w:t xml:space="preserve"> 43% ISI,</w:t>
            </w:r>
            <w:r w:rsidRPr="00572DDB">
              <w:rPr>
                <w:sz w:val="20"/>
                <w:szCs w:val="20"/>
              </w:rPr>
              <w:t xml:space="preserve"> ↑</w:t>
            </w:r>
            <w:r>
              <w:rPr>
                <w:sz w:val="20"/>
                <w:szCs w:val="20"/>
              </w:rPr>
              <w:t xml:space="preserve"> 12% HOMA-IR (OGTT)</w:t>
            </w:r>
          </w:p>
        </w:tc>
        <w:tc>
          <w:tcPr>
            <w:tcW w:w="1276" w:type="dxa"/>
            <w:tcBorders>
              <w:left w:val="nil"/>
              <w:bottom w:val="single" w:sz="4" w:space="0" w:color="auto"/>
              <w:right w:val="nil"/>
            </w:tcBorders>
            <w:shd w:val="clear" w:color="auto" w:fill="auto"/>
            <w:vAlign w:val="center"/>
          </w:tcPr>
          <w:p w14:paraId="75E7C94B" w14:textId="77777777" w:rsidR="005A1D98" w:rsidRDefault="005A1D98" w:rsidP="005A1D98">
            <w:pPr>
              <w:keepNext/>
              <w:spacing w:before="50" w:after="50"/>
              <w:ind w:left="-108"/>
              <w:jc w:val="center"/>
              <w:rPr>
                <w:sz w:val="20"/>
                <w:szCs w:val="20"/>
              </w:rPr>
            </w:pPr>
            <w:r w:rsidRPr="006900B2">
              <w:rPr>
                <w:sz w:val="20"/>
                <w:szCs w:val="20"/>
              </w:rPr>
              <w:t>↓</w:t>
            </w:r>
            <w:r>
              <w:rPr>
                <w:sz w:val="20"/>
                <w:szCs w:val="20"/>
              </w:rPr>
              <w:t xml:space="preserve"> 26% MPS (%</w:t>
            </w:r>
            <w:proofErr w:type="gramStart"/>
            <w:r>
              <w:rPr>
                <w:sz w:val="20"/>
                <w:szCs w:val="20"/>
              </w:rPr>
              <w:t>.h</w:t>
            </w:r>
            <w:proofErr w:type="gramEnd"/>
            <w:r>
              <w:rPr>
                <w:sz w:val="20"/>
                <w:szCs w:val="20"/>
                <w:vertAlign w:val="superscript"/>
              </w:rPr>
              <w:t>-1</w:t>
            </w:r>
            <w:r>
              <w:rPr>
                <w:sz w:val="20"/>
                <w:szCs w:val="20"/>
              </w:rPr>
              <w:t>)</w:t>
            </w:r>
          </w:p>
          <w:p w14:paraId="58223A21" w14:textId="761571C0" w:rsidR="005A1D98" w:rsidRPr="00827C5E" w:rsidRDefault="005A1D98" w:rsidP="005A1D98">
            <w:pPr>
              <w:keepNext/>
              <w:spacing w:before="50" w:after="50"/>
              <w:ind w:left="-108"/>
              <w:jc w:val="center"/>
              <w:rPr>
                <w:rFonts w:cs="Times New Roman"/>
                <w:sz w:val="20"/>
                <w:szCs w:val="20"/>
              </w:rPr>
            </w:pPr>
            <w:r w:rsidRPr="006900B2">
              <w:rPr>
                <w:sz w:val="20"/>
                <w:szCs w:val="20"/>
              </w:rPr>
              <w:t>↑</w:t>
            </w:r>
            <w:r>
              <w:rPr>
                <w:sz w:val="20"/>
                <w:szCs w:val="20"/>
              </w:rPr>
              <w:t xml:space="preserve"> 3% </w:t>
            </w:r>
            <w:r w:rsidR="007128FA">
              <w:rPr>
                <w:sz w:val="20"/>
                <w:szCs w:val="20"/>
              </w:rPr>
              <w:t>trunk FM</w:t>
            </w:r>
            <w:r>
              <w:rPr>
                <w:sz w:val="20"/>
                <w:szCs w:val="20"/>
              </w:rPr>
              <w:t>%</w:t>
            </w:r>
          </w:p>
        </w:tc>
      </w:tr>
      <w:tr w:rsidR="00935C80" w:rsidRPr="006900B2" w14:paraId="51202514" w14:textId="77777777" w:rsidTr="00935C80">
        <w:tc>
          <w:tcPr>
            <w:tcW w:w="1418" w:type="dxa"/>
            <w:tcBorders>
              <w:top w:val="single" w:sz="4" w:space="0" w:color="auto"/>
              <w:left w:val="nil"/>
              <w:bottom w:val="single" w:sz="18" w:space="0" w:color="auto"/>
              <w:right w:val="nil"/>
            </w:tcBorders>
            <w:shd w:val="clear" w:color="auto" w:fill="auto"/>
            <w:vAlign w:val="center"/>
          </w:tcPr>
          <w:p w14:paraId="560EB64D" w14:textId="159C0B87" w:rsidR="005A1D98" w:rsidRDefault="005A1D98" w:rsidP="003605CC">
            <w:pPr>
              <w:spacing w:before="50" w:after="50"/>
              <w:ind w:left="-108"/>
              <w:rPr>
                <w:rFonts w:cs="Times New Roman"/>
                <w:sz w:val="20"/>
                <w:szCs w:val="20"/>
              </w:rPr>
            </w:pPr>
            <w:r>
              <w:rPr>
                <w:rFonts w:cs="Times New Roman"/>
                <w:sz w:val="20"/>
                <w:szCs w:val="20"/>
              </w:rPr>
              <w:t>Devries et al. (</w:t>
            </w:r>
            <w:r w:rsidR="003605CC">
              <w:rPr>
                <w:rFonts w:cs="Times New Roman"/>
                <w:sz w:val="20"/>
                <w:szCs w:val="20"/>
              </w:rPr>
              <w:t>unpublished</w:t>
            </w:r>
            <w:r>
              <w:rPr>
                <w:rFonts w:cs="Times New Roman"/>
                <w:sz w:val="20"/>
                <w:szCs w:val="20"/>
              </w:rPr>
              <w:t>)</w:t>
            </w:r>
            <w:r w:rsidR="003605CC" w:rsidRPr="003274B7">
              <w:rPr>
                <w:rFonts w:cs="Times New Roman"/>
                <w:sz w:val="20"/>
                <w:szCs w:val="20"/>
                <w:vertAlign w:val="superscript"/>
              </w:rPr>
              <w:t>†</w:t>
            </w:r>
          </w:p>
        </w:tc>
        <w:tc>
          <w:tcPr>
            <w:tcW w:w="1134" w:type="dxa"/>
            <w:tcBorders>
              <w:top w:val="single" w:sz="4" w:space="0" w:color="auto"/>
              <w:left w:val="nil"/>
              <w:bottom w:val="single" w:sz="18" w:space="0" w:color="auto"/>
              <w:right w:val="nil"/>
            </w:tcBorders>
            <w:shd w:val="clear" w:color="auto" w:fill="auto"/>
            <w:vAlign w:val="center"/>
          </w:tcPr>
          <w:p w14:paraId="0D749958" w14:textId="77777777" w:rsidR="005A1D98" w:rsidRDefault="005A1D98" w:rsidP="005A1D98">
            <w:pPr>
              <w:spacing w:before="50" w:after="50"/>
              <w:ind w:left="-108"/>
              <w:jc w:val="center"/>
              <w:rPr>
                <w:rFonts w:cs="Times New Roman"/>
                <w:sz w:val="20"/>
                <w:szCs w:val="20"/>
              </w:rPr>
            </w:pPr>
            <w:r>
              <w:rPr>
                <w:rFonts w:cs="Times New Roman"/>
                <w:sz w:val="20"/>
                <w:szCs w:val="20"/>
              </w:rPr>
              <w:t>Elderly</w:t>
            </w:r>
          </w:p>
          <w:p w14:paraId="4D2B71A0" w14:textId="77777777" w:rsidR="005A1D98" w:rsidRDefault="005A1D98" w:rsidP="005A1D98">
            <w:pPr>
              <w:spacing w:before="50" w:after="50"/>
              <w:ind w:left="-108"/>
              <w:jc w:val="center"/>
              <w:rPr>
                <w:rFonts w:cs="Times New Roman"/>
                <w:sz w:val="20"/>
                <w:szCs w:val="20"/>
              </w:rPr>
            </w:pPr>
            <w:r>
              <w:rPr>
                <w:rFonts w:cs="Times New Roman"/>
                <w:sz w:val="20"/>
                <w:szCs w:val="20"/>
              </w:rPr>
              <w:t>(70)</w:t>
            </w:r>
          </w:p>
        </w:tc>
        <w:tc>
          <w:tcPr>
            <w:tcW w:w="850" w:type="dxa"/>
            <w:tcBorders>
              <w:top w:val="single" w:sz="4" w:space="0" w:color="auto"/>
              <w:left w:val="nil"/>
              <w:bottom w:val="single" w:sz="18" w:space="0" w:color="auto"/>
              <w:right w:val="nil"/>
            </w:tcBorders>
            <w:shd w:val="clear" w:color="auto" w:fill="auto"/>
            <w:vAlign w:val="center"/>
          </w:tcPr>
          <w:p w14:paraId="16B2EADB" w14:textId="77777777" w:rsidR="005A1D98" w:rsidRDefault="005A1D98" w:rsidP="005A1D98">
            <w:pPr>
              <w:spacing w:before="50" w:after="50"/>
              <w:ind w:left="-108"/>
              <w:jc w:val="center"/>
              <w:rPr>
                <w:rFonts w:cs="Times New Roman"/>
                <w:sz w:val="20"/>
                <w:szCs w:val="20"/>
              </w:rPr>
            </w:pPr>
            <w:r>
              <w:rPr>
                <w:rFonts w:cs="Times New Roman"/>
                <w:sz w:val="20"/>
                <w:szCs w:val="20"/>
              </w:rPr>
              <w:t>M</w:t>
            </w:r>
          </w:p>
        </w:tc>
        <w:tc>
          <w:tcPr>
            <w:tcW w:w="1276" w:type="dxa"/>
            <w:tcBorders>
              <w:top w:val="single" w:sz="4" w:space="0" w:color="auto"/>
              <w:left w:val="nil"/>
              <w:bottom w:val="single" w:sz="18" w:space="0" w:color="auto"/>
              <w:right w:val="nil"/>
            </w:tcBorders>
            <w:shd w:val="clear" w:color="auto" w:fill="auto"/>
            <w:vAlign w:val="center"/>
          </w:tcPr>
          <w:p w14:paraId="68E8A454" w14:textId="77777777" w:rsidR="005A1D98" w:rsidRDefault="005A1D98" w:rsidP="005A1D98">
            <w:pPr>
              <w:spacing w:before="50" w:after="50"/>
              <w:ind w:left="-108"/>
              <w:jc w:val="center"/>
              <w:rPr>
                <w:rFonts w:cs="Times New Roman"/>
                <w:sz w:val="20"/>
                <w:szCs w:val="20"/>
              </w:rPr>
            </w:pPr>
            <w:r>
              <w:rPr>
                <w:rFonts w:cs="Times New Roman"/>
                <w:sz w:val="20"/>
                <w:szCs w:val="20"/>
              </w:rPr>
              <w:t>&lt;1500</w:t>
            </w:r>
          </w:p>
          <w:p w14:paraId="3FF52360" w14:textId="77777777" w:rsidR="005A1D98" w:rsidRDefault="005A1D98" w:rsidP="005A1D98">
            <w:pPr>
              <w:spacing w:before="50" w:after="50"/>
              <w:ind w:left="-108"/>
              <w:jc w:val="center"/>
              <w:rPr>
                <w:rFonts w:cs="Times New Roman"/>
                <w:sz w:val="20"/>
                <w:szCs w:val="20"/>
              </w:rPr>
            </w:pPr>
            <w:r>
              <w:rPr>
                <w:rFonts w:cs="Times New Roman"/>
                <w:sz w:val="20"/>
                <w:szCs w:val="20"/>
              </w:rPr>
              <w:t>(80)</w:t>
            </w:r>
          </w:p>
        </w:tc>
        <w:tc>
          <w:tcPr>
            <w:tcW w:w="992" w:type="dxa"/>
            <w:tcBorders>
              <w:top w:val="single" w:sz="4" w:space="0" w:color="auto"/>
              <w:left w:val="nil"/>
              <w:bottom w:val="single" w:sz="18" w:space="0" w:color="auto"/>
              <w:right w:val="nil"/>
            </w:tcBorders>
            <w:shd w:val="clear" w:color="auto" w:fill="auto"/>
            <w:vAlign w:val="center"/>
          </w:tcPr>
          <w:p w14:paraId="3A5AF331" w14:textId="77777777" w:rsidR="005A1D98" w:rsidRDefault="005A1D98" w:rsidP="005A1D98">
            <w:pPr>
              <w:spacing w:before="50" w:after="50"/>
              <w:ind w:left="-108"/>
              <w:jc w:val="center"/>
              <w:rPr>
                <w:rFonts w:cs="Times New Roman"/>
                <w:sz w:val="20"/>
                <w:szCs w:val="20"/>
              </w:rPr>
            </w:pPr>
            <w:r>
              <w:rPr>
                <w:rFonts w:cs="Times New Roman"/>
                <w:sz w:val="20"/>
                <w:szCs w:val="20"/>
              </w:rPr>
              <w:t>14</w:t>
            </w:r>
          </w:p>
        </w:tc>
        <w:tc>
          <w:tcPr>
            <w:tcW w:w="851" w:type="dxa"/>
            <w:tcBorders>
              <w:top w:val="single" w:sz="4" w:space="0" w:color="auto"/>
              <w:left w:val="nil"/>
              <w:bottom w:val="single" w:sz="18" w:space="0" w:color="auto"/>
              <w:right w:val="nil"/>
            </w:tcBorders>
            <w:shd w:val="clear" w:color="auto" w:fill="auto"/>
            <w:vAlign w:val="center"/>
          </w:tcPr>
          <w:p w14:paraId="4E30660F" w14:textId="77777777" w:rsidR="005A1D98" w:rsidRPr="006900B2" w:rsidRDefault="005A1D98" w:rsidP="005A1D98">
            <w:pPr>
              <w:spacing w:before="50" w:after="50"/>
              <w:ind w:left="-108"/>
              <w:jc w:val="center"/>
              <w:rPr>
                <w:sz w:val="20"/>
                <w:szCs w:val="20"/>
              </w:rPr>
            </w:pPr>
            <w:r w:rsidRPr="006900B2">
              <w:rPr>
                <w:sz w:val="20"/>
                <w:szCs w:val="20"/>
              </w:rPr>
              <w:t>↓</w:t>
            </w:r>
            <w:r>
              <w:rPr>
                <w:sz w:val="20"/>
                <w:szCs w:val="20"/>
              </w:rPr>
              <w:t xml:space="preserve"> 1.4 (leg)</w:t>
            </w:r>
          </w:p>
        </w:tc>
        <w:tc>
          <w:tcPr>
            <w:tcW w:w="1134" w:type="dxa"/>
            <w:tcBorders>
              <w:top w:val="single" w:sz="4" w:space="0" w:color="auto"/>
              <w:left w:val="nil"/>
              <w:bottom w:val="single" w:sz="18" w:space="0" w:color="auto"/>
              <w:right w:val="nil"/>
            </w:tcBorders>
            <w:shd w:val="clear" w:color="auto" w:fill="auto"/>
            <w:vAlign w:val="center"/>
          </w:tcPr>
          <w:p w14:paraId="31C81D53" w14:textId="77777777" w:rsidR="005A1D98" w:rsidRPr="006900B2" w:rsidRDefault="005A1D98" w:rsidP="005A1D98">
            <w:pPr>
              <w:spacing w:before="50" w:after="50"/>
              <w:ind w:left="-108"/>
              <w:jc w:val="center"/>
              <w:rPr>
                <w:sz w:val="20"/>
                <w:szCs w:val="20"/>
              </w:rPr>
            </w:pPr>
            <w:r w:rsidRPr="006900B2">
              <w:rPr>
                <w:sz w:val="20"/>
                <w:szCs w:val="20"/>
              </w:rPr>
              <w:t>↓</w:t>
            </w:r>
            <w:r>
              <w:rPr>
                <w:sz w:val="20"/>
                <w:szCs w:val="20"/>
              </w:rPr>
              <w:t xml:space="preserve"> 7.0</w:t>
            </w:r>
          </w:p>
        </w:tc>
        <w:tc>
          <w:tcPr>
            <w:tcW w:w="3827" w:type="dxa"/>
            <w:tcBorders>
              <w:top w:val="single" w:sz="4" w:space="0" w:color="auto"/>
              <w:left w:val="nil"/>
              <w:bottom w:val="single" w:sz="18" w:space="0" w:color="auto"/>
              <w:right w:val="nil"/>
            </w:tcBorders>
            <w:shd w:val="clear" w:color="auto" w:fill="auto"/>
            <w:vAlign w:val="center"/>
          </w:tcPr>
          <w:p w14:paraId="6519C4C1" w14:textId="77777777" w:rsidR="005A1D98" w:rsidRPr="006900B2" w:rsidRDefault="005A1D98" w:rsidP="005A1D98">
            <w:pPr>
              <w:keepNext/>
              <w:spacing w:before="50" w:after="50"/>
              <w:ind w:left="-108"/>
              <w:jc w:val="center"/>
              <w:rPr>
                <w:rFonts w:cs="Times New Roman"/>
                <w:sz w:val="20"/>
                <w:szCs w:val="20"/>
              </w:rPr>
            </w:pPr>
            <w:r>
              <w:rPr>
                <w:rFonts w:cs="Times New Roman"/>
                <w:sz w:val="20"/>
                <w:szCs w:val="20"/>
              </w:rPr>
              <w:t>-</w:t>
            </w:r>
          </w:p>
        </w:tc>
        <w:tc>
          <w:tcPr>
            <w:tcW w:w="1276" w:type="dxa"/>
            <w:tcBorders>
              <w:top w:val="single" w:sz="4" w:space="0" w:color="auto"/>
              <w:left w:val="nil"/>
              <w:bottom w:val="single" w:sz="18" w:space="0" w:color="auto"/>
              <w:right w:val="nil"/>
            </w:tcBorders>
            <w:shd w:val="clear" w:color="auto" w:fill="auto"/>
            <w:vAlign w:val="center"/>
          </w:tcPr>
          <w:p w14:paraId="289E0485" w14:textId="77777777" w:rsidR="005A1D98" w:rsidRPr="006900B2" w:rsidRDefault="005A1D98" w:rsidP="005A1D98">
            <w:pPr>
              <w:keepNext/>
              <w:spacing w:before="50" w:after="50"/>
              <w:ind w:left="-108"/>
              <w:jc w:val="center"/>
              <w:rPr>
                <w:sz w:val="20"/>
                <w:szCs w:val="20"/>
              </w:rPr>
            </w:pPr>
            <w:r>
              <w:rPr>
                <w:sz w:val="20"/>
                <w:szCs w:val="20"/>
              </w:rPr>
              <w:t>-</w:t>
            </w:r>
          </w:p>
        </w:tc>
      </w:tr>
    </w:tbl>
    <w:p w14:paraId="593B4409" w14:textId="2D2814A5" w:rsidR="005A1D98" w:rsidRPr="006900B2" w:rsidRDefault="00785141" w:rsidP="005A1D98">
      <w:pPr>
        <w:pStyle w:val="Caption"/>
        <w:rPr>
          <w:rFonts w:cs="Times New Roman"/>
          <w:b w:val="0"/>
          <w:color w:val="auto"/>
          <w:sz w:val="20"/>
          <w:szCs w:val="20"/>
        </w:rPr>
      </w:pPr>
      <w:r>
        <w:rPr>
          <w:b w:val="0"/>
          <w:color w:val="auto"/>
          <w:sz w:val="20"/>
          <w:szCs w:val="20"/>
        </w:rPr>
        <w:t>A</w:t>
      </w:r>
      <w:r w:rsidR="005A1D98">
        <w:rPr>
          <w:b w:val="0"/>
          <w:color w:val="auto"/>
          <w:sz w:val="20"/>
          <w:szCs w:val="20"/>
        </w:rPr>
        <w:t>ll values based on presented averages from published studies;</w:t>
      </w:r>
      <w:r w:rsidR="00F32838">
        <w:rPr>
          <w:b w:val="0"/>
          <w:color w:val="auto"/>
          <w:sz w:val="20"/>
          <w:szCs w:val="20"/>
        </w:rPr>
        <w:t xml:space="preserve"> </w:t>
      </w:r>
      <w:r w:rsidR="005A1D98">
        <w:rPr>
          <w:b w:val="0"/>
          <w:color w:val="auto"/>
          <w:sz w:val="20"/>
          <w:szCs w:val="20"/>
        </w:rPr>
        <w:t>no difference (ND)</w:t>
      </w:r>
      <w:r w:rsidR="002535FC">
        <w:rPr>
          <w:b w:val="0"/>
          <w:color w:val="auto"/>
          <w:sz w:val="20"/>
          <w:szCs w:val="20"/>
        </w:rPr>
        <w:t>,</w:t>
      </w:r>
      <w:r w:rsidR="005A1D98">
        <w:rPr>
          <w:b w:val="0"/>
          <w:color w:val="auto"/>
          <w:sz w:val="20"/>
          <w:szCs w:val="20"/>
        </w:rPr>
        <w:t xml:space="preserve"> post-prandial glucose (PPG), area under curve (AUC), oral glucose tolerance test (OGTT), continuous glucose monitor (CGMS), oral fat tolerance test (OFTT), insulin sensitivity index (ISI), homeostatic model assessment of insulin resistance (HOMA-IR),</w:t>
      </w:r>
      <w:r w:rsidR="005A1D98" w:rsidRPr="00793AB4">
        <w:rPr>
          <w:b w:val="0"/>
          <w:color w:val="auto"/>
          <w:sz w:val="20"/>
          <w:szCs w:val="20"/>
        </w:rPr>
        <w:t xml:space="preserve"> </w:t>
      </w:r>
      <w:r w:rsidR="005A1D98">
        <w:rPr>
          <w:b w:val="0"/>
          <w:color w:val="auto"/>
          <w:sz w:val="20"/>
          <w:szCs w:val="20"/>
        </w:rPr>
        <w:t>intra-abdominal fat mas (IAFM), visceral adipose tissue (VAT),</w:t>
      </w:r>
      <w:r w:rsidR="005A1D98" w:rsidRPr="00793AB4">
        <w:rPr>
          <w:b w:val="0"/>
          <w:color w:val="auto"/>
          <w:sz w:val="20"/>
          <w:szCs w:val="20"/>
        </w:rPr>
        <w:t xml:space="preserve"> </w:t>
      </w:r>
      <w:r w:rsidR="007128FA">
        <w:rPr>
          <w:b w:val="0"/>
          <w:color w:val="auto"/>
          <w:sz w:val="20"/>
          <w:szCs w:val="20"/>
        </w:rPr>
        <w:t>fat mass</w:t>
      </w:r>
      <w:r w:rsidR="005A1D98">
        <w:rPr>
          <w:b w:val="0"/>
          <w:color w:val="auto"/>
          <w:sz w:val="20"/>
          <w:szCs w:val="20"/>
        </w:rPr>
        <w:t xml:space="preserve"> (</w:t>
      </w:r>
      <w:r w:rsidR="007128FA">
        <w:rPr>
          <w:b w:val="0"/>
          <w:color w:val="auto"/>
          <w:sz w:val="20"/>
          <w:szCs w:val="20"/>
        </w:rPr>
        <w:t>FM</w:t>
      </w:r>
      <w:r w:rsidR="005A1D98">
        <w:rPr>
          <w:b w:val="0"/>
          <w:color w:val="auto"/>
          <w:sz w:val="20"/>
          <w:szCs w:val="20"/>
        </w:rPr>
        <w:t xml:space="preserve">), muscle protein synthesis (MPS); </w:t>
      </w:r>
      <w:r w:rsidR="005A1D98">
        <w:rPr>
          <w:b w:val="0"/>
          <w:color w:val="auto"/>
          <w:sz w:val="20"/>
          <w:szCs w:val="20"/>
          <w:vertAlign w:val="superscript"/>
        </w:rPr>
        <w:t>1</w:t>
      </w:r>
      <w:r w:rsidR="005A1D98">
        <w:rPr>
          <w:b w:val="0"/>
          <w:color w:val="auto"/>
          <w:sz w:val="20"/>
          <w:szCs w:val="20"/>
        </w:rPr>
        <w:t xml:space="preserve"> sub-study 1, </w:t>
      </w:r>
      <w:r w:rsidR="005A1D98">
        <w:rPr>
          <w:b w:val="0"/>
          <w:color w:val="auto"/>
          <w:sz w:val="20"/>
          <w:szCs w:val="20"/>
          <w:vertAlign w:val="superscript"/>
        </w:rPr>
        <w:t>2</w:t>
      </w:r>
      <w:r w:rsidR="005A1D98">
        <w:rPr>
          <w:b w:val="0"/>
          <w:color w:val="auto"/>
          <w:sz w:val="20"/>
          <w:szCs w:val="20"/>
        </w:rPr>
        <w:t xml:space="preserve"> sub-study 2, * study involved hypercaloric diet, </w:t>
      </w:r>
      <w:r w:rsidR="003605CC">
        <w:rPr>
          <w:b w:val="0"/>
          <w:color w:val="auto"/>
          <w:sz w:val="20"/>
          <w:szCs w:val="20"/>
        </w:rPr>
        <w:t>†</w:t>
      </w:r>
      <w:r w:rsidR="005A1D98">
        <w:rPr>
          <w:b w:val="0"/>
          <w:color w:val="auto"/>
          <w:sz w:val="20"/>
          <w:szCs w:val="20"/>
        </w:rPr>
        <w:t xml:space="preserve"> values taken from unpublished, grouped raw data</w:t>
      </w:r>
    </w:p>
    <w:p w14:paraId="51ADE9F4" w14:textId="77777777" w:rsidR="005A1D98" w:rsidRDefault="005A1D98" w:rsidP="005A1D98">
      <w:pPr>
        <w:spacing w:line="480" w:lineRule="auto"/>
        <w:rPr>
          <w:i/>
          <w:sz w:val="20"/>
          <w:szCs w:val="20"/>
        </w:rPr>
        <w:sectPr w:rsidR="005A1D98" w:rsidSect="00935C80">
          <w:pgSz w:w="15840" w:h="12240" w:orient="landscape"/>
          <w:pgMar w:top="2155" w:right="1418" w:bottom="2211" w:left="2155" w:header="708" w:footer="708" w:gutter="0"/>
          <w:cols w:space="708"/>
        </w:sectPr>
      </w:pPr>
    </w:p>
    <w:p w14:paraId="54AA3894" w14:textId="3B40B6A5" w:rsidR="005A1D98" w:rsidRDefault="00AB3BAC" w:rsidP="0056096D">
      <w:pPr>
        <w:tabs>
          <w:tab w:val="left" w:pos="993"/>
        </w:tabs>
        <w:spacing w:line="480" w:lineRule="auto"/>
        <w:ind w:firstLine="993"/>
        <w:rPr>
          <w:rFonts w:cs="Times New Roman"/>
          <w:color w:val="000000"/>
          <w:lang w:val="en-US"/>
        </w:rPr>
      </w:pPr>
      <w:r>
        <w:rPr>
          <w:rFonts w:cs="Times New Roman"/>
        </w:rPr>
        <w:lastRenderedPageBreak/>
        <w:t>It is possible to t</w:t>
      </w:r>
      <w:r w:rsidR="005A1D98">
        <w:rPr>
          <w:rFonts w:cs="Times New Roman"/>
        </w:rPr>
        <w:t>ranslat</w:t>
      </w:r>
      <w:r>
        <w:rPr>
          <w:rFonts w:cs="Times New Roman"/>
        </w:rPr>
        <w:t>e the</w:t>
      </w:r>
      <w:r w:rsidR="00623F5A">
        <w:rPr>
          <w:rFonts w:cs="Times New Roman"/>
        </w:rPr>
        <w:t xml:space="preserve"> knowledge on reduced steps to recapitulate </w:t>
      </w:r>
      <w:r w:rsidR="005A1D98">
        <w:rPr>
          <w:rFonts w:cs="Times New Roman"/>
        </w:rPr>
        <w:t>a likely clinical scenario for an older person</w:t>
      </w:r>
      <w:r w:rsidR="00623F5A">
        <w:rPr>
          <w:rFonts w:cs="Times New Roman"/>
        </w:rPr>
        <w:t>.</w:t>
      </w:r>
      <w:r w:rsidR="005A1D98">
        <w:rPr>
          <w:rFonts w:cs="Times New Roman"/>
        </w:rPr>
        <w:t xml:space="preserve"> Oftentimes older </w:t>
      </w:r>
      <w:r w:rsidR="003605CC">
        <w:rPr>
          <w:rFonts w:cs="Times New Roman"/>
        </w:rPr>
        <w:t xml:space="preserve">adults </w:t>
      </w:r>
      <w:r w:rsidR="005A1D98">
        <w:rPr>
          <w:rFonts w:cs="Times New Roman"/>
        </w:rPr>
        <w:t>contract influenza that is serious enough to result in hospitalization for up to 8 days</w:t>
      </w:r>
      <w:r w:rsidR="005A1D98">
        <w:rPr>
          <w:rFonts w:cs="Times New Roman"/>
        </w:rPr>
        <w:fldChar w:fldCharType="begin" w:fldLock="1"/>
      </w:r>
      <w:r w:rsidR="000709FC">
        <w:rPr>
          <w:rFonts w:cs="Times New Roman"/>
        </w:rPr>
        <w:instrText>ADDIN CSL_CITATION { "citationItems" : [ { "id" : "ITEM-1", "itemData" : { "DOI" : "10.1001/jama.292.11.1333", "ISBN" : "1538-3598 (Electronic)\\n0098-7484 (Linking)", "ISSN" : "0098-7484", "PMID" : "15367555", "abstract" : "CONTEXT: Respiratory viral infections are responsible for a large number of hospitalizations in the United States each year. OBJECTIVE: To estimate annual influenza-associated hospitalizations in the United States by hospital discharge category, discharge type, and age group. DESIGN, SETTING, AND PARTICIPANTS: National Hospital Discharge Survey (NHDS) data and World Health Organization Collaborating Laboratories influenza surveillance data were used to estimate annual average numbers of hospitalizations associated with the circulation of influenza viruses from the 1979-1980 through the 2000-2001 seasons in the United States using age-specific Poisson regression models. MAIN OUTCOME MEASURES: We estimated influenza-associated hospitalizations for primary and any listed pneumonia and influenza and respiratory and circulatory hospitalizations. RESULTS: Annual averages of 94,735 (range, 18,908-193,561) primary and 133,900 (range, 30,757-271,529) any listed pneumonia and influenza hospitalizations were associated with influenza virus infections. Annual averages of 226,54 (range, 54,523-430,960) primary and 294,128 (range, 86,494-544,909) any listed respiratory and circulatory hospitalizations were associated with influenza virus infections. Persons 85 years or older had the highest rates of influenza-associated primary respiratory and circulatory hospitalizations (1194.9 per 100,000 persons). Children younger than 5 years (107.9 primary respiratory and circulatory hospitalizations per 100,000 persons) had rates similar to persons aged 50 through 64 years. Estimated rates of influenza-associated hospitalizations were highest during seasons in which A(H3N2) viruses predominated, followed by B and A(H1N1) seasons. After adjusting for the length of each influenza season, influenza-associated primary pneumonia and influenza hospitalizations increased over time among the elderly. There were no significant increases in influenza-associated primary respiratory and circulatory hospitalizations after adjusting for the length of the influenza season. CONCLUSIONS: Significant numbers of influenza-associated hospitalizations in the United States occur among the elderly, and the numbers of these hospitalizations have increased substantially over the last 2 decades due in part to the aging of the population. Children younger than 5 years had rates of influenza-associated hospitalizations similar to those among individuals aged 50 through 64 years. These findings highlight \u2026", "author" : [ { "dropping-particle" : "", "family" : "Thompson", "given" : "William W", "non-dropping-particle" : "", "parse-names" : false, "suffix" : "" }, { "dropping-particle" : "", "family" : "Shay", "given" : "David K", "non-dropping-particle" : "", "parse-names" : false, "suffix" : "" }, { "dropping-particle" : "", "family" : "Weintraub", "given" : "Eric", "non-dropping-particle" : "", "parse-names" : false, "suffix" : "" }, { "dropping-particle" : "", "family" : "Brammer", "given" : "Lynnette", "non-dropping-particle" : "", "parse-names" : false, "suffix" : "" }, { "dropping-particle" : "", "family" : "Bridges", "given" : "Carolyn B", "non-dropping-particle" : "", "parse-names" : false, "suffix" : "" }, { "dropping-particle" : "", "family" : "Cox", "given" : "Nancy J", "non-dropping-particle" : "", "parse-names" : false, "suffix" : "" }, { "dropping-particle" : "", "family" : "Fukuda", "given" : "Keiji", "non-dropping-particle" : "", "parse-names" : false, "suffix" : "" } ], "container-title" : "JAMA : the journal of the American Medical Association", "id" : "ITEM-1", "issue" : "11", "issued" : { "date-parts" : [ [ "2004", "9", "15" ] ] }, "page" : "1333-1340", "title" : "Influenza-associated hospitalizations in the United States.", "type" : "article-journal", "volume" : "292" }, "uris" : [ "http://www.mendeley.com/documents/?uuid=fdf42f35-a147-4c61-b147-ee6519432f3e" ] } ], "mendeley" : { "formattedCitation" : "&lt;sup&gt;96&lt;/sup&gt;", "plainTextFormattedCitation" : "96", "previouslyFormattedCitation" : "&lt;sup&gt;96&lt;/sup&gt;" }, "properties" : { "noteIndex" : 0 }, "schema" : "https://github.com/citation-style-language/schema/raw/master/csl-citation.json" }</w:instrText>
      </w:r>
      <w:r w:rsidR="005A1D98">
        <w:rPr>
          <w:rFonts w:cs="Times New Roman"/>
        </w:rPr>
        <w:fldChar w:fldCharType="separate"/>
      </w:r>
      <w:r w:rsidR="003D1F84" w:rsidRPr="003D1F84">
        <w:rPr>
          <w:rFonts w:cs="Times New Roman"/>
          <w:noProof/>
          <w:vertAlign w:val="superscript"/>
        </w:rPr>
        <w:t>96</w:t>
      </w:r>
      <w:r w:rsidR="005A1D98">
        <w:rPr>
          <w:rFonts w:cs="Times New Roman"/>
        </w:rPr>
        <w:fldChar w:fldCharType="end"/>
      </w:r>
      <w:r w:rsidR="005A1D98">
        <w:rPr>
          <w:rFonts w:cs="Times New Roman"/>
        </w:rPr>
        <w:t>, which would involve bed rest with minimal ambulation. On discharge from the hospital</w:t>
      </w:r>
      <w:r w:rsidR="00D576C1">
        <w:rPr>
          <w:rFonts w:cs="Times New Roman"/>
        </w:rPr>
        <w:t>,</w:t>
      </w:r>
      <w:r w:rsidR="005A1D98">
        <w:rPr>
          <w:rFonts w:cs="Times New Roman"/>
        </w:rPr>
        <w:t xml:space="preserve"> patients often suffer from post-influenza asthenia characterized by lassitude and malaise</w:t>
      </w:r>
      <w:r w:rsidR="005A1D98">
        <w:rPr>
          <w:rFonts w:cs="Times New Roman"/>
        </w:rPr>
        <w:fldChar w:fldCharType="begin" w:fldLock="1"/>
      </w:r>
      <w:r w:rsidR="000709FC">
        <w:rPr>
          <w:rFonts w:cs="Times New Roman"/>
        </w:rPr>
        <w:instrText>ADDIN CSL_CITATION { "citationItems" : [ { "id" : "ITEM-1", "itemData" : { "DOI" : "10.1007/978-1-4899-7448-8_19", "ISBN" : "978-1-4899-7447-1", "author" : [ { "dropping-particle" : "", "family" : "Treanor", "given" : "John J.", "non-dropping-particle" : "", "parse-names" : false, "suffix" : "" } ], "container-title" : "Viral Infections of Humans", "edition" : "Seventh Ed", "editor" : [ { "dropping-particle" : "", "family" : "Kaslow", "given" : "Richard A", "non-dropping-particle" : "", "parse-names" : false, "suffix" : "" }, { "dropping-particle" : "", "family" : "Stanberry", "given" : "Lawrence R", "non-dropping-particle" : "", "parse-names" : false, "suffix" : "" }, { "dropping-particle" : "", "family" : "Duc", "given" : "James W", "non-dropping-particle" : "Le", "parse-names" : false, "suffix" : "" } ], "id" : "ITEM-1", "issued" : { "date-parts" : [ [ "2014" ] ] }, "language" : "English", "page" : "455-478", "publisher" : "Springer US", "publisher-place" : "Boston, MA", "title" : "Influenza Viruses", "type" : "chapter" }, "uris" : [ "http://www.mendeley.com/documents/?uuid=870c905b-adca-4629-bb57-334d474ca143" ] } ], "mendeley" : { "formattedCitation" : "&lt;sup&gt;97&lt;/sup&gt;", "plainTextFormattedCitation" : "97", "previouslyFormattedCitation" : "&lt;sup&gt;97&lt;/sup&gt;" }, "properties" : { "noteIndex" : 0 }, "schema" : "https://github.com/citation-style-language/schema/raw/master/csl-citation.json" }</w:instrText>
      </w:r>
      <w:r w:rsidR="005A1D98">
        <w:rPr>
          <w:rFonts w:cs="Times New Roman"/>
        </w:rPr>
        <w:fldChar w:fldCharType="separate"/>
      </w:r>
      <w:r w:rsidR="003D1F84" w:rsidRPr="003D1F84">
        <w:rPr>
          <w:rFonts w:cs="Times New Roman"/>
          <w:noProof/>
          <w:vertAlign w:val="superscript"/>
        </w:rPr>
        <w:t>97</w:t>
      </w:r>
      <w:r w:rsidR="005A1D98">
        <w:rPr>
          <w:rFonts w:cs="Times New Roman"/>
        </w:rPr>
        <w:fldChar w:fldCharType="end"/>
      </w:r>
      <w:r w:rsidR="005A1D98">
        <w:rPr>
          <w:rFonts w:cs="Times New Roman"/>
        </w:rPr>
        <w:t>. This general lack of energy can possibly linger for weeks, meaning the days spent recuperating involve minimal PA</w:t>
      </w:r>
      <w:r w:rsidR="003605CC">
        <w:rPr>
          <w:rFonts w:cs="Times New Roman"/>
        </w:rPr>
        <w:t xml:space="preserve"> and daily walking</w:t>
      </w:r>
      <w:r w:rsidR="005A1D98">
        <w:rPr>
          <w:rFonts w:cs="Times New Roman"/>
        </w:rPr>
        <w:t xml:space="preserve">. Thus the flu-induced reduction in ambulation and subsequent muscular deconditioning can have a profound effect on metabolic health and could also result in muscle atrophy that is difficult, if not impossible, to recover. </w:t>
      </w:r>
      <w:r w:rsidR="00623F5A">
        <w:rPr>
          <w:rFonts w:cs="Times New Roman"/>
        </w:rPr>
        <w:t>Importantly, i</w:t>
      </w:r>
      <w:r w:rsidR="005A1D98">
        <w:rPr>
          <w:rFonts w:cs="Times New Roman"/>
        </w:rPr>
        <w:t>llnesses</w:t>
      </w:r>
      <w:r w:rsidR="005A1D98" w:rsidRPr="00795B8F">
        <w:rPr>
          <w:rFonts w:cs="Times New Roman"/>
        </w:rPr>
        <w:t>, such as</w:t>
      </w:r>
      <w:r w:rsidR="005A1D98">
        <w:rPr>
          <w:rFonts w:cs="Times New Roman"/>
        </w:rPr>
        <w:t xml:space="preserve"> </w:t>
      </w:r>
      <w:r w:rsidR="005A1D98" w:rsidRPr="00795B8F">
        <w:rPr>
          <w:rFonts w:cs="Times New Roman"/>
        </w:rPr>
        <w:t xml:space="preserve">the flu, </w:t>
      </w:r>
      <w:r w:rsidR="00623F5A">
        <w:rPr>
          <w:rFonts w:cs="Times New Roman"/>
        </w:rPr>
        <w:t xml:space="preserve">are not </w:t>
      </w:r>
      <w:r w:rsidR="00D576C1">
        <w:rPr>
          <w:rFonts w:cs="Times New Roman"/>
        </w:rPr>
        <w:t xml:space="preserve">typically </w:t>
      </w:r>
      <w:r w:rsidR="005A1D98" w:rsidRPr="00795B8F">
        <w:rPr>
          <w:rFonts w:cs="Times New Roman"/>
        </w:rPr>
        <w:t xml:space="preserve">followed up with </w:t>
      </w:r>
      <w:r w:rsidR="005A1D98">
        <w:rPr>
          <w:rFonts w:cs="Times New Roman"/>
        </w:rPr>
        <w:t xml:space="preserve">any form of musculoskeletal </w:t>
      </w:r>
      <w:r w:rsidR="005A1D98" w:rsidRPr="00795B8F">
        <w:rPr>
          <w:rFonts w:cs="Times New Roman"/>
        </w:rPr>
        <w:t>rehabilitation</w:t>
      </w:r>
      <w:r w:rsidR="005A1D98">
        <w:rPr>
          <w:rFonts w:cs="Times New Roman"/>
        </w:rPr>
        <w:t xml:space="preserve"> and as such, bouts of influenza may beget impaired functional status for older adults even months later</w:t>
      </w:r>
      <w:r w:rsidR="005A1D98">
        <w:rPr>
          <w:rFonts w:cs="Times New Roman"/>
        </w:rPr>
        <w:fldChar w:fldCharType="begin" w:fldLock="1"/>
      </w:r>
      <w:r w:rsidR="000709FC">
        <w:rPr>
          <w:rFonts w:cs="Times New Roman"/>
        </w:rPr>
        <w:instrText>ADDIN CSL_CITATION { "citationItems" : [ { "id" : "ITEM-1", "itemData" : { "DOI" : "10.1001/archinte.158.6.645", "ISSN" : "00039926", "author" : [ { "dropping-particle" : "", "family" : "Barker", "given" : "W. H.", "non-dropping-particle" : "", "parse-names" : false, "suffix" : "" } ], "container-title" : "Archives of Internal Medicine", "id" : "ITEM-1", "issue" : "6", "issued" : { "date-parts" : [ [ "1998", "3", "23" ] ] }, "page" : "645-650", "title" : "A Study of the Impact of Influenza on the Functional Status of Frail Older People", "type" : "article-journal", "volume" : "158" }, "uris" : [ "http://www.mendeley.com/documents/?uuid=9bdefdb5-da14-4142-9b71-22e3299cf154" ] } ], "mendeley" : { "formattedCitation" : "&lt;sup&gt;98&lt;/sup&gt;", "plainTextFormattedCitation" : "98", "previouslyFormattedCitation" : "&lt;sup&gt;98&lt;/sup&gt;" }, "properties" : { "noteIndex" : 0 }, "schema" : "https://github.com/citation-style-language/schema/raw/master/csl-citation.json" }</w:instrText>
      </w:r>
      <w:r w:rsidR="005A1D98">
        <w:rPr>
          <w:rFonts w:cs="Times New Roman"/>
        </w:rPr>
        <w:fldChar w:fldCharType="separate"/>
      </w:r>
      <w:r w:rsidR="003D1F84" w:rsidRPr="003D1F84">
        <w:rPr>
          <w:rFonts w:cs="Times New Roman"/>
          <w:noProof/>
          <w:vertAlign w:val="superscript"/>
        </w:rPr>
        <w:t>98</w:t>
      </w:r>
      <w:r w:rsidR="005A1D98">
        <w:rPr>
          <w:rFonts w:cs="Times New Roman"/>
        </w:rPr>
        <w:fldChar w:fldCharType="end"/>
      </w:r>
      <w:r w:rsidR="00623F5A">
        <w:rPr>
          <w:rFonts w:cs="Times New Roman"/>
        </w:rPr>
        <w:t>.</w:t>
      </w:r>
      <w:r w:rsidR="005A1D98">
        <w:rPr>
          <w:rFonts w:cs="Times New Roman"/>
        </w:rPr>
        <w:t xml:space="preserve"> A</w:t>
      </w:r>
      <w:r w:rsidR="005A1D98" w:rsidRPr="00795B8F">
        <w:rPr>
          <w:rFonts w:cs="Times New Roman"/>
        </w:rPr>
        <w:t xml:space="preserve">n important </w:t>
      </w:r>
      <w:r w:rsidR="005A1D98">
        <w:rPr>
          <w:rFonts w:cs="Times New Roman"/>
        </w:rPr>
        <w:t xml:space="preserve">message stemming from even </w:t>
      </w:r>
      <w:r w:rsidR="005A1D98" w:rsidRPr="00795B8F">
        <w:rPr>
          <w:rFonts w:cs="Times New Roman"/>
        </w:rPr>
        <w:t>s</w:t>
      </w:r>
      <w:r w:rsidR="005A1D98">
        <w:rPr>
          <w:rFonts w:cs="Times New Roman"/>
        </w:rPr>
        <w:t>hort-term hospitalization in older adults is that the</w:t>
      </w:r>
      <w:r w:rsidR="005A1D98" w:rsidRPr="00795B8F">
        <w:rPr>
          <w:rFonts w:cs="Times New Roman"/>
        </w:rPr>
        <w:t xml:space="preserve"> consequences may </w:t>
      </w:r>
      <w:r w:rsidR="005A1D98">
        <w:rPr>
          <w:rFonts w:cs="Times New Roman"/>
        </w:rPr>
        <w:t xml:space="preserve">reach far beyond simply the treatment of the </w:t>
      </w:r>
      <w:r w:rsidR="00623F5A">
        <w:rPr>
          <w:rFonts w:cs="Times New Roman"/>
        </w:rPr>
        <w:t>reason for hospitalization</w:t>
      </w:r>
      <w:r w:rsidR="005A1D98">
        <w:rPr>
          <w:rFonts w:cs="Times New Roman"/>
        </w:rPr>
        <w:t>, but also lead to atrophy</w:t>
      </w:r>
      <w:r w:rsidR="003605CC">
        <w:rPr>
          <w:rFonts w:cs="Times New Roman"/>
        </w:rPr>
        <w:t xml:space="preserve"> and</w:t>
      </w:r>
      <w:r w:rsidR="005A1D98">
        <w:rPr>
          <w:rFonts w:cs="Times New Roman"/>
        </w:rPr>
        <w:t xml:space="preserve"> decondition</w:t>
      </w:r>
      <w:r w:rsidR="00623F5A">
        <w:rPr>
          <w:rFonts w:cs="Times New Roman"/>
        </w:rPr>
        <w:t>ing</w:t>
      </w:r>
      <w:r w:rsidR="005A1D98">
        <w:rPr>
          <w:rFonts w:cs="Times New Roman"/>
        </w:rPr>
        <w:t>, which may well be permanent</w:t>
      </w:r>
      <w:r w:rsidR="00623F5A">
        <w:rPr>
          <w:rFonts w:cs="Times New Roman"/>
        </w:rPr>
        <w:t xml:space="preserve"> in older persons</w:t>
      </w:r>
      <w:r w:rsidR="005A1D98" w:rsidRPr="00795B8F">
        <w:rPr>
          <w:rFonts w:cs="Times New Roman"/>
        </w:rPr>
        <w:t>.</w:t>
      </w:r>
      <w:r w:rsidR="00623F5A">
        <w:rPr>
          <w:rFonts w:cs="Times New Roman"/>
        </w:rPr>
        <w:t xml:space="preserve"> Remarkably</w:t>
      </w:r>
      <w:r w:rsidR="005A1D98">
        <w:rPr>
          <w:rFonts w:cs="Times New Roman"/>
        </w:rPr>
        <w:t>, t</w:t>
      </w:r>
      <w:r w:rsidR="005A1D98" w:rsidRPr="00795B8F">
        <w:rPr>
          <w:rFonts w:cs="Times New Roman"/>
        </w:rPr>
        <w:t xml:space="preserve">he likelihood of early hospital readmission after acute illness </w:t>
      </w:r>
      <w:r w:rsidR="00623F5A">
        <w:rPr>
          <w:rFonts w:cs="Times New Roman"/>
        </w:rPr>
        <w:t xml:space="preserve">in </w:t>
      </w:r>
      <w:r w:rsidR="005A1D98" w:rsidRPr="00795B8F">
        <w:rPr>
          <w:rFonts w:cs="Times New Roman"/>
        </w:rPr>
        <w:t xml:space="preserve">older adults </w:t>
      </w:r>
      <w:r w:rsidR="00623F5A">
        <w:rPr>
          <w:rFonts w:cs="Times New Roman"/>
        </w:rPr>
        <w:t xml:space="preserve">is inversely related to the </w:t>
      </w:r>
      <w:r w:rsidR="005A1D98" w:rsidRPr="00795B8F">
        <w:rPr>
          <w:rFonts w:cs="Times New Roman"/>
        </w:rPr>
        <w:t>number of steps taken daily</w:t>
      </w:r>
      <w:r w:rsidR="00623F5A">
        <w:rPr>
          <w:rFonts w:cs="Times New Roman"/>
        </w:rPr>
        <w:t xml:space="preserve"> </w:t>
      </w:r>
      <w:r w:rsidR="005A1D98" w:rsidRPr="00795B8F">
        <w:rPr>
          <w:rFonts w:cs="Times New Roman"/>
        </w:rPr>
        <w:t>in hospital and upon dismissal</w:t>
      </w:r>
      <w:r w:rsidR="005A1D98" w:rsidRPr="00795B8F">
        <w:rPr>
          <w:rFonts w:cs="Times New Roman"/>
        </w:rPr>
        <w:fldChar w:fldCharType="begin" w:fldLock="1"/>
      </w:r>
      <w:r w:rsidR="000709FC">
        <w:rPr>
          <w:rFonts w:cs="Times New Roman"/>
        </w:rPr>
        <w:instrText>ADDIN CSL_CITATION { "citationItems" : [ { "id" : "ITEM-1", "itemData" : { "DOI" : "10.1093/gerona/gls252", "ISBN" : "1758-535X (Electronic)\\r1079-5006 (Linking)", "ISSN" : "10795006", "PMID" : "23254776", "abstract" : "BACKGROUND: Little is known about older patient's mobility soon after discharge home from an acute hospitalization. We examined daily postdischarge mobility levels as marker of overall health and response to in-hospital treatment in older medicine patients.\\n\\nMETHODS: One hundred and eleven ambulatory men and women aged 65 years and older hospitalized with an acute medical illness and discharged to home were studied. Patients received an ankle-worn accelerometer during hospitalization and wore it continually for up to 1 week after discharge. Total number of steps taken per day was assessed. The primary outcome was all-cause 30-day readmission.\\n\\nRESULTS: Thirteen (11.7%) participants were readmitted within 30 days of discharge. There was a significant association between mean daily steps taken postdischarge and 30-day readmission (odds ratio = 0.85, 95% confidence interval = 0.72-0.99, and p = .04; odds ratio and confidence intervals were calculated for 500-step intervals). Though not statistically significant in the fully adjusted model (odds ratio = 0.83, 95% confidence interval = 0.71-1.02, and p = .08), mean daily steps was the strongest predictor among known readmission risk factors. The least active participants postdischarge were significantly more likely to be older (p = .02), be not married (p = .02), use a cane or walker prior to admission (p &lt; .01), have longer lengths of hospital stay (p = .02), and be readmitted (p = .05).\\n\\nCONCLUSIONS: Mobility level soon after discharge home shows promise as a simple physical biomarker of overall health and risk of 30-day readmission in older patients.", "author" : [ { "dropping-particle" : "", "family" : "Fisher", "given" : "Steve R.", "non-dropping-particle" : "", "parse-names" : false, "suffix" : "" }, { "dropping-particle" : "", "family" : "Kuo", "given" : "Yong Fang", "non-dropping-particle" : "", "parse-names" : false, "suffix" : "" }, { "dropping-particle" : "", "family" : "Sharma", "given" : "Gulshan", "non-dropping-particle" : "", "parse-names" : false, "suffix" : "" }, { "dropping-particle" : "", "family" : "Raji", "given" : "Mukaila a.", "non-dropping-particle" : "", "parse-names" : false, "suffix" : "" }, { "dropping-particle" : "", "family" : "Kumar", "given" : "Amit", "non-dropping-particle" : "", "parse-names" : false, "suffix" : "" }, { "dropping-particle" : "", "family" : "Goodwin", "given" : "James S.", "non-dropping-particle" : "", "parse-names" : false, "suffix" : "" }, { "dropping-particle" : "V.", "family" : "Ostir", "given" : "Glenn", "non-dropping-particle" : "", "parse-names" : false, "suffix" : "" }, { "dropping-particle" : "", "family" : "Ottenbacher", "given" : "Kenneth J.", "non-dropping-particle" : "", "parse-names" : false, "suffix" : "" } ], "container-title" : "Journals of Gerontology - Series A Biological Sciences and Medical Sciences", "id" : "ITEM-1", "issue" : "7", "issued" : { "date-parts" : [ [ "2013", "7" ] ] }, "page" : "805-810", "title" : "Mobility after hospital discharge as a marker for 30-day readmission", "type" : "article-journal", "volume" : "68" }, "uris" : [ "http://www.mendeley.com/documents/?uuid=fb6826d4-cb1c-448c-b9c6-3ffd0a333963" ] } ], "mendeley" : { "formattedCitation" : "&lt;sup&gt;99&lt;/sup&gt;", "plainTextFormattedCitation" : "99", "previouslyFormattedCitation" : "&lt;sup&gt;99&lt;/sup&gt;" }, "properties" : { "noteIndex" : 0 }, "schema" : "https://github.com/citation-style-language/schema/raw/master/csl-citation.json" }</w:instrText>
      </w:r>
      <w:r w:rsidR="005A1D98" w:rsidRPr="00795B8F">
        <w:rPr>
          <w:rFonts w:cs="Times New Roman"/>
        </w:rPr>
        <w:fldChar w:fldCharType="separate"/>
      </w:r>
      <w:r w:rsidR="003D1F84" w:rsidRPr="003D1F84">
        <w:rPr>
          <w:rFonts w:cs="Times New Roman"/>
          <w:noProof/>
          <w:vertAlign w:val="superscript"/>
        </w:rPr>
        <w:t>99</w:t>
      </w:r>
      <w:r w:rsidR="005A1D98" w:rsidRPr="00795B8F">
        <w:rPr>
          <w:rFonts w:cs="Times New Roman"/>
        </w:rPr>
        <w:fldChar w:fldCharType="end"/>
      </w:r>
      <w:r w:rsidR="005A1D98">
        <w:rPr>
          <w:rFonts w:cs="Times New Roman"/>
        </w:rPr>
        <w:t>.</w:t>
      </w:r>
      <w:r w:rsidR="0056096D">
        <w:rPr>
          <w:rFonts w:cs="Times New Roman"/>
        </w:rPr>
        <w:t xml:space="preserve"> </w:t>
      </w:r>
      <w:r w:rsidR="005A1D98" w:rsidRPr="00795B8F">
        <w:rPr>
          <w:rFonts w:cs="Times New Roman"/>
          <w:color w:val="000000"/>
          <w:lang w:val="en-US"/>
        </w:rPr>
        <w:t xml:space="preserve">Specific ambulatory </w:t>
      </w:r>
      <w:r w:rsidR="005A1D98">
        <w:rPr>
          <w:rFonts w:cs="Times New Roman"/>
          <w:color w:val="000000"/>
          <w:lang w:val="en-US"/>
        </w:rPr>
        <w:t xml:space="preserve">‘recovery’ </w:t>
      </w:r>
      <w:r w:rsidR="005A1D98" w:rsidRPr="00795B8F">
        <w:rPr>
          <w:rFonts w:cs="Times New Roman"/>
          <w:color w:val="000000"/>
          <w:lang w:val="en-US"/>
        </w:rPr>
        <w:t xml:space="preserve">protocols do not currently </w:t>
      </w:r>
      <w:r w:rsidR="00623F5A">
        <w:rPr>
          <w:rFonts w:cs="Times New Roman"/>
          <w:color w:val="000000"/>
          <w:lang w:val="en-US"/>
        </w:rPr>
        <w:t xml:space="preserve">exist </w:t>
      </w:r>
      <w:r w:rsidR="005A1D98" w:rsidRPr="00795B8F">
        <w:rPr>
          <w:rFonts w:cs="Times New Roman"/>
          <w:color w:val="000000"/>
          <w:lang w:val="en-US"/>
        </w:rPr>
        <w:t>for inpatient</w:t>
      </w:r>
      <w:r w:rsidR="005A1D98">
        <w:rPr>
          <w:rFonts w:cs="Times New Roman"/>
          <w:color w:val="000000"/>
          <w:lang w:val="en-US"/>
        </w:rPr>
        <w:t>s</w:t>
      </w:r>
      <w:r w:rsidR="005A1D98" w:rsidRPr="00795B8F">
        <w:rPr>
          <w:rFonts w:cs="Times New Roman"/>
          <w:color w:val="000000"/>
          <w:lang w:val="en-US"/>
        </w:rPr>
        <w:t xml:space="preserve"> or outpatient</w:t>
      </w:r>
      <w:r w:rsidR="005A1D98">
        <w:rPr>
          <w:rFonts w:cs="Times New Roman"/>
          <w:color w:val="000000"/>
          <w:lang w:val="en-US"/>
        </w:rPr>
        <w:t>s</w:t>
      </w:r>
      <w:r w:rsidR="005A1D98" w:rsidRPr="00795B8F">
        <w:rPr>
          <w:rFonts w:cs="Times New Roman"/>
          <w:color w:val="000000"/>
          <w:lang w:val="en-US"/>
        </w:rPr>
        <w:t xml:space="preserve"> recovery despite evidence </w:t>
      </w:r>
      <w:r w:rsidR="005A1D98">
        <w:rPr>
          <w:rFonts w:cs="Times New Roman"/>
          <w:color w:val="000000"/>
          <w:lang w:val="en-US"/>
        </w:rPr>
        <w:t>of</w:t>
      </w:r>
      <w:r w:rsidR="005A1D98" w:rsidRPr="00795B8F">
        <w:rPr>
          <w:rFonts w:cs="Times New Roman"/>
          <w:color w:val="000000"/>
          <w:lang w:val="en-US"/>
        </w:rPr>
        <w:t xml:space="preserve"> the importance of mobility while convalescing from acute illness or injury</w:t>
      </w:r>
      <w:r w:rsidR="005A1D98">
        <w:rPr>
          <w:rFonts w:cs="Times New Roman"/>
          <w:color w:val="000000"/>
          <w:lang w:val="en-US"/>
        </w:rPr>
        <w:t xml:space="preserve">. </w:t>
      </w:r>
      <w:r w:rsidR="005A1D98">
        <w:rPr>
          <w:rFonts w:cs="Times New Roman"/>
        </w:rPr>
        <w:t>A m</w:t>
      </w:r>
      <w:r w:rsidR="005A1D98" w:rsidRPr="00795B8F">
        <w:rPr>
          <w:rFonts w:cs="Times New Roman"/>
        </w:rPr>
        <w:t xml:space="preserve">ajority of patients </w:t>
      </w:r>
      <w:r w:rsidR="005A1D98">
        <w:rPr>
          <w:rFonts w:cs="Times New Roman"/>
        </w:rPr>
        <w:t>are</w:t>
      </w:r>
      <w:r w:rsidR="005A1D98" w:rsidRPr="00795B8F">
        <w:rPr>
          <w:rFonts w:cs="Times New Roman"/>
        </w:rPr>
        <w:t xml:space="preserve"> discharged </w:t>
      </w:r>
      <w:r w:rsidR="005A1D98">
        <w:rPr>
          <w:rFonts w:cs="Times New Roman"/>
        </w:rPr>
        <w:t xml:space="preserve">to their </w:t>
      </w:r>
      <w:r w:rsidR="005A1D98" w:rsidRPr="00795B8F">
        <w:rPr>
          <w:rFonts w:cs="Times New Roman"/>
        </w:rPr>
        <w:t xml:space="preserve">home without any additional support prescribed to them </w:t>
      </w:r>
      <w:r w:rsidR="005A1D98" w:rsidRPr="00795B8F">
        <w:rPr>
          <w:rFonts w:cs="Times New Roman"/>
        </w:rPr>
        <w:fldChar w:fldCharType="begin" w:fldLock="1"/>
      </w:r>
      <w:r w:rsidR="00225DB1">
        <w:rPr>
          <w:rFonts w:cs="Times New Roman"/>
        </w:rPr>
        <w:instrText>ADDIN CSL_CITATION { "citationItems" : [ { "id" : "ITEM-1", "itemData" : { "DOI" : "10.1111/j.1532-5415.2009.02393.x", "ISBN" : "0002-8614", "ISSN" : "00028614", "PMID" : "19682121", "abstract" : "OBJECTIVES: To examine the proportion of time spent in three levels of mobility (lying, sitting, and standing or walking) by a cohort of hospitalized older veterans as measured by validated wireless accelerometers. DESIGN: A prospective, observational cohort study. SETTING: One hundred fifty-bed Department of Veterans Affairs hospital. PARTICIPANTS: Forty-five hospitalized medical patients, aged 65 and older who were not delirious, did not have dementia, and were able to walk in the 2 weeks before admission were eligible. MEASUREMENTS: Wireless accelerometers were attached to the thigh and ankle of patients for the first 7 days after admission or until hospital discharge, whichever came first. The mean proportion of time spent lying, sitting, and standing or walking was determined for each hour after hospital admission using a previously validated algorithm. RESULTS: Forty-five male patients (mean age 74.2) with a mean length of stay of 5.1 days generated 2,592 one-hour periods of data. A baseline functional assessment indicated that 35 (77.8%) study patients were willing and able to walk a short distance independently. No patient remained in bed the entire measured hospital stay, but on average, 83% of the measured hospital stay was spent lying in bed. The average amount of time that any one individual spent standing or walking ranged from a low of 0.2% to a high of 21%, with a median of 3%, or 43 minutes per day. CONCLUSION: This is the first study to continuously monitor mobility levels early during a hospital stay. On average, older hospitalized patients spent most of their time lying in bed, despite an ability to walk independently.", "author" : [ { "dropping-particle" : "", "family" : "Brown", "given" : "Cynthia J.", "non-dropping-particle" : "", "parse-names" : false, "suffix" : "" }, { "dropping-particle" : "", "family" : "Redden", "given" : "David T.", "non-dropping-particle" : "", "parse-names" : false, "suffix" : "" }, { "dropping-particle" : "", "family" : "Flood", "given" : "Kellie L.", "non-dropping-particle" : "", "parse-names" : false, "suffix" : "" }, { "dropping-particle" : "", "family" : "Allman", "given" : "Richard M.", "non-dropping-particle" : "", "parse-names" : false, "suffix" : "" } ], "container-title" : "Journal of the American Geriatrics Society", "id" : "ITEM-1", "issue" : "9", "issued" : { "date-parts" : [ [ "2009", "9" ] ] }, "page" : "1660-1665", "title" : "The underrecognized epidemic of low mobility during hospitalization of older adults", "type" : "article-journal", "volume" : "57" }, "uris" : [ "http://www.mendeley.com/documents/?uuid=1dfd85d6-53f1-4d7d-849f-3a49ed4c4233" ] } ], "mendeley" : { "formattedCitation" : "&lt;sup&gt;67&lt;/sup&gt;", "plainTextFormattedCitation" : "67", "previouslyFormattedCitation" : "&lt;sup&gt;67&lt;/sup&gt;" }, "properties" : { "noteIndex" : 0 }, "schema" : "https://github.com/citation-style-language/schema/raw/master/csl-citation.json" }</w:instrText>
      </w:r>
      <w:r w:rsidR="005A1D98" w:rsidRPr="00795B8F">
        <w:rPr>
          <w:rFonts w:cs="Times New Roman"/>
        </w:rPr>
        <w:fldChar w:fldCharType="separate"/>
      </w:r>
      <w:r w:rsidR="003605CC" w:rsidRPr="003605CC">
        <w:rPr>
          <w:rFonts w:cs="Times New Roman"/>
          <w:noProof/>
          <w:vertAlign w:val="superscript"/>
        </w:rPr>
        <w:t>67</w:t>
      </w:r>
      <w:r w:rsidR="005A1D98" w:rsidRPr="00795B8F">
        <w:rPr>
          <w:rFonts w:cs="Times New Roman"/>
        </w:rPr>
        <w:fldChar w:fldCharType="end"/>
      </w:r>
      <w:r w:rsidR="005A1D98" w:rsidRPr="00795B8F">
        <w:rPr>
          <w:rFonts w:cs="Times New Roman"/>
        </w:rPr>
        <w:t xml:space="preserve"> </w:t>
      </w:r>
      <w:r w:rsidR="005A1D98">
        <w:rPr>
          <w:rFonts w:cs="Times New Roman"/>
        </w:rPr>
        <w:lastRenderedPageBreak/>
        <w:t xml:space="preserve">while experiencing reductions in performance </w:t>
      </w:r>
      <w:r w:rsidR="00623F5A">
        <w:rPr>
          <w:rFonts w:cs="Times New Roman"/>
        </w:rPr>
        <w:t>i</w:t>
      </w:r>
      <w:r w:rsidR="005A1D98">
        <w:rPr>
          <w:rFonts w:cs="Times New Roman"/>
        </w:rPr>
        <w:t>n functional ability tasks</w:t>
      </w:r>
      <w:r w:rsidR="00623F5A">
        <w:rPr>
          <w:rFonts w:cs="Times New Roman"/>
        </w:rPr>
        <w:t xml:space="preserve"> at levels</w:t>
      </w:r>
      <w:r w:rsidR="005A1D98">
        <w:rPr>
          <w:rFonts w:cs="Times New Roman"/>
        </w:rPr>
        <w:t xml:space="preserve"> well below normal</w:t>
      </w:r>
      <w:r w:rsidR="005A1D98" w:rsidRPr="00795B8F">
        <w:rPr>
          <w:rFonts w:cs="Times New Roman"/>
        </w:rPr>
        <w:fldChar w:fldCharType="begin" w:fldLock="1"/>
      </w:r>
      <w:r w:rsidR="000709FC">
        <w:rPr>
          <w:rFonts w:cs="Times New Roman"/>
        </w:rPr>
        <w:instrText>ADDIN CSL_CITATION { "citationItems" : [ { "id" : "ITEM-1", "itemData" : { "DOI" : "10.1046/j.1532-5415.2003.51152.x", "ISBN" : "0002-8614 (Print) 0002-8614 (Linking)", "ISSN" : "00028614", "PMID" : "12657063", "abstract" : "OBJECTIVES: To describe the changes in activities of daily living (ADL) function occurring before and after hospital admission in older people hospitalized with medical illness and to assess the effect of age on loss of ADL function. DESIGN: Prospective observational study. SETTING: The general medical service of two hospitals. PARTICIPANTS: Two thousand two hundred ninety-three patients aged 70 and older (mean age 80, 64% women, 24% nonwhite). MEASUREMENTS: At the time of hospital admission, patients or their surrogates were interviewed about their independence in five ADLs (bathing, dressing, eating, transferring, and toileting) 2 weeks before admission (baseline) and at admission. Subjects were interviewed about ADL function at discharge. Outcome measures included functional decline between baseline and discharge and functional changes between baseline and admission and between admission and discharge. RESULTS: Thirty-five percent of patients declined in ADL function between baseline and discharge. This included the 23% of patients who declined between baseline and admission and failed to recover to baseline function between admission and discharge and the 12% of patients who did not decline between baseline and admission but declined between hospital admission and discharge. Twenty percent of patients declined between baseline and admission but recovered to baseline function between admission and discharge. The frequency of ADL decline between baseline and discharge varied markedly with age (23%, 28%, 38%, 50%, and 63% in patients aged 70-74, 75-79, 80-84, 85-89, and &gt; or =90, respectively, P &lt;.001). After adjustment for potential confounders, age was not associated with ADL decline before hospitalization (odds ratio (OR) for patients aged &gt; or =90 compared with patients aged 70-74 = 1.26, 95% confidence interval (CI) = 0.88-1.82). In contrast, age was associated with the failure to recover ADL function during hospitalization in patients who declined before admission (OR for patients aged &gt; or =90 compared with patients aged 70-74 = 2.09, 95% CI = 1.20-3.65) and with new losses of ADL function during hospitalization in patients who did not decline before admission (OR for patients aged &gt; or =90 compared with patients aged 70-74 = 3.43, 95% CI = 1.92-6.12). CONCLUSION: Many hospitalized older people are discharged with ADL function that is worse than their baseline function. The oldest patients are at particularly high risk of poor functional outcome\u2026", "author" : [ { "dropping-particle" : "", "family" : "Covinsky", "given" : "Kenneth E.", "non-dropping-particle" : "", "parse-names" : false, "suffix" : "" }, { "dropping-particle" : "", "family" : "Palmer", "given" : "Robert M.", "non-dropping-particle" : "", "parse-names" : false, "suffix" : "" }, { "dropping-particle" : "", "family" : "Fortinsky", "given" : "Richard H.", "non-dropping-particle" : "", "parse-names" : false, "suffix" : "" }, { "dropping-particle" : "", "family" : "Counsell", "given" : "Steven R.", "non-dropping-particle" : "", "parse-names" : false, "suffix" : "" }, { "dropping-particle" : "", "family" : "Stewart", "given" : "Anita L.", "non-dropping-particle" : "", "parse-names" : false, "suffix" : "" }, { "dropping-particle" : "", "family" : "Kresevic", "given" : "Denise", "non-dropping-particle" : "", "parse-names" : false, "suffix" : "" }, { "dropping-particle" : "", "family" : "Burant", "given" : "Christopher J.", "non-dropping-particle" : "", "parse-names" : false, "suffix" : "" }, { "dropping-particle" : "", "family" : "Landefeld", "given" : "C. Seth", "non-dropping-particle" : "", "parse-names" : false, "suffix" : "" } ], "container-title" : "Journal of the American Geriatrics Society", "id" : "ITEM-1", "issue" : "4", "issued" : { "date-parts" : [ [ "2003", "4" ] ] }, "page" : "451-458", "title" : "Loss of independence in activities of daily living in older adults hospitalized with medical illnesses: Increased vulnerability with age", "type" : "article-journal", "volume" : "51" }, "uris" : [ "http://www.mendeley.com/documents/?uuid=1a753f89-c36f-4b0a-8616-7d3ebd2ef692" ] }, { "id" : "ITEM-2", "itemData" : { "DOI" : "10.1111/j.1532-5415.2008.02023.x.Recovery", "ISSN" : "0002-8614", "author" : [ { "dropping-particle" : "", "family" : "Boyd", "given" : "Cynthia M", "non-dropping-particle" : "", "parse-names" : false, "suffix" : "" }, { "dropping-particle" : "", "family" : "Landefeld", "given" : "C Seth", "non-dropping-particle" : "", "parse-names" : false, "suffix" : "" }, { "dropping-particle" : "", "family" : "Counsell", "given" : "Steven R", "non-dropping-particle" : "", "parse-names" : false, "suffix" : "" }, { "dropping-particle" : "", "family" : "Robert", "given" : "M", "non-dropping-particle" : "", "parse-names" : false, "suffix" : "" }, { "dropping-particle" : "", "family" : "Fortinsky", "given" : "Richard H", "non-dropping-particle" : "", "parse-names" : false, "suffix" : "" }, { "dropping-particle" : "", "family" : "Kresevic", "given" : "Denise", "non-dropping-particle" : "", "parse-names" : false, "suffix" : "" } ], "container-title" : "J Am Geriatr Soc", "id" : "ITEM-2", "issue" : "12", "issued" : { "date-parts" : [ [ "2009" ] ] }, "page" : "2171-2179", "title" : "Recovery in Activities of Daily Living Among Older Adults Following Hospitalization for Acute Medical Illness", "type" : "article-journal", "volume" : "56" }, "uris" : [ "http://www.mendeley.com/documents/?uuid=20b1a00b-e79f-4829-a46b-567e4bd4900b" ] } ], "mendeley" : { "formattedCitation" : "&lt;sup&gt;73,94&lt;/sup&gt;", "plainTextFormattedCitation" : "73,94", "previouslyFormattedCitation" : "&lt;sup&gt;73,94&lt;/sup&gt;" }, "properties" : { "noteIndex" : 0 }, "schema" : "https://github.com/citation-style-language/schema/raw/master/csl-citation.json" }</w:instrText>
      </w:r>
      <w:r w:rsidR="005A1D98" w:rsidRPr="00795B8F">
        <w:rPr>
          <w:rFonts w:cs="Times New Roman"/>
        </w:rPr>
        <w:fldChar w:fldCharType="separate"/>
      </w:r>
      <w:r w:rsidR="003D1F84" w:rsidRPr="003D1F84">
        <w:rPr>
          <w:rFonts w:cs="Times New Roman"/>
          <w:noProof/>
          <w:vertAlign w:val="superscript"/>
        </w:rPr>
        <w:t>73,94</w:t>
      </w:r>
      <w:r w:rsidR="005A1D98" w:rsidRPr="00795B8F">
        <w:rPr>
          <w:rFonts w:cs="Times New Roman"/>
        </w:rPr>
        <w:fldChar w:fldCharType="end"/>
      </w:r>
      <w:r w:rsidR="005A1D98">
        <w:rPr>
          <w:rFonts w:cs="Times New Roman"/>
        </w:rPr>
        <w:t xml:space="preserve">. </w:t>
      </w:r>
      <w:r w:rsidR="005A1D98">
        <w:rPr>
          <w:rFonts w:cs="Times New Roman"/>
          <w:color w:val="000000"/>
          <w:lang w:val="en-US"/>
        </w:rPr>
        <w:t xml:space="preserve">This </w:t>
      </w:r>
      <w:r w:rsidR="00623F5A">
        <w:rPr>
          <w:rFonts w:cs="Times New Roman"/>
          <w:color w:val="000000"/>
          <w:lang w:val="en-US"/>
        </w:rPr>
        <w:t xml:space="preserve">means </w:t>
      </w:r>
      <w:r w:rsidR="005A1D98" w:rsidRPr="00795B8F">
        <w:rPr>
          <w:rFonts w:cs="Times New Roman"/>
          <w:color w:val="000000"/>
          <w:lang w:val="en-US"/>
        </w:rPr>
        <w:t xml:space="preserve">rehabilitation of skeletal muscle mass and function often incomplete with </w:t>
      </w:r>
      <w:r w:rsidR="005A1D98">
        <w:rPr>
          <w:rFonts w:cs="Times New Roman"/>
          <w:color w:val="000000"/>
          <w:lang w:val="en-US"/>
        </w:rPr>
        <w:t xml:space="preserve">potentially </w:t>
      </w:r>
      <w:r w:rsidR="005A1D98" w:rsidRPr="00795B8F">
        <w:rPr>
          <w:rFonts w:cs="Times New Roman"/>
          <w:color w:val="000000"/>
          <w:lang w:val="en-US"/>
        </w:rPr>
        <w:t>permanent losses of muscle mass and strength</w:t>
      </w:r>
      <w:r w:rsidR="005A1D98">
        <w:rPr>
          <w:rFonts w:cs="Times New Roman"/>
          <w:color w:val="000000"/>
          <w:lang w:val="en-US"/>
        </w:rPr>
        <w:t>.</w:t>
      </w:r>
    </w:p>
    <w:p w14:paraId="21496860" w14:textId="77777777" w:rsidR="005A1D98" w:rsidRPr="0034429A" w:rsidRDefault="005A1D98" w:rsidP="005A1D98">
      <w:pPr>
        <w:tabs>
          <w:tab w:val="left" w:pos="993"/>
        </w:tabs>
        <w:spacing w:line="480" w:lineRule="auto"/>
        <w:rPr>
          <w:rFonts w:cs="Times New Roman"/>
          <w:color w:val="000000"/>
          <w:lang w:val="en-US"/>
        </w:rPr>
      </w:pPr>
      <w:r>
        <w:rPr>
          <w:rFonts w:cs="Times New Roman"/>
          <w:color w:val="000000"/>
          <w:lang w:val="en-US"/>
        </w:rPr>
        <w:t xml:space="preserve"> </w:t>
      </w:r>
    </w:p>
    <w:p w14:paraId="1835DFDA" w14:textId="11F6CBD7" w:rsidR="005A1D98" w:rsidRPr="00875699" w:rsidRDefault="005A1D98" w:rsidP="00875699">
      <w:pPr>
        <w:pStyle w:val="Heading2"/>
      </w:pPr>
      <w:bookmarkStart w:id="16" w:name="_Toc296814785"/>
      <w:bookmarkStart w:id="17" w:name="_Toc296932764"/>
      <w:r w:rsidRPr="00875699">
        <w:t>SIGNIFICANCE</w:t>
      </w:r>
      <w:bookmarkEnd w:id="16"/>
      <w:bookmarkEnd w:id="17"/>
    </w:p>
    <w:p w14:paraId="65D971C7" w14:textId="01396854" w:rsidR="005A1D98" w:rsidRDefault="005A1D98" w:rsidP="005A1D98">
      <w:pPr>
        <w:spacing w:line="480" w:lineRule="auto"/>
        <w:ind w:firstLine="720"/>
        <w:rPr>
          <w:rFonts w:cs="Times New Roman"/>
        </w:rPr>
      </w:pPr>
      <w:r>
        <w:rPr>
          <w:rFonts w:cs="Times New Roman"/>
        </w:rPr>
        <w:t>Periods of physical inactivity contribute to a</w:t>
      </w:r>
      <w:r w:rsidRPr="00795B8F">
        <w:rPr>
          <w:rFonts w:cs="Times New Roman"/>
        </w:rPr>
        <w:t xml:space="preserve"> </w:t>
      </w:r>
      <w:r>
        <w:rPr>
          <w:rFonts w:cs="Times New Roman"/>
        </w:rPr>
        <w:t>deleterious cycle</w:t>
      </w:r>
      <w:r w:rsidRPr="00795B8F">
        <w:rPr>
          <w:rFonts w:cs="Times New Roman"/>
        </w:rPr>
        <w:t xml:space="preserve"> resulting </w:t>
      </w:r>
      <w:r>
        <w:rPr>
          <w:rFonts w:cs="Times New Roman"/>
        </w:rPr>
        <w:t>in accelerated</w:t>
      </w:r>
      <w:r w:rsidR="0056096D">
        <w:rPr>
          <w:rFonts w:cs="Times New Roman"/>
        </w:rPr>
        <w:t xml:space="preserve"> age-</w:t>
      </w:r>
      <w:r w:rsidRPr="00795B8F">
        <w:rPr>
          <w:rFonts w:cs="Times New Roman"/>
        </w:rPr>
        <w:t xml:space="preserve">related </w:t>
      </w:r>
      <w:r>
        <w:rPr>
          <w:rFonts w:cs="Times New Roman"/>
        </w:rPr>
        <w:t xml:space="preserve">loss of </w:t>
      </w:r>
      <w:r w:rsidRPr="00795B8F">
        <w:rPr>
          <w:rFonts w:cs="Times New Roman"/>
        </w:rPr>
        <w:t xml:space="preserve">muscle mass and strength. Decreased </w:t>
      </w:r>
      <w:r>
        <w:rPr>
          <w:rFonts w:cs="Times New Roman"/>
        </w:rPr>
        <w:t>PA</w:t>
      </w:r>
      <w:r w:rsidRPr="00795B8F">
        <w:rPr>
          <w:rFonts w:cs="Times New Roman"/>
        </w:rPr>
        <w:t xml:space="preserve"> </w:t>
      </w:r>
      <w:r w:rsidR="00E112F8">
        <w:rPr>
          <w:rFonts w:cs="Times New Roman"/>
        </w:rPr>
        <w:t xml:space="preserve">and daily steps </w:t>
      </w:r>
      <w:r w:rsidRPr="00795B8F">
        <w:rPr>
          <w:rFonts w:cs="Times New Roman"/>
        </w:rPr>
        <w:t>accompanying sarcopenia</w:t>
      </w:r>
      <w:r w:rsidRPr="00795B8F">
        <w:rPr>
          <w:rFonts w:cs="Times New Roman"/>
        </w:rPr>
        <w:fldChar w:fldCharType="begin" w:fldLock="1"/>
      </w:r>
      <w:r w:rsidR="000709FC">
        <w:rPr>
          <w:rFonts w:cs="Times New Roman"/>
        </w:rPr>
        <w:instrText>ADDIN CSL_CITATION { "citationItems" : [ { "id" : "ITEM-1", "itemData" : { "DOI" : "10.2147/CIA.S44112", "ISSN" : "11769092", "PMID" : "23723694", "abstract" : "AIM: To determine differences in physical activity level and functional fitness between young elderly (60-69 years) and old elderly (70-80 years) people with the hypothesis that an age-related decline would be found.\\n\\nMETHODS: A total of 1288 participants' level of physical activity was evaluated using the International Physical Activity Questionnaire: 594 were male (mean \u00b1 standard deviation: body height 175.62 \u00b1 9.78 cm; body weight 82.26 \u00b1 31.33 kg) and 694 female (mean \u00b1 standard deviation: body height 165.17 \u00b1 23.12 cm; body weight 69.74 \u00b1 12.44 kg). Functional fitness was also estimated using the Senior Fitness Test: back scratch, chair sit and reach, 8-foot up and go, chair stand up for 30 seconds, arm curl, and 2-minute step test.\\n\\nRESULTS: Significant differences (P &lt; 0.05) were found for all Senior Fitness tests between young elderly (60-69 years) and old elderly (70-80) men. Similar results were found for the women, except no significant differences were found for the chair sit and reach and the 2-minute step test. From the viewpoint of energy consumption estimated by the International Physical Activity Questionnaire, moderate physical activity is dominant. In addition, with aging, among men and women older than 60 years, the value of the Metabolic Equivalent of Task in total physical activity significantly reduces (P &lt; 0.05).\\n\\nCONCLUSIONS: This study found that the reduction in physical activity level and functional fitness was equal for both men and women and was due to the aging process. These differences between young and old elderly people were due to the reduction of muscle strength in both upper and lower limbs and changes in body-fat percentage, flexibility, agility, and endurance.", "author" : [ { "dropping-particle" : "", "family" : "Milanovi\u0107", "given" : "Zoran", "non-dropping-particle" : "", "parse-names" : false, "suffix" : "" }, { "dropping-particle" : "", "family" : "Panteli\u0107", "given" : "Sa\u0161a", "non-dropping-particle" : "", "parse-names" : false, "suffix" : "" }, { "dropping-particle" : "", "family" : "Trajkovi\u0107", "given" : "Neboj\u0161a", "non-dropping-particle" : "", "parse-names" : false, "suffix" : "" }, { "dropping-particle" : "", "family" : "Spori\u0161", "given" : "Goran", "non-dropping-particle" : "", "parse-names" : false, "suffix" : "" }, { "dropping-particle" : "", "family" : "Kosti\u0107", "given" : "Radmila", "non-dropping-particle" : "", "parse-names" : false, "suffix" : "" }, { "dropping-particle" : "", "family" : "James", "given" : "Nic", "non-dropping-particle" : "", "parse-names" : false, "suffix" : "" } ], "container-title" : "Clinical Interventions in Aging", "id" : "ITEM-1", "issued" : { "date-parts" : [ [ "2013" ] ] }, "page" : "549-556", "title" : "Age-related decrease in physical activity and functional fitness among elderly men and women", "type" : "article-journal", "volume" : "8" }, "uris" : [ "http://www.mendeley.com/documents/?uuid=ac9dfa9a-cdc9-4258-8ddd-d3d3a2ecee92" ] } ], "mendeley" : { "formattedCitation" : "&lt;sup&gt;100&lt;/sup&gt;", "plainTextFormattedCitation" : "100", "previouslyFormattedCitation" : "&lt;sup&gt;100&lt;/sup&gt;" }, "properties" : { "noteIndex" : 0 }, "schema" : "https://github.com/citation-style-language/schema/raw/master/csl-citation.json" }</w:instrText>
      </w:r>
      <w:r w:rsidRPr="00795B8F">
        <w:rPr>
          <w:rFonts w:cs="Times New Roman"/>
        </w:rPr>
        <w:fldChar w:fldCharType="separate"/>
      </w:r>
      <w:r w:rsidR="003D1F84" w:rsidRPr="003D1F84">
        <w:rPr>
          <w:rFonts w:cs="Times New Roman"/>
          <w:noProof/>
          <w:vertAlign w:val="superscript"/>
        </w:rPr>
        <w:t>100</w:t>
      </w:r>
      <w:r w:rsidRPr="00795B8F">
        <w:rPr>
          <w:rFonts w:cs="Times New Roman"/>
        </w:rPr>
        <w:fldChar w:fldCharType="end"/>
      </w:r>
      <w:r>
        <w:rPr>
          <w:rFonts w:cs="Times New Roman"/>
        </w:rPr>
        <w:t xml:space="preserve"> </w:t>
      </w:r>
      <w:r w:rsidRPr="00795B8F">
        <w:rPr>
          <w:rFonts w:cs="Times New Roman"/>
        </w:rPr>
        <w:t>ha</w:t>
      </w:r>
      <w:r>
        <w:rPr>
          <w:rFonts w:cs="Times New Roman"/>
        </w:rPr>
        <w:t>ve</w:t>
      </w:r>
      <w:r w:rsidRPr="00795B8F">
        <w:rPr>
          <w:rFonts w:cs="Times New Roman"/>
        </w:rPr>
        <w:t xml:space="preserve"> implications for </w:t>
      </w:r>
      <w:r>
        <w:rPr>
          <w:rFonts w:cs="Times New Roman"/>
        </w:rPr>
        <w:t xml:space="preserve">development of </w:t>
      </w:r>
      <w:r w:rsidRPr="00795B8F">
        <w:rPr>
          <w:rFonts w:cs="Times New Roman"/>
        </w:rPr>
        <w:t>disease</w:t>
      </w:r>
      <w:r w:rsidRPr="00795B8F">
        <w:rPr>
          <w:rFonts w:cs="Times New Roman"/>
        </w:rPr>
        <w:fldChar w:fldCharType="begin" w:fldLock="1"/>
      </w:r>
      <w:r w:rsidR="006670B1">
        <w:rPr>
          <w:rFonts w:cs="Times New Roman"/>
        </w:rPr>
        <w:instrText>ADDIN CSL_CITATION { "citationItems" : [ { "id" : "ITEM-1", "itemData" : { "DOI" : "10.1016/S0070-2153(05)68005-2", "ISBN" : "0121531686", "ISSN" : "00702153", "PMID" : "16124998", "abstract" : "Sarcopenia contributes significantly to the morbidity, decrease in quality of life, and health care costs in the elderly. It is characterized by a decrease in muscle mass and strength, starting as early as the fourth decade of life in humans. Distinct muscle changes include a decrease in type 2 muscle fibers and a decrease in myosin heavy chains IIa and IIx mRNA levels. In addition, a decrease in whole body protein turnover, mixed muscle protein synthesis, myosin heavy chain synthesis, and mitochondrial protein synthesis have been reported. Different tissues and organs display different responses to aging, with more oxidative tissue generally having more age-related changes. Exercise has been shown to increase strength, aerobic capacity, and muscle protein synthesis, as well as to increase muscle mitochondrial enzyme activity in both young and older people; however, exercise does not reverse all age-related changes. The metabolic effects of sarcopenia include a decrease in resting metabolic rate secondary to decreased fat-free mass and decreased physical activity, leading to a higher prevalence of insulin resistance, type 2 diabetes mellitus, dyslipidemia, and hypertension. The way in which age-related changes in hormone levels affect muscle remains to be fully understood. The effect of replacing those hormones on sarcopenia has led to some conflicting results, but further investigations are ongoing. ?? 2005 Elsevier Inc. All rights reserved.", "author" : [ { "dropping-particle" : "", "family" : "Karakelides", "given" : "Helen", "non-dropping-particle" : "", "parse-names" : false, "suffix" : "" }, { "dropping-particle" : "", "family" : "Nair", "given" : "K. Sreekumaran", "non-dropping-particle" : "", "parse-names" : false, "suffix" : "" } ], "container-title" : "Current Topics in Developmental Biology", "id" : "ITEM-1", "issued" : { "date-parts" : [ [ "2005", "1" ] ] }, "page" : "123-148", "title" : "Sarcopenia of Aging and Its Metabolic Impact", "type" : "article-journal", "volume" : "68" }, "uris" : [ "http://www.mendeley.com/documents/?uuid=37fd1afa-7b3f-480d-9422-a78976e20c78" ] } ], "mendeley" : { "formattedCitation" : "&lt;sup&gt;24&lt;/sup&gt;", "plainTextFormattedCitation" : "24", "previouslyFormattedCitation" : "&lt;sup&gt;24&lt;/sup&gt;"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24</w:t>
      </w:r>
      <w:r w:rsidRPr="00795B8F">
        <w:rPr>
          <w:rFonts w:cs="Times New Roman"/>
        </w:rPr>
        <w:fldChar w:fldCharType="end"/>
      </w:r>
      <w:r w:rsidRPr="00795B8F">
        <w:rPr>
          <w:rFonts w:cs="Times New Roman"/>
        </w:rPr>
        <w:t xml:space="preserve">, </w:t>
      </w:r>
      <w:r>
        <w:rPr>
          <w:rFonts w:cs="Times New Roman"/>
        </w:rPr>
        <w:t xml:space="preserve">changes in </w:t>
      </w:r>
      <w:r w:rsidRPr="00795B8F">
        <w:rPr>
          <w:rFonts w:cs="Times New Roman"/>
        </w:rPr>
        <w:t>functional ability</w:t>
      </w:r>
      <w:r w:rsidR="00623F5A">
        <w:rPr>
          <w:rFonts w:cs="Times New Roman"/>
        </w:rPr>
        <w:t>,</w:t>
      </w:r>
      <w:r w:rsidRPr="00795B8F">
        <w:rPr>
          <w:rFonts w:cs="Times New Roman"/>
        </w:rPr>
        <w:t xml:space="preserve"> and </w:t>
      </w:r>
      <w:r>
        <w:rPr>
          <w:rFonts w:cs="Times New Roman"/>
        </w:rPr>
        <w:t xml:space="preserve">even </w:t>
      </w:r>
      <w:r w:rsidRPr="00795B8F">
        <w:rPr>
          <w:rFonts w:cs="Times New Roman"/>
        </w:rPr>
        <w:t>mortality</w:t>
      </w:r>
      <w:r w:rsidRPr="00795B8F">
        <w:rPr>
          <w:rFonts w:cs="Times New Roman"/>
        </w:rPr>
        <w:fldChar w:fldCharType="begin" w:fldLock="1"/>
      </w:r>
      <w:r w:rsidR="000709FC">
        <w:rPr>
          <w:rFonts w:cs="Times New Roman"/>
        </w:rPr>
        <w:instrText>ADDIN CSL_CITATION { "citationItems" : [ { "id" : "ITEM-1", "itemData" : { "DOI" : "10.2105/AJPH.83.10.1443", "ISBN" : "0090-0036 (Print)\\r0090-0036 (Linking)", "ISSN" : "00900036", "PMID" : "8214236", "abstract" : "OBJECTIVES: This study examined the association between recreational physical activity among physically capable older adults and functional status, incidence of selected chronic conditions, and mortality over 3 and 6 years. METHODS: Data are from three sites of the Established Populations for Epidemiologic Studies of the Elderly. RESULTS: A high level of recreational physical activity reduced the likelihood of mortality over both 3 and 6 years. Moderate to high activity reduced the risk of physical impairments over 3 years; this effect diminishes after 6 years. A consistent relationship between activity and new myocardial infarction or stroke or the incidence of diabetes or angina was not found after 3 or 6 years. CONCLUSIONS: Findings suggest that physical activity offers benefits to physically capable older adults, primarily in reducing the risk of functional decline and mortality. Future work must use more objective and quantifiable measures of activity and assess changes in activity levels over time.", "author" : [ { "dropping-particle" : "", "family" : "Simonsick", "given" : "E. M.", "non-dropping-particle" : "", "parse-names" : false, "suffix" : "" }, { "dropping-particle" : "", "family" : "Lafferty", "given" : "M. E.", "non-dropping-particle" : "", "parse-names" : false, "suffix" : "" }, { "dropping-particle" : "", "family" : "Phillips", "given" : "C. L.", "non-dropping-particle" : "", "parse-names" : false, "suffix" : "" }, { "dropping-particle" : "", "family" : "Mendes de Leon", "given" : "C. F.", "non-dropping-particle" : "", "parse-names" : false, "suffix" : "" }, { "dropping-particle" : "V.", "family" : "Kasl", "given" : "S.", "non-dropping-particle" : "", "parse-names" : false, "suffix" : "" }, { "dropping-particle" : "", "family" : "Seeman", "given" : "T. E.", "non-dropping-particle" : "", "parse-names" : false, "suffix" : "" }, { "dropping-particle" : "", "family" : "Fillenbaum", "given" : "G.", "non-dropping-particle" : "", "parse-names" : false, "suffix" : "" }, { "dropping-particle" : "", "family" : "Hebert", "given" : "P.", "non-dropping-particle" : "", "parse-names" : false, "suffix" : "" }, { "dropping-particle" : "", "family" : "Lemke", "given" : "J. H.", "non-dropping-particle" : "", "parse-names" : false, "suffix" : "" } ], "container-title" : "American Journal of Public Health", "id" : "ITEM-1", "issue" : "10", "issued" : { "date-parts" : [ [ "1993", "10" ] ] }, "page" : "1443-1450", "title" : "Risk due to inactivity in physically capable older adults", "type" : "article-journal", "volume" : "83" }, "uris" : [ "http://www.mendeley.com/documents/?uuid=37f155e8-94a7-4c8d-8a09-411ad9f0ab73" ] } ], "mendeley" : { "formattedCitation" : "&lt;sup&gt;101&lt;/sup&gt;", "plainTextFormattedCitation" : "101", "previouslyFormattedCitation" : "&lt;sup&gt;101&lt;/sup&gt;" }, "properties" : { "noteIndex" : 0 }, "schema" : "https://github.com/citation-style-language/schema/raw/master/csl-citation.json" }</w:instrText>
      </w:r>
      <w:r w:rsidRPr="00795B8F">
        <w:rPr>
          <w:rFonts w:cs="Times New Roman"/>
        </w:rPr>
        <w:fldChar w:fldCharType="separate"/>
      </w:r>
      <w:r w:rsidR="003D1F84" w:rsidRPr="003D1F84">
        <w:rPr>
          <w:rFonts w:cs="Times New Roman"/>
          <w:noProof/>
          <w:vertAlign w:val="superscript"/>
        </w:rPr>
        <w:t>101</w:t>
      </w:r>
      <w:r w:rsidRPr="00795B8F">
        <w:rPr>
          <w:rFonts w:cs="Times New Roman"/>
        </w:rPr>
        <w:fldChar w:fldCharType="end"/>
      </w:r>
      <w:r>
        <w:rPr>
          <w:rFonts w:cs="Times New Roman"/>
        </w:rPr>
        <w:t>.</w:t>
      </w:r>
      <w:r w:rsidRPr="00795B8F">
        <w:rPr>
          <w:rFonts w:cs="Times New Roman"/>
        </w:rPr>
        <w:t xml:space="preserve"> </w:t>
      </w:r>
      <w:r>
        <w:rPr>
          <w:rFonts w:cs="Times New Roman"/>
        </w:rPr>
        <w:t>In particular,</w:t>
      </w:r>
      <w:r w:rsidRPr="00795B8F">
        <w:rPr>
          <w:rFonts w:cs="Times New Roman"/>
        </w:rPr>
        <w:t xml:space="preserve"> the association </w:t>
      </w:r>
      <w:r>
        <w:rPr>
          <w:rFonts w:cs="Times New Roman"/>
        </w:rPr>
        <w:t>between</w:t>
      </w:r>
      <w:r w:rsidRPr="00795B8F">
        <w:rPr>
          <w:rFonts w:cs="Times New Roman"/>
        </w:rPr>
        <w:t xml:space="preserve"> strength and falls in older adults </w:t>
      </w:r>
      <w:r w:rsidRPr="00795B8F">
        <w:rPr>
          <w:rFonts w:cs="Times New Roman"/>
        </w:rPr>
        <w:fldChar w:fldCharType="begin" w:fldLock="1"/>
      </w:r>
      <w:r w:rsidR="000709FC">
        <w:rPr>
          <w:rFonts w:cs="Times New Roman"/>
        </w:rPr>
        <w:instrText>ADDIN CSL_CITATION { "citationItems" : [ { "id" : "ITEM-1", "itemData" : { "DOI" : "10.1093/gerona/50A.Special_Issue.64", "ISBN" : "1079-5006 (Print)\\n1079-5006 (Linking)", "ISSN" : "1079-5006", "PMID" : "7493221", "abstract" : "We studied the effects of lower extremity strength as well as gait and balance on the occurrence of falls in nursing home residents. Nursing home residents with a history of falls had less than half of the knee and ankle strength of nonfalling subjects residing in the same home. The differences were more prominent at the ankle than the knee, and were most pronounced in the ankle dorsiflexors, where they were one-tenth that of controls. Also of note was the fact that this same group of fallers had slowed gait velocity (58% of control) as well as an impaired response to postural perturbation as determined on the Postural Stress Test (55% of control). In a recently completed study we measured strength as balance (EquiTest balance platform) of community-dwelling subjects. The occurrence of loss of balance during the sensory organization test was correlated with diminished lower extremity (Pearson R = -.36, p = .001) as well as ankle dorsi and plantar flexion moments (Pearson R = -.37, p = .001). Using a logistic regression model, we demonstrated an independent effect of strength on the odds ratio of an SOT-LOB; for each newtonmeter per kg increase in strength there was a 20% decrease (95% CI, .74-87) in the odds ratio. The data from both nursing home and community-dwelling subjects indicate a strong relationship of lower extremity strength to balance and gait. The nursing home studies demonstrated an association between these functions and the occurrence of falls.", "author" : [ { "dropping-particle" : "", "family" : "Wolfson", "given" : "L", "non-dropping-particle" : "", "parse-names" : false, "suffix" : "" }, { "dropping-particle" : "", "family" : "Judge", "given" : "J", "non-dropping-particle" : "", "parse-names" : false, "suffix" : "" }, { "dropping-particle" : "", "family" : "Whipple", "given" : "R", "non-dropping-particle" : "", "parse-names" : false, "suffix" : "" }, { "dropping-particle" : "", "family" : "King", "given" : "M", "non-dropping-particle" : "", "parse-names" : false, "suffix" : "" } ], "container-title" : "The journals of gerontology. Series A, Biological sciences and medical sciences", "id" : "ITEM-1", "issued" : { "date-parts" : [ [ "1995" ] ] }, "page" : "64-67", "title" : "Strength is a major factor in balance, gait, and the occurrence of falls.", "type" : "article-journal", "volume" : "50 Spec No" }, "uris" : [ "http://www.mendeley.com/documents/?uuid=dd8e5957-40c6-4ddd-b078-6c8af595006a" ] } ], "mendeley" : { "formattedCitation" : "&lt;sup&gt;102&lt;/sup&gt;", "plainTextFormattedCitation" : "102", "previouslyFormattedCitation" : "&lt;sup&gt;102&lt;/sup&gt;" }, "properties" : { "noteIndex" : 0 }, "schema" : "https://github.com/citation-style-language/schema/raw/master/csl-citation.json" }</w:instrText>
      </w:r>
      <w:r w:rsidRPr="00795B8F">
        <w:rPr>
          <w:rFonts w:cs="Times New Roman"/>
        </w:rPr>
        <w:fldChar w:fldCharType="separate"/>
      </w:r>
      <w:r w:rsidR="003D1F84" w:rsidRPr="003D1F84">
        <w:rPr>
          <w:rFonts w:cs="Times New Roman"/>
          <w:noProof/>
          <w:vertAlign w:val="superscript"/>
        </w:rPr>
        <w:t>102</w:t>
      </w:r>
      <w:r w:rsidRPr="00795B8F">
        <w:rPr>
          <w:rFonts w:cs="Times New Roman"/>
        </w:rPr>
        <w:fldChar w:fldCharType="end"/>
      </w:r>
      <w:r w:rsidRPr="00795B8F">
        <w:rPr>
          <w:rFonts w:cs="Times New Roman"/>
        </w:rPr>
        <w:t xml:space="preserve">, typically considered a watershed moment for </w:t>
      </w:r>
      <w:r>
        <w:rPr>
          <w:rFonts w:cs="Times New Roman"/>
        </w:rPr>
        <w:t xml:space="preserve">loss of </w:t>
      </w:r>
      <w:r w:rsidRPr="00795B8F">
        <w:rPr>
          <w:rFonts w:cs="Times New Roman"/>
        </w:rPr>
        <w:t>independent mobility</w:t>
      </w:r>
      <w:r w:rsidRPr="00795B8F">
        <w:rPr>
          <w:rFonts w:cs="Times New Roman"/>
        </w:rPr>
        <w:fldChar w:fldCharType="begin" w:fldLock="1"/>
      </w:r>
      <w:r w:rsidR="000709FC">
        <w:rPr>
          <w:rFonts w:cs="Times New Roman"/>
        </w:rPr>
        <w:instrText>ADDIN CSL_CITATION { "citationItems" : [ { "id" : "ITEM-1", "itemData" : { "DOI" : "10.1139/H07-129", "ISBN" : "1715-5312 (Print)", "ISSN" : "1715-5312", "PMID" : "18059595", "abstract" : "Progressive resistance training promotes strength gains in both the young and the aged. Importantly, gains in strength in aged persons are, with the appropriate duration, intensity, and progression, not simply due to neuromuscular mechanisms, but also encompass muscle fibre hypertrophy. Critically, the resistance exercise-induced changes in aged skeletal muscle are associated with numerous health benefits, the most obvious of which are the gains in strength and, with the correct training program, power; as a result, functional independence is improved and the risk for falls is apparently reduced. Aside from the well-documented effects of resistance training on strength and power, a body of research is now beginning to emerge that shows resistance exercise also promotes metabolic health. This is crucial information, since it effectively highlights an underappreciated aspect of resistance exercise. Specifically, resistance exercise not only promotes strength gains, but also reduces risk for diabetes and cardiovascular disease. The benefits of resistance exercise do not end at metabolic health, however, and \"spill over\" into many other realms. In fact, resistance exercise programs have been shown to reduce participants' use of the health care system. Viewed collectively, the multiple benefits of resistance exercise represent an attractive option for our aging population to enhance and maintain their health from a number of perspectives that are not achievable through pharmacological intervention or with solely aerobic-based exercise.", "author" : [ { "dropping-particle" : "", "family" : "Phillips", "given" : "Stuart M", "non-dropping-particle" : "", "parse-names" : false, "suffix" : "" } ], "container-title" : "Applied physiology, nutrition, and metabolism = Physiologie appliquee, nutrition et metabolisme", "id" : "ITEM-1", "issue" : "6", "issued" : { "date-parts" : [ [ "2007", "12" ] ] }, "page" : "1198-1205", "title" : "Resistance exercise: good for more than just Grandma and Grandpa's muscles.", "type" : "article-journal", "volume" : "32" }, "uris" : [ "http://www.mendeley.com/documents/?uuid=3d23a53d-9881-4297-afce-9060a27cfb42" ] } ], "mendeley" : { "formattedCitation" : "&lt;sup&gt;103&lt;/sup&gt;", "plainTextFormattedCitation" : "103", "previouslyFormattedCitation" : "&lt;sup&gt;103&lt;/sup&gt;" }, "properties" : { "noteIndex" : 0 }, "schema" : "https://github.com/citation-style-language/schema/raw/master/csl-citation.json" }</w:instrText>
      </w:r>
      <w:r w:rsidRPr="00795B8F">
        <w:rPr>
          <w:rFonts w:cs="Times New Roman"/>
        </w:rPr>
        <w:fldChar w:fldCharType="separate"/>
      </w:r>
      <w:r w:rsidR="003D1F84" w:rsidRPr="003D1F84">
        <w:rPr>
          <w:rFonts w:cs="Times New Roman"/>
          <w:noProof/>
          <w:vertAlign w:val="superscript"/>
        </w:rPr>
        <w:t>103</w:t>
      </w:r>
      <w:r w:rsidRPr="00795B8F">
        <w:rPr>
          <w:rFonts w:cs="Times New Roman"/>
        </w:rPr>
        <w:fldChar w:fldCharType="end"/>
      </w:r>
      <w:r w:rsidRPr="00795B8F">
        <w:rPr>
          <w:rFonts w:cs="Times New Roman"/>
        </w:rPr>
        <w:t xml:space="preserve">, </w:t>
      </w:r>
      <w:r>
        <w:rPr>
          <w:rFonts w:cs="Times New Roman"/>
        </w:rPr>
        <w:t xml:space="preserve">play a clear role in this cycle (Figure 2). </w:t>
      </w:r>
      <w:r w:rsidR="00D576C1">
        <w:rPr>
          <w:rFonts w:cs="Times New Roman"/>
        </w:rPr>
        <w:t>I propose that</w:t>
      </w:r>
      <w:r>
        <w:rPr>
          <w:rFonts w:cs="Times New Roman"/>
        </w:rPr>
        <w:t xml:space="preserve"> repeated cycles of disuse and loss </w:t>
      </w:r>
      <w:r w:rsidR="00D576C1">
        <w:rPr>
          <w:rFonts w:cs="Times New Roman"/>
        </w:rPr>
        <w:t xml:space="preserve">in older adults </w:t>
      </w:r>
      <w:r>
        <w:rPr>
          <w:rFonts w:cs="Times New Roman"/>
        </w:rPr>
        <w:t>increases</w:t>
      </w:r>
      <w:r w:rsidR="00D576C1">
        <w:rPr>
          <w:rFonts w:cs="Times New Roman"/>
        </w:rPr>
        <w:t xml:space="preserve"> the</w:t>
      </w:r>
      <w:r w:rsidRPr="00795B8F">
        <w:rPr>
          <w:rFonts w:cs="Times New Roman"/>
        </w:rPr>
        <w:t xml:space="preserve"> </w:t>
      </w:r>
      <w:r>
        <w:rPr>
          <w:rFonts w:cs="Times New Roman"/>
        </w:rPr>
        <w:t xml:space="preserve">risk </w:t>
      </w:r>
      <w:r w:rsidR="00D576C1">
        <w:rPr>
          <w:rFonts w:cs="Times New Roman"/>
        </w:rPr>
        <w:t>of a</w:t>
      </w:r>
      <w:r w:rsidRPr="00795B8F">
        <w:rPr>
          <w:rFonts w:cs="Times New Roman"/>
        </w:rPr>
        <w:t xml:space="preserve"> </w:t>
      </w:r>
      <w:r>
        <w:rPr>
          <w:rFonts w:cs="Times New Roman"/>
        </w:rPr>
        <w:t xml:space="preserve">loss of </w:t>
      </w:r>
      <w:r w:rsidRPr="00795B8F">
        <w:rPr>
          <w:rFonts w:cs="Times New Roman"/>
        </w:rPr>
        <w:t>independence</w:t>
      </w:r>
      <w:r w:rsidR="00D576C1">
        <w:rPr>
          <w:rFonts w:cs="Times New Roman"/>
        </w:rPr>
        <w:t xml:space="preserve"> and</w:t>
      </w:r>
      <w:r w:rsidRPr="00795B8F">
        <w:rPr>
          <w:rFonts w:cs="Times New Roman"/>
        </w:rPr>
        <w:t xml:space="preserve"> mobility and </w:t>
      </w:r>
      <w:r>
        <w:rPr>
          <w:rFonts w:cs="Times New Roman"/>
        </w:rPr>
        <w:t xml:space="preserve">lowers their </w:t>
      </w:r>
      <w:r w:rsidRPr="00795B8F">
        <w:rPr>
          <w:rFonts w:cs="Times New Roman"/>
        </w:rPr>
        <w:t>quality of life.</w:t>
      </w:r>
      <w:r>
        <w:rPr>
          <w:rFonts w:cs="Times New Roman"/>
        </w:rPr>
        <w:t xml:space="preserve"> C</w:t>
      </w:r>
      <w:r w:rsidRPr="00795B8F">
        <w:rPr>
          <w:rFonts w:cs="Times New Roman"/>
        </w:rPr>
        <w:t>onservative estimates of the expenditure</w:t>
      </w:r>
      <w:r>
        <w:rPr>
          <w:rFonts w:cs="Times New Roman"/>
        </w:rPr>
        <w:t>s</w:t>
      </w:r>
      <w:r w:rsidRPr="00795B8F">
        <w:rPr>
          <w:rFonts w:cs="Times New Roman"/>
        </w:rPr>
        <w:t xml:space="preserve"> </w:t>
      </w:r>
      <w:r w:rsidR="00623F5A">
        <w:rPr>
          <w:rFonts w:cs="Times New Roman"/>
        </w:rPr>
        <w:t>associated with</w:t>
      </w:r>
      <w:r w:rsidRPr="00795B8F">
        <w:rPr>
          <w:rFonts w:cs="Times New Roman"/>
        </w:rPr>
        <w:t xml:space="preserve"> sarcopenic disability </w:t>
      </w:r>
      <w:r>
        <w:rPr>
          <w:rFonts w:cs="Times New Roman"/>
        </w:rPr>
        <w:t xml:space="preserve">for </w:t>
      </w:r>
      <w:r w:rsidRPr="00795B8F">
        <w:rPr>
          <w:rFonts w:cs="Times New Roman"/>
        </w:rPr>
        <w:t xml:space="preserve">the American healthcare system </w:t>
      </w:r>
      <w:r w:rsidR="00623F5A">
        <w:rPr>
          <w:rFonts w:cs="Times New Roman"/>
        </w:rPr>
        <w:t xml:space="preserve">were </w:t>
      </w:r>
      <w:r w:rsidRPr="00795B8F">
        <w:rPr>
          <w:rFonts w:cs="Times New Roman"/>
        </w:rPr>
        <w:t xml:space="preserve">$18.5 billion </w:t>
      </w:r>
      <w:r>
        <w:rPr>
          <w:rFonts w:cs="Times New Roman"/>
        </w:rPr>
        <w:t xml:space="preserve">annually </w:t>
      </w:r>
      <w:r w:rsidRPr="00795B8F">
        <w:rPr>
          <w:rFonts w:cs="Times New Roman"/>
        </w:rPr>
        <w:t xml:space="preserve">and these estimates </w:t>
      </w:r>
      <w:r>
        <w:rPr>
          <w:rFonts w:cs="Times New Roman"/>
        </w:rPr>
        <w:t>would</w:t>
      </w:r>
      <w:r w:rsidRPr="00795B8F">
        <w:rPr>
          <w:rFonts w:cs="Times New Roman"/>
        </w:rPr>
        <w:t xml:space="preserve"> be expected to </w:t>
      </w:r>
      <w:r>
        <w:rPr>
          <w:rFonts w:cs="Times New Roman"/>
        </w:rPr>
        <w:t xml:space="preserve">be </w:t>
      </w:r>
      <w:r w:rsidRPr="00795B8F">
        <w:rPr>
          <w:rFonts w:cs="Times New Roman"/>
        </w:rPr>
        <w:t>increase</w:t>
      </w:r>
      <w:r>
        <w:rPr>
          <w:rFonts w:cs="Times New Roman"/>
        </w:rPr>
        <w:t>d</w:t>
      </w:r>
      <w:r w:rsidRPr="00795B8F">
        <w:rPr>
          <w:rFonts w:cs="Times New Roman"/>
        </w:rPr>
        <w:t xml:space="preserve"> with the aging </w:t>
      </w:r>
      <w:r w:rsidR="00623F5A">
        <w:rPr>
          <w:rFonts w:cs="Times New Roman"/>
        </w:rPr>
        <w:t xml:space="preserve">of the US </w:t>
      </w:r>
      <w:r w:rsidRPr="00795B8F">
        <w:rPr>
          <w:rFonts w:cs="Times New Roman"/>
        </w:rPr>
        <w:t>population</w:t>
      </w:r>
      <w:r w:rsidRPr="00795B8F">
        <w:rPr>
          <w:rFonts w:cs="Times New Roman"/>
        </w:rPr>
        <w:fldChar w:fldCharType="begin" w:fldLock="1"/>
      </w:r>
      <w:r w:rsidR="000709FC">
        <w:rPr>
          <w:rFonts w:cs="Times New Roman"/>
        </w:rPr>
        <w:instrText>ADDIN CSL_CITATION { "citationItems" : [ { "id" : "ITEM-1", "itemData" : { "DOI" : "10.1111/j.1532-5415.2004.52014.x", "ISBN" : "0002-8614 (Print)\\n0002-8614 (Linking)", "ISSN" : "00028614", "PMID" : "14687319", "abstract" : "OBJECTIVES: To estimate the healthcare costs of sarcopenia in the United States and to examine the effect that a reduced sarcopenia prevalence would have on healthcare expenditures. DESIGN: Cross-sectional surveys. SETTING: Nationally representative surveys using data from the U.S. Census, Third National Health and Nutrition Examination Survey, and National Medical Care and Utilization Expenditure Survey. PARTICIPANTS: Representative samples of U.S. adults aged 60 and older. MEASUREMENTS: The healthcare costs of sarcopenia were estimated based on the effect of sarcopenia on increasing physical disability risk in older persons. In the first step, the healthcare cost of disability in older Americans was estimated from national surveys. In the second step, the proportion of the disability cost due to sarcopenia (population-attributable risk) was calculated to determine the healthcare costs of sarcopenia. These calculations relied upon previously published relative risk values for disability in sarcopenic individuals and sarcopenia prevalence rates in the older population. RESULTS: The estimated direct healthcare cost attributable to sarcopenia in the United States in 2000 was $18.5 billion ($10.8 billion in men, $7.7 billion in women), which represented about 1.5% of total healthcare expenditures for that year. A sensitivity analysis indicated that the costs could be as low as $11.8 billion and as high as $26.2 billion. The excess healthcare expenditures were $860 for every sarcopenic man and $933 for every sarcopenic woman. A 10% reduction in sarcopenia prevalence would result in savings of $1.1 billion (dollars adjusted to 2000 rate) per year in U.S. healthcare costs. CONCLUSION: Sarcopenia imposes a significant but modifiable economic burden on government-reimbursed healthcare services in the United States. Because the number of older Americans is increasing, the economic costs of sarcopenia will escalate unless effective public health campaigns aimed at reducing the occurrence of sarcopenia are implemented.", "author" : [ { "dropping-particle" : "", "family" : "Janssen", "given" : "Ian", "non-dropping-particle" : "", "parse-names" : false, "suffix" : "" }, { "dropping-particle" : "", "family" : "Shepard", "given" : "Donald S.", "non-dropping-particle" : "", "parse-names" : false, "suffix" : "" }, { "dropping-particle" : "", "family" : "Katzmarzyk", "given" : "Peter T.", "non-dropping-particle" : "", "parse-names" : false, "suffix" : "" }, { "dropping-particle" : "", "family" : "Roubenoff", "given" : "Ronenn", "non-dropping-particle" : "", "parse-names" : false, "suffix" : "" } ], "container-title" : "Journal of the American Geriatrics Society", "id" : "ITEM-1", "issue" : "1", "issued" : { "date-parts" : [ [ "2004", "1" ] ] }, "page" : "80-85", "title" : "The Healthcare Costs of Sarcopenia in the United States", "type" : "article-journal", "volume" : "52" }, "uris" : [ "http://www.mendeley.com/documents/?uuid=096186f9-2e60-4e35-a942-52343ca6a1f1" ] } ], "mendeley" : { "formattedCitation" : "&lt;sup&gt;104&lt;/sup&gt;", "plainTextFormattedCitation" : "104", "previouslyFormattedCitation" : "&lt;sup&gt;104&lt;/sup&gt;" }, "properties" : { "noteIndex" : 0 }, "schema" : "https://github.com/citation-style-language/schema/raw/master/csl-citation.json" }</w:instrText>
      </w:r>
      <w:r w:rsidRPr="00795B8F">
        <w:rPr>
          <w:rFonts w:cs="Times New Roman"/>
        </w:rPr>
        <w:fldChar w:fldCharType="separate"/>
      </w:r>
      <w:r w:rsidR="003D1F84" w:rsidRPr="003D1F84">
        <w:rPr>
          <w:rFonts w:cs="Times New Roman"/>
          <w:noProof/>
          <w:vertAlign w:val="superscript"/>
        </w:rPr>
        <w:t>104</w:t>
      </w:r>
      <w:r w:rsidRPr="00795B8F">
        <w:rPr>
          <w:rFonts w:cs="Times New Roman"/>
        </w:rPr>
        <w:fldChar w:fldCharType="end"/>
      </w:r>
      <w:r>
        <w:rPr>
          <w:rFonts w:cs="Times New Roman"/>
        </w:rPr>
        <w:t>. F</w:t>
      </w:r>
      <w:r w:rsidRPr="00795B8F">
        <w:rPr>
          <w:rFonts w:cs="Times New Roman"/>
        </w:rPr>
        <w:t>alls already account for the majority of hospitalizations in older Canadians</w:t>
      </w:r>
      <w:r>
        <w:rPr>
          <w:rFonts w:cs="Times New Roman"/>
        </w:rPr>
        <w:t xml:space="preserve"> (65 years and above) </w:t>
      </w:r>
      <w:r w:rsidR="00623F5A">
        <w:rPr>
          <w:rFonts w:cs="Times New Roman"/>
        </w:rPr>
        <w:t xml:space="preserve">and </w:t>
      </w:r>
      <w:r>
        <w:rPr>
          <w:rFonts w:cs="Times New Roman"/>
        </w:rPr>
        <w:t>nearly 30% of fall</w:t>
      </w:r>
      <w:r w:rsidR="00623F5A">
        <w:rPr>
          <w:rFonts w:cs="Times New Roman"/>
        </w:rPr>
        <w:t>-</w:t>
      </w:r>
      <w:r>
        <w:rPr>
          <w:rFonts w:cs="Times New Roman"/>
        </w:rPr>
        <w:t xml:space="preserve">related injuries occurring in Canadians </w:t>
      </w:r>
      <w:r w:rsidR="00623F5A">
        <w:rPr>
          <w:rFonts w:cs="Times New Roman"/>
        </w:rPr>
        <w:t xml:space="preserve">involve people </w:t>
      </w:r>
      <w:r>
        <w:rPr>
          <w:rFonts w:cs="Times New Roman"/>
        </w:rPr>
        <w:t>between the ages of 65</w:t>
      </w:r>
      <w:r w:rsidR="003D10D5">
        <w:rPr>
          <w:rFonts w:cs="Times New Roman"/>
        </w:rPr>
        <w:t>-</w:t>
      </w:r>
      <w:r>
        <w:rPr>
          <w:rFonts w:cs="Times New Roman"/>
        </w:rPr>
        <w:t>69</w:t>
      </w:r>
      <w:r w:rsidRPr="00795B8F">
        <w:rPr>
          <w:rFonts w:cs="Times New Roman"/>
        </w:rPr>
        <w:fldChar w:fldCharType="begin" w:fldLock="1"/>
      </w:r>
      <w:r w:rsidR="006670B1">
        <w:rPr>
          <w:rFonts w:cs="Times New Roman"/>
        </w:rPr>
        <w:instrText>ADDIN CSL_CITATION { "citationItems" : [ { "id" : "ITEM-1", "itemData" : { "ISBN" : "9781100232614", "ISSN" : "14818523", "author" : [ { "dropping-particle" : "", "family" : "Stinchcombe", "given" : "a.", "non-dropping-particle" : "", "parse-names" : false, "suffix" : "" }, { "dropping-particle" : "", "family" : "Kuran", "given" : "N.", "non-dropping-particle" : "", "parse-names" : false, "suffix" : "" }, { "dropping-particle" : "", "family" : "Powell", "given" : "S.", "non-dropping-particle" : "", "parse-names" : false, "suffix" : "" } ], "container-title" : "Chronic Diseases and Injuries in Canada", "id" : "ITEM-1", "issue" : "2-3", "issued" : { "date-parts" : [ [ "2014" ] ] }, "number-of-pages" : "171-174", "title" : "Seniors' falls in Canada: Second report: Key highlights", "type" : "report", "volume" : "34" }, "uris" : [ "http://www.mendeley.com/documents/?uuid=42357ee2-1fc8-4c05-b545-295ed947196b" ] } ], "mendeley" : { "formattedCitation" : "&lt;sup&gt;49&lt;/sup&gt;", "plainTextFormattedCitation" : "49", "previouslyFormattedCitation" : "&lt;sup&gt;49&lt;/sup&gt;" }, "properties" : { "noteIndex" : 0 }, "schema" : "https://github.com/citation-style-language/schema/raw/master/csl-citation.json" }</w:instrText>
      </w:r>
      <w:r w:rsidRPr="00795B8F">
        <w:rPr>
          <w:rFonts w:cs="Times New Roman"/>
        </w:rPr>
        <w:fldChar w:fldCharType="separate"/>
      </w:r>
      <w:r w:rsidR="004238C1" w:rsidRPr="004238C1">
        <w:rPr>
          <w:rFonts w:cs="Times New Roman"/>
          <w:noProof/>
          <w:vertAlign w:val="superscript"/>
        </w:rPr>
        <w:t>49</w:t>
      </w:r>
      <w:r w:rsidRPr="00795B8F">
        <w:rPr>
          <w:rFonts w:cs="Times New Roman"/>
        </w:rPr>
        <w:fldChar w:fldCharType="end"/>
      </w:r>
      <w:r>
        <w:rPr>
          <w:rFonts w:cs="Times New Roman"/>
        </w:rPr>
        <w:t xml:space="preserve">. By characterizing factors that </w:t>
      </w:r>
      <w:r w:rsidR="003D10D5">
        <w:rPr>
          <w:rFonts w:cs="Times New Roman"/>
        </w:rPr>
        <w:t>compromise the mass</w:t>
      </w:r>
      <w:r>
        <w:rPr>
          <w:rFonts w:cs="Times New Roman"/>
        </w:rPr>
        <w:t xml:space="preserve"> and function of skeletal muscle, an organ with an important role in metabolism and physical function, we can generate </w:t>
      </w:r>
      <w:r>
        <w:rPr>
          <w:rFonts w:cs="Times New Roman"/>
        </w:rPr>
        <w:lastRenderedPageBreak/>
        <w:t>information that may allow for strategies to promote successful aging and more efficient</w:t>
      </w:r>
      <w:r w:rsidRPr="00795B8F">
        <w:rPr>
          <w:rFonts w:cs="Times New Roman"/>
        </w:rPr>
        <w:t xml:space="preserve"> healthcare provision.</w:t>
      </w:r>
    </w:p>
    <w:p w14:paraId="61EED959" w14:textId="77777777" w:rsidR="005A1D98" w:rsidRDefault="005A1D98" w:rsidP="005A1D98">
      <w:pPr>
        <w:spacing w:line="480" w:lineRule="auto"/>
        <w:rPr>
          <w:rFonts w:cs="Times New Roman"/>
        </w:rPr>
      </w:pPr>
    </w:p>
    <w:p w14:paraId="2315276A" w14:textId="3ACEF052" w:rsidR="005A1D98" w:rsidRPr="00875699" w:rsidRDefault="005A1D98" w:rsidP="00875699">
      <w:pPr>
        <w:pStyle w:val="Heading2"/>
      </w:pPr>
      <w:bookmarkStart w:id="18" w:name="_Toc296814786"/>
      <w:bookmarkStart w:id="19" w:name="_Toc296932765"/>
      <w:r w:rsidRPr="00875699">
        <w:t>STATEMENT OF RESEARCH QUESTION AND HYPOTHESIS</w:t>
      </w:r>
      <w:bookmarkEnd w:id="18"/>
      <w:bookmarkEnd w:id="19"/>
    </w:p>
    <w:p w14:paraId="7D95DF8D" w14:textId="33889D14" w:rsidR="005A1D98" w:rsidRPr="00795B8F" w:rsidRDefault="005A1D98" w:rsidP="005A1D98">
      <w:pPr>
        <w:spacing w:line="480" w:lineRule="auto"/>
        <w:ind w:firstLine="720"/>
        <w:rPr>
          <w:rFonts w:cs="Times New Roman"/>
        </w:rPr>
      </w:pPr>
      <w:r>
        <w:rPr>
          <w:rFonts w:cs="Times New Roman"/>
        </w:rPr>
        <w:t>I</w:t>
      </w:r>
      <w:r w:rsidRPr="00795B8F">
        <w:rPr>
          <w:rFonts w:cs="Times New Roman"/>
        </w:rPr>
        <w:t xml:space="preserve"> propose that short periods of disuse</w:t>
      </w:r>
      <w:r>
        <w:rPr>
          <w:rFonts w:cs="Times New Roman"/>
        </w:rPr>
        <w:t xml:space="preserve"> arising from an acute reduction in daily steps</w:t>
      </w:r>
      <w:r w:rsidRPr="00795B8F">
        <w:rPr>
          <w:rFonts w:cs="Times New Roman"/>
        </w:rPr>
        <w:t xml:space="preserve">, common </w:t>
      </w:r>
      <w:r>
        <w:rPr>
          <w:rFonts w:cs="Times New Roman"/>
        </w:rPr>
        <w:t>in</w:t>
      </w:r>
      <w:r w:rsidRPr="00795B8F">
        <w:rPr>
          <w:rFonts w:cs="Times New Roman"/>
        </w:rPr>
        <w:t xml:space="preserve"> older adults experiencing increasingly frequent hospitalization</w:t>
      </w:r>
      <w:r w:rsidR="00893E61">
        <w:rPr>
          <w:rFonts w:cs="Times New Roman"/>
        </w:rPr>
        <w:t xml:space="preserve"> with age</w:t>
      </w:r>
      <w:r w:rsidRPr="00795B8F">
        <w:rPr>
          <w:rFonts w:cs="Times New Roman"/>
        </w:rPr>
        <w:t xml:space="preserve">, </w:t>
      </w:r>
      <w:r>
        <w:rPr>
          <w:rFonts w:cs="Times New Roman"/>
        </w:rPr>
        <w:t xml:space="preserve">will </w:t>
      </w:r>
      <w:r w:rsidRPr="00795B8F">
        <w:rPr>
          <w:rFonts w:cs="Times New Roman"/>
        </w:rPr>
        <w:t xml:space="preserve">transiently accelerate </w:t>
      </w:r>
      <w:r>
        <w:rPr>
          <w:rFonts w:cs="Times New Roman"/>
        </w:rPr>
        <w:t xml:space="preserve">muscle loss at a rate greater than average </w:t>
      </w:r>
      <w:r w:rsidRPr="00795B8F">
        <w:rPr>
          <w:rFonts w:cs="Times New Roman"/>
        </w:rPr>
        <w:t xml:space="preserve">sarcopenic </w:t>
      </w:r>
      <w:r>
        <w:rPr>
          <w:rFonts w:cs="Times New Roman"/>
        </w:rPr>
        <w:t>muscle loss</w:t>
      </w:r>
      <w:r w:rsidR="003D10D5">
        <w:rPr>
          <w:rFonts w:cs="Times New Roman"/>
        </w:rPr>
        <w:t xml:space="preserve"> (~0.6-1.2% annually)</w:t>
      </w:r>
      <w:r>
        <w:rPr>
          <w:rFonts w:cs="Times New Roman"/>
        </w:rPr>
        <w:t>. In addition, period</w:t>
      </w:r>
      <w:r w:rsidR="00D576C1">
        <w:rPr>
          <w:rFonts w:cs="Times New Roman"/>
        </w:rPr>
        <w:t>s</w:t>
      </w:r>
      <w:r>
        <w:rPr>
          <w:rFonts w:cs="Times New Roman"/>
        </w:rPr>
        <w:t xml:space="preserve"> of reduced steps will result</w:t>
      </w:r>
      <w:r w:rsidR="003D10D5">
        <w:rPr>
          <w:rFonts w:cs="Times New Roman"/>
        </w:rPr>
        <w:t>,</w:t>
      </w:r>
      <w:r>
        <w:rPr>
          <w:rFonts w:cs="Times New Roman"/>
        </w:rPr>
        <w:t xml:space="preserve"> in </w:t>
      </w:r>
      <w:r w:rsidR="003D10D5">
        <w:rPr>
          <w:rFonts w:cs="Times New Roman"/>
        </w:rPr>
        <w:t>older persons, in an in</w:t>
      </w:r>
      <w:r>
        <w:rPr>
          <w:rFonts w:cs="Times New Roman"/>
        </w:rPr>
        <w:t>ability</w:t>
      </w:r>
      <w:r w:rsidRPr="00795B8F">
        <w:rPr>
          <w:rFonts w:cs="Times New Roman"/>
        </w:rPr>
        <w:t xml:space="preserve"> to recover</w:t>
      </w:r>
      <w:r w:rsidR="003D10D5">
        <w:rPr>
          <w:rFonts w:cs="Times New Roman"/>
        </w:rPr>
        <w:t xml:space="preserve"> metabolic function</w:t>
      </w:r>
      <w:r w:rsidRPr="00795B8F">
        <w:rPr>
          <w:rFonts w:cs="Times New Roman"/>
        </w:rPr>
        <w:t xml:space="preserve">. </w:t>
      </w:r>
      <w:r>
        <w:rPr>
          <w:rFonts w:cs="Times New Roman"/>
        </w:rPr>
        <w:t>Currently</w:t>
      </w:r>
      <w:r w:rsidRPr="00795B8F">
        <w:rPr>
          <w:rFonts w:cs="Times New Roman"/>
        </w:rPr>
        <w:t>, there is</w:t>
      </w:r>
      <w:r w:rsidR="00D576C1">
        <w:rPr>
          <w:rFonts w:cs="Times New Roman"/>
        </w:rPr>
        <w:t xml:space="preserve"> also a</w:t>
      </w:r>
      <w:r w:rsidRPr="00795B8F">
        <w:rPr>
          <w:rFonts w:cs="Times New Roman"/>
        </w:rPr>
        <w:t xml:space="preserve"> lack of information on the potentially important differences between </w:t>
      </w:r>
      <w:r>
        <w:rPr>
          <w:rFonts w:cs="Times New Roman"/>
        </w:rPr>
        <w:t xml:space="preserve">older </w:t>
      </w:r>
      <w:r w:rsidRPr="00795B8F">
        <w:rPr>
          <w:rFonts w:cs="Times New Roman"/>
        </w:rPr>
        <w:t xml:space="preserve">men and women </w:t>
      </w:r>
      <w:r>
        <w:rPr>
          <w:rFonts w:cs="Times New Roman"/>
        </w:rPr>
        <w:t xml:space="preserve">that </w:t>
      </w:r>
      <w:r w:rsidR="003D10D5">
        <w:rPr>
          <w:rFonts w:cs="Times New Roman"/>
        </w:rPr>
        <w:t xml:space="preserve">may </w:t>
      </w:r>
      <w:r>
        <w:rPr>
          <w:rFonts w:cs="Times New Roman"/>
        </w:rPr>
        <w:t xml:space="preserve">occur </w:t>
      </w:r>
      <w:r w:rsidRPr="00795B8F">
        <w:rPr>
          <w:rFonts w:cs="Times New Roman"/>
        </w:rPr>
        <w:t xml:space="preserve">with aging </w:t>
      </w:r>
      <w:r w:rsidR="003D10D5">
        <w:rPr>
          <w:rFonts w:cs="Times New Roman"/>
        </w:rPr>
        <w:t xml:space="preserve">and </w:t>
      </w:r>
      <w:r w:rsidRPr="00795B8F">
        <w:rPr>
          <w:rFonts w:cs="Times New Roman"/>
        </w:rPr>
        <w:t>as a result of inactivity. Therefore</w:t>
      </w:r>
      <w:r>
        <w:rPr>
          <w:rFonts w:cs="Times New Roman"/>
        </w:rPr>
        <w:t>,</w:t>
      </w:r>
      <w:r w:rsidRPr="00795B8F">
        <w:rPr>
          <w:rFonts w:cs="Times New Roman"/>
        </w:rPr>
        <w:t xml:space="preserve"> </w:t>
      </w:r>
      <w:r>
        <w:rPr>
          <w:rFonts w:cs="Times New Roman"/>
        </w:rPr>
        <w:t xml:space="preserve">a further </w:t>
      </w:r>
      <w:r w:rsidRPr="00795B8F">
        <w:rPr>
          <w:rFonts w:cs="Times New Roman"/>
        </w:rPr>
        <w:t xml:space="preserve">aim of this study </w:t>
      </w:r>
      <w:r>
        <w:rPr>
          <w:rFonts w:cs="Times New Roman"/>
        </w:rPr>
        <w:t>wa</w:t>
      </w:r>
      <w:r w:rsidRPr="00795B8F">
        <w:rPr>
          <w:rFonts w:cs="Times New Roman"/>
        </w:rPr>
        <w:t xml:space="preserve">s to investigate the effects of imposed inactivity and a subsequent return to normal activity </w:t>
      </w:r>
      <w:r>
        <w:rPr>
          <w:rFonts w:cs="Times New Roman"/>
        </w:rPr>
        <w:t>in both</w:t>
      </w:r>
      <w:r w:rsidR="003D10D5">
        <w:rPr>
          <w:rFonts w:cs="Times New Roman"/>
        </w:rPr>
        <w:t xml:space="preserve"> older men and women</w:t>
      </w:r>
      <w:r w:rsidRPr="00795B8F">
        <w:rPr>
          <w:rFonts w:cs="Times New Roman"/>
        </w:rPr>
        <w:t>. Specifically</w:t>
      </w:r>
      <w:r>
        <w:rPr>
          <w:rFonts w:cs="Times New Roman"/>
        </w:rPr>
        <w:t>,</w:t>
      </w:r>
      <w:r w:rsidRPr="00795B8F">
        <w:rPr>
          <w:rFonts w:cs="Times New Roman"/>
        </w:rPr>
        <w:t xml:space="preserve"> </w:t>
      </w:r>
      <w:r>
        <w:rPr>
          <w:rFonts w:cs="Times New Roman"/>
        </w:rPr>
        <w:t xml:space="preserve">I </w:t>
      </w:r>
      <w:r w:rsidRPr="00795B8F">
        <w:rPr>
          <w:rFonts w:cs="Times New Roman"/>
        </w:rPr>
        <w:t>stud</w:t>
      </w:r>
      <w:r>
        <w:rPr>
          <w:rFonts w:cs="Times New Roman"/>
        </w:rPr>
        <w:t>ied</w:t>
      </w:r>
      <w:r w:rsidRPr="00795B8F">
        <w:rPr>
          <w:rFonts w:cs="Times New Roman"/>
        </w:rPr>
        <w:t xml:space="preserve"> the impact of two-weeks of, and recovery from, reduced </w:t>
      </w:r>
      <w:r>
        <w:rPr>
          <w:rFonts w:cs="Times New Roman"/>
        </w:rPr>
        <w:t>daily ambulation (fewer than 1000</w:t>
      </w:r>
      <w:r w:rsidRPr="00795B8F">
        <w:rPr>
          <w:rFonts w:cs="Times New Roman"/>
        </w:rPr>
        <w:t xml:space="preserve"> steps per day) on insulin sensitivity, muscle mass and physical function</w:t>
      </w:r>
      <w:r w:rsidR="00D576C1">
        <w:rPr>
          <w:rFonts w:cs="Times New Roman"/>
        </w:rPr>
        <w:t xml:space="preserve"> in older men and women</w:t>
      </w:r>
      <w:r w:rsidRPr="00795B8F">
        <w:rPr>
          <w:rFonts w:cs="Times New Roman"/>
        </w:rPr>
        <w:t xml:space="preserve">. </w:t>
      </w:r>
      <w:r>
        <w:rPr>
          <w:rFonts w:cs="Times New Roman"/>
        </w:rPr>
        <w:t xml:space="preserve">I hypothesized that older men and women would experience declines in muscle mass, strength and physical function, as well as impairments in glycemic control and insulin sensitivity as a result of two weeks of </w:t>
      </w:r>
      <w:r w:rsidR="002B63BD">
        <w:rPr>
          <w:rFonts w:cs="Times New Roman"/>
        </w:rPr>
        <w:t>SR</w:t>
      </w:r>
      <w:r>
        <w:rPr>
          <w:rFonts w:cs="Times New Roman"/>
        </w:rPr>
        <w:t>. Furthermore,</w:t>
      </w:r>
      <w:r w:rsidR="00D576C1">
        <w:rPr>
          <w:rFonts w:cs="Times New Roman"/>
        </w:rPr>
        <w:t xml:space="preserve"> I hypothesized that</w:t>
      </w:r>
      <w:r>
        <w:rPr>
          <w:rFonts w:cs="Times New Roman"/>
        </w:rPr>
        <w:t xml:space="preserve"> older adults will not be able to fully recover from acute physical inactivity</w:t>
      </w:r>
      <w:r w:rsidR="00D576C1">
        <w:rPr>
          <w:rFonts w:cs="Times New Roman"/>
        </w:rPr>
        <w:t xml:space="preserve"> with two weeks of resumption of normal activity patterns</w:t>
      </w:r>
      <w:r>
        <w:rPr>
          <w:rFonts w:cs="Times New Roman"/>
        </w:rPr>
        <w:t>.</w:t>
      </w:r>
    </w:p>
    <w:p w14:paraId="60052A1A" w14:textId="77777777" w:rsidR="005A1D98" w:rsidRDefault="005A1D98" w:rsidP="005A1D98">
      <w:pPr>
        <w:spacing w:line="480" w:lineRule="auto"/>
        <w:rPr>
          <w:rFonts w:cs="Times New Roman"/>
          <w:b/>
        </w:rPr>
      </w:pPr>
    </w:p>
    <w:p w14:paraId="168ABC0C" w14:textId="77777777" w:rsidR="005A1D98" w:rsidRPr="005B3E3C" w:rsidRDefault="005A1D98" w:rsidP="00875699">
      <w:pPr>
        <w:pStyle w:val="Heading1"/>
      </w:pPr>
      <w:bookmarkStart w:id="20" w:name="_Toc296814787"/>
      <w:bookmarkStart w:id="21" w:name="_Toc296932766"/>
      <w:r w:rsidRPr="005B3E3C">
        <w:lastRenderedPageBreak/>
        <w:t>METHODS</w:t>
      </w:r>
      <w:bookmarkEnd w:id="20"/>
      <w:bookmarkEnd w:id="21"/>
    </w:p>
    <w:p w14:paraId="3A3EC87F" w14:textId="7DD63BF8" w:rsidR="00A34ABD" w:rsidRDefault="005A1D98" w:rsidP="00A34ABD">
      <w:pPr>
        <w:pStyle w:val="Heading3"/>
        <w:rPr>
          <w:rFonts w:cs="Times New Roman"/>
        </w:rPr>
      </w:pPr>
      <w:bookmarkStart w:id="22" w:name="_Toc296814788"/>
      <w:bookmarkStart w:id="23" w:name="_Toc296932767"/>
      <w:r w:rsidRPr="00A34ABD">
        <w:t>Participants</w:t>
      </w:r>
      <w:bookmarkEnd w:id="22"/>
      <w:bookmarkEnd w:id="23"/>
    </w:p>
    <w:p w14:paraId="635CD8F2" w14:textId="1227EE54" w:rsidR="005A1D98" w:rsidRPr="005F6933" w:rsidRDefault="00A34ABD" w:rsidP="005A1D98">
      <w:pPr>
        <w:tabs>
          <w:tab w:val="left" w:pos="709"/>
          <w:tab w:val="left" w:pos="2552"/>
        </w:tabs>
        <w:spacing w:line="480" w:lineRule="auto"/>
        <w:rPr>
          <w:rFonts w:cs="Times New Roman"/>
        </w:rPr>
      </w:pPr>
      <w:r>
        <w:rPr>
          <w:rFonts w:cs="Times New Roman"/>
        </w:rPr>
        <w:tab/>
      </w:r>
      <w:r w:rsidR="005A1D98">
        <w:rPr>
          <w:rFonts w:cs="Times New Roman"/>
        </w:rPr>
        <w:t>Ten healthy, older adults (6 men, 4 women, 69</w:t>
      </w:r>
      <w:r w:rsidR="005A1D98" w:rsidRPr="005F6933">
        <w:rPr>
          <w:rFonts w:cs="Times New Roman"/>
        </w:rPr>
        <w:t xml:space="preserve"> ± </w:t>
      </w:r>
      <w:r w:rsidR="005A1D98">
        <w:rPr>
          <w:rFonts w:cs="Times New Roman"/>
        </w:rPr>
        <w:t>3 yrs, 1.</w:t>
      </w:r>
      <w:r w:rsidR="00E112F8">
        <w:rPr>
          <w:rFonts w:cs="Times New Roman"/>
        </w:rPr>
        <w:t>67</w:t>
      </w:r>
      <w:r w:rsidR="005A1D98">
        <w:rPr>
          <w:rFonts w:cs="Times New Roman"/>
        </w:rPr>
        <w:t xml:space="preserve"> </w:t>
      </w:r>
      <w:r w:rsidR="005A1D98" w:rsidRPr="005F6933">
        <w:rPr>
          <w:rFonts w:cs="Times New Roman"/>
        </w:rPr>
        <w:t>± 0.</w:t>
      </w:r>
      <w:r w:rsidR="00E112F8">
        <w:rPr>
          <w:rFonts w:cs="Times New Roman"/>
        </w:rPr>
        <w:t>08</w:t>
      </w:r>
      <w:r w:rsidR="005A1D98">
        <w:rPr>
          <w:rFonts w:cs="Times New Roman"/>
        </w:rPr>
        <w:t xml:space="preserve"> m, 75.8</w:t>
      </w:r>
      <w:r w:rsidR="005A1D98" w:rsidRPr="005F6933">
        <w:rPr>
          <w:rFonts w:cs="Times New Roman"/>
        </w:rPr>
        <w:t xml:space="preserve"> ± </w:t>
      </w:r>
      <w:r w:rsidR="005A1D98">
        <w:rPr>
          <w:rFonts w:cs="Times New Roman"/>
        </w:rPr>
        <w:t>13.3 kg; means±SD</w:t>
      </w:r>
      <w:r w:rsidR="005A1D98" w:rsidRPr="005F6933">
        <w:rPr>
          <w:rFonts w:cs="Times New Roman"/>
        </w:rPr>
        <w:t xml:space="preserve">) were recruited from Hamilton and the surrounding area through advertisements in local newspapers. All </w:t>
      </w:r>
      <w:r w:rsidR="005A1D98">
        <w:rPr>
          <w:rFonts w:cs="Times New Roman"/>
        </w:rPr>
        <w:t>participan</w:t>
      </w:r>
      <w:r w:rsidR="005A1D98" w:rsidRPr="005F6933">
        <w:rPr>
          <w:rFonts w:cs="Times New Roman"/>
        </w:rPr>
        <w:t>ts were non-smoke</w:t>
      </w:r>
      <w:r w:rsidR="005A1D98">
        <w:rPr>
          <w:rFonts w:cs="Times New Roman"/>
        </w:rPr>
        <w:t>rs between the ages of 64 and 75</w:t>
      </w:r>
      <w:r w:rsidR="005A1D98" w:rsidRPr="005F6933">
        <w:rPr>
          <w:rFonts w:cs="Times New Roman"/>
        </w:rPr>
        <w:t xml:space="preserve"> years old. </w:t>
      </w:r>
      <w:r w:rsidR="005A1D98">
        <w:rPr>
          <w:rFonts w:cs="Times New Roman"/>
        </w:rPr>
        <w:t>E</w:t>
      </w:r>
      <w:r w:rsidR="005A1D98" w:rsidRPr="005F6933">
        <w:rPr>
          <w:rFonts w:cs="Times New Roman"/>
        </w:rPr>
        <w:t xml:space="preserve">xclusion criteria </w:t>
      </w:r>
      <w:r w:rsidR="005A1D98">
        <w:rPr>
          <w:rFonts w:cs="Times New Roman"/>
        </w:rPr>
        <w:t>were:</w:t>
      </w:r>
      <w:r w:rsidR="005A1D98" w:rsidRPr="005F6933">
        <w:rPr>
          <w:rFonts w:cs="Times New Roman"/>
        </w:rPr>
        <w:t xml:space="preserve"> </w:t>
      </w:r>
      <w:r w:rsidR="003D10D5">
        <w:rPr>
          <w:rFonts w:cs="Times New Roman"/>
        </w:rPr>
        <w:t xml:space="preserve">presence of </w:t>
      </w:r>
      <w:r w:rsidR="005A1D98">
        <w:rPr>
          <w:rFonts w:cs="Times New Roman"/>
        </w:rPr>
        <w:t xml:space="preserve">chronic </w:t>
      </w:r>
      <w:r w:rsidR="005A1D98" w:rsidRPr="005F6933">
        <w:rPr>
          <w:rFonts w:cs="Times New Roman"/>
        </w:rPr>
        <w:t>health conditions su</w:t>
      </w:r>
      <w:r w:rsidR="005A1D98">
        <w:rPr>
          <w:rFonts w:cs="Times New Roman"/>
        </w:rPr>
        <w:t>ch as heart disease or diabetes,</w:t>
      </w:r>
      <w:r w:rsidR="005A1D98" w:rsidRPr="005F6933">
        <w:rPr>
          <w:rFonts w:cs="Times New Roman"/>
        </w:rPr>
        <w:t xml:space="preserve"> </w:t>
      </w:r>
      <w:r w:rsidR="005A1D98">
        <w:rPr>
          <w:rFonts w:cs="Times New Roman"/>
        </w:rPr>
        <w:t>regularly taking</w:t>
      </w:r>
      <w:r w:rsidR="005A1D98" w:rsidRPr="005F6933">
        <w:rPr>
          <w:rFonts w:cs="Times New Roman"/>
        </w:rPr>
        <w:t xml:space="preserve"> </w:t>
      </w:r>
      <w:r w:rsidR="003D10D5">
        <w:rPr>
          <w:rFonts w:cs="Times New Roman"/>
        </w:rPr>
        <w:t xml:space="preserve">a </w:t>
      </w:r>
      <w:r w:rsidR="005A1D98">
        <w:rPr>
          <w:rFonts w:cs="Times New Roman"/>
        </w:rPr>
        <w:t>statin or non-steroidal anti-inflammatory medication</w:t>
      </w:r>
      <w:r w:rsidR="003D10D5">
        <w:rPr>
          <w:rFonts w:cs="Times New Roman"/>
        </w:rPr>
        <w:t xml:space="preserve">, </w:t>
      </w:r>
      <w:r w:rsidR="005A1D98">
        <w:rPr>
          <w:rFonts w:cs="Times New Roman"/>
        </w:rPr>
        <w:t>use of assistive walking devices</w:t>
      </w:r>
      <w:r w:rsidR="003D10D5">
        <w:rPr>
          <w:rFonts w:cs="Times New Roman"/>
        </w:rPr>
        <w:t xml:space="preserve">, and </w:t>
      </w:r>
      <w:r w:rsidR="005A1D98" w:rsidRPr="005F6933">
        <w:rPr>
          <w:rFonts w:cs="Times New Roman"/>
        </w:rPr>
        <w:t xml:space="preserve">a minimum </w:t>
      </w:r>
      <w:r w:rsidR="005A1D98">
        <w:rPr>
          <w:rFonts w:cs="Times New Roman"/>
        </w:rPr>
        <w:t xml:space="preserve">habitual step count </w:t>
      </w:r>
      <w:r w:rsidR="005A1D98" w:rsidRPr="005F6933">
        <w:rPr>
          <w:rFonts w:cs="Times New Roman"/>
        </w:rPr>
        <w:t>of 3000 steps per day</w:t>
      </w:r>
      <w:r w:rsidR="003D10D5">
        <w:rPr>
          <w:rFonts w:cs="Times New Roman"/>
        </w:rPr>
        <w:t xml:space="preserve">. Habitual daily steps were </w:t>
      </w:r>
      <w:r w:rsidR="005A1D98" w:rsidRPr="005F6933">
        <w:rPr>
          <w:rFonts w:cs="Times New Roman"/>
        </w:rPr>
        <w:t xml:space="preserve">determined through the </w:t>
      </w:r>
      <w:r w:rsidR="005A1D98">
        <w:rPr>
          <w:rFonts w:cs="Times New Roman"/>
        </w:rPr>
        <w:t xml:space="preserve">use </w:t>
      </w:r>
      <w:r w:rsidR="005A1D98" w:rsidRPr="005F6933">
        <w:rPr>
          <w:rFonts w:cs="Times New Roman"/>
        </w:rPr>
        <w:t xml:space="preserve">of </w:t>
      </w:r>
      <w:r w:rsidR="003D10D5">
        <w:rPr>
          <w:rFonts w:cs="Times New Roman"/>
        </w:rPr>
        <w:t xml:space="preserve">hip-placed </w:t>
      </w:r>
      <w:r w:rsidR="005A1D98" w:rsidRPr="005F6933">
        <w:rPr>
          <w:rFonts w:cs="Times New Roman"/>
        </w:rPr>
        <w:t xml:space="preserve">pedometer </w:t>
      </w:r>
      <w:r w:rsidR="005A1D98">
        <w:rPr>
          <w:rFonts w:cs="Times New Roman"/>
        </w:rPr>
        <w:t xml:space="preserve">data </w:t>
      </w:r>
      <w:r w:rsidR="005A1D98" w:rsidRPr="005F6933">
        <w:rPr>
          <w:rFonts w:cs="Times New Roman"/>
        </w:rPr>
        <w:t>(</w:t>
      </w:r>
      <w:r w:rsidR="005A1D98">
        <w:rPr>
          <w:rFonts w:cs="Times New Roman"/>
        </w:rPr>
        <w:t>Piezo SC-StepX Health System</w:t>
      </w:r>
      <w:r w:rsidR="005A1D98" w:rsidRPr="005F6933">
        <w:rPr>
          <w:rFonts w:cs="Times New Roman"/>
        </w:rPr>
        <w:t xml:space="preserve">, </w:t>
      </w:r>
      <w:r w:rsidR="005A1D98">
        <w:rPr>
          <w:rFonts w:cs="Times New Roman"/>
        </w:rPr>
        <w:t>StepsCount</w:t>
      </w:r>
      <w:r w:rsidR="005A1D98" w:rsidRPr="005F6933">
        <w:rPr>
          <w:rFonts w:cs="Times New Roman"/>
        </w:rPr>
        <w:t xml:space="preserve">, </w:t>
      </w:r>
      <w:r w:rsidR="005A1D98">
        <w:rPr>
          <w:rFonts w:cs="Times New Roman"/>
        </w:rPr>
        <w:t>Deep River</w:t>
      </w:r>
      <w:r w:rsidR="005A1D98" w:rsidRPr="005F6933">
        <w:rPr>
          <w:rFonts w:cs="Times New Roman"/>
        </w:rPr>
        <w:t xml:space="preserve">, </w:t>
      </w:r>
      <w:r w:rsidR="005A1D98">
        <w:rPr>
          <w:rFonts w:cs="Times New Roman"/>
        </w:rPr>
        <w:t>ON, Canada</w:t>
      </w:r>
      <w:r w:rsidR="005A1D98" w:rsidRPr="005F6933">
        <w:rPr>
          <w:rFonts w:cs="Times New Roman"/>
        </w:rPr>
        <w:t xml:space="preserve">) </w:t>
      </w:r>
      <w:r w:rsidR="005A1D98">
        <w:rPr>
          <w:rFonts w:cs="Times New Roman"/>
        </w:rPr>
        <w:t xml:space="preserve">collected </w:t>
      </w:r>
      <w:r w:rsidR="005A1D98" w:rsidRPr="005F6933">
        <w:rPr>
          <w:rFonts w:cs="Times New Roman"/>
        </w:rPr>
        <w:t xml:space="preserve">over </w:t>
      </w:r>
      <w:r w:rsidR="005A1D98">
        <w:rPr>
          <w:rFonts w:cs="Times New Roman"/>
        </w:rPr>
        <w:t xml:space="preserve">a </w:t>
      </w:r>
      <w:r w:rsidR="0078015B">
        <w:rPr>
          <w:rFonts w:cs="Times New Roman"/>
        </w:rPr>
        <w:t>seven</w:t>
      </w:r>
      <w:r w:rsidR="0078015B" w:rsidRPr="005F6933">
        <w:rPr>
          <w:rFonts w:cs="Times New Roman"/>
        </w:rPr>
        <w:t>-day</w:t>
      </w:r>
      <w:r w:rsidR="005A1D98">
        <w:rPr>
          <w:rFonts w:cs="Times New Roman"/>
        </w:rPr>
        <w:t xml:space="preserve"> period at least</w:t>
      </w:r>
      <w:r w:rsidR="005A1D98" w:rsidRPr="005F6933">
        <w:rPr>
          <w:rFonts w:cs="Times New Roman"/>
        </w:rPr>
        <w:t xml:space="preserve"> one week p</w:t>
      </w:r>
      <w:r w:rsidR="005A1D98">
        <w:rPr>
          <w:rFonts w:cs="Times New Roman"/>
        </w:rPr>
        <w:t>rior to the intervention (</w:t>
      </w:r>
      <w:r w:rsidR="005A1D98" w:rsidRPr="00245163">
        <w:rPr>
          <w:rFonts w:cs="Times New Roman"/>
        </w:rPr>
        <w:t>Figure 3</w:t>
      </w:r>
      <w:r w:rsidR="005A1D98">
        <w:rPr>
          <w:rFonts w:cs="Times New Roman"/>
        </w:rPr>
        <w:t>).</w:t>
      </w:r>
      <w:r w:rsidR="005A1D98" w:rsidRPr="005F6933">
        <w:rPr>
          <w:rFonts w:cs="Times New Roman"/>
        </w:rPr>
        <w:t xml:space="preserve"> </w:t>
      </w:r>
      <w:r w:rsidR="005A1D98">
        <w:rPr>
          <w:rFonts w:cs="Times New Roman"/>
        </w:rPr>
        <w:t>Sample and data</w:t>
      </w:r>
      <w:r w:rsidR="005A1D98" w:rsidRPr="005F6933">
        <w:rPr>
          <w:rFonts w:cs="Times New Roman"/>
        </w:rPr>
        <w:t xml:space="preserve"> collect</w:t>
      </w:r>
      <w:r w:rsidR="005A1D98">
        <w:rPr>
          <w:rFonts w:cs="Times New Roman"/>
        </w:rPr>
        <w:t xml:space="preserve">ion was completed over the fall, </w:t>
      </w:r>
      <w:r w:rsidR="005A1D98" w:rsidRPr="005F6933">
        <w:rPr>
          <w:rFonts w:cs="Times New Roman"/>
        </w:rPr>
        <w:t xml:space="preserve">winter </w:t>
      </w:r>
      <w:r w:rsidR="005A1D98">
        <w:rPr>
          <w:rFonts w:cs="Times New Roman"/>
        </w:rPr>
        <w:t xml:space="preserve">and spring </w:t>
      </w:r>
      <w:r w:rsidR="005A1D98" w:rsidRPr="005F6933">
        <w:rPr>
          <w:rFonts w:cs="Times New Roman"/>
        </w:rPr>
        <w:t>seasons</w:t>
      </w:r>
      <w:r w:rsidR="005A1D98">
        <w:rPr>
          <w:rFonts w:cs="Times New Roman"/>
        </w:rPr>
        <w:t xml:space="preserve"> (</w:t>
      </w:r>
      <w:r w:rsidR="00E112F8">
        <w:rPr>
          <w:rFonts w:cs="Times New Roman"/>
        </w:rPr>
        <w:t xml:space="preserve">November </w:t>
      </w:r>
      <w:r w:rsidR="005A1D98">
        <w:rPr>
          <w:rFonts w:cs="Times New Roman"/>
        </w:rPr>
        <w:t>2014 – April 2015)</w:t>
      </w:r>
      <w:r w:rsidR="005A1D98" w:rsidRPr="005F6933">
        <w:rPr>
          <w:rFonts w:cs="Times New Roman"/>
        </w:rPr>
        <w:t xml:space="preserve">. </w:t>
      </w:r>
    </w:p>
    <w:p w14:paraId="1E8203A4" w14:textId="77777777" w:rsidR="00A34ABD" w:rsidRDefault="00A34ABD" w:rsidP="00A34ABD">
      <w:pPr>
        <w:spacing w:line="480" w:lineRule="auto"/>
        <w:rPr>
          <w:rStyle w:val="Heading3Char"/>
        </w:rPr>
      </w:pPr>
    </w:p>
    <w:p w14:paraId="20C648C6" w14:textId="77777777" w:rsidR="00A34ABD" w:rsidRDefault="005A1D98" w:rsidP="00A34ABD">
      <w:pPr>
        <w:pStyle w:val="Heading3"/>
        <w:rPr>
          <w:rFonts w:cs="Times New Roman"/>
        </w:rPr>
      </w:pPr>
      <w:bookmarkStart w:id="24" w:name="_Toc296814789"/>
      <w:bookmarkStart w:id="25" w:name="_Toc296932768"/>
      <w:r w:rsidRPr="00A34ABD">
        <w:t>Study protocol</w:t>
      </w:r>
      <w:bookmarkEnd w:id="24"/>
      <w:bookmarkEnd w:id="25"/>
    </w:p>
    <w:p w14:paraId="7BFBABC7" w14:textId="2AF95F76" w:rsidR="005A1D98" w:rsidRDefault="005A1D98" w:rsidP="005A1D98">
      <w:pPr>
        <w:spacing w:line="480" w:lineRule="auto"/>
        <w:ind w:firstLine="720"/>
        <w:rPr>
          <w:rFonts w:cs="Times New Roman"/>
        </w:rPr>
      </w:pPr>
      <w:r>
        <w:rPr>
          <w:rFonts w:cs="Times New Roman"/>
        </w:rPr>
        <w:t xml:space="preserve">In a repeated measures design, participants were involved in a five-week protocol with three distinct phases differing in levels of </w:t>
      </w:r>
      <w:r w:rsidR="00851834">
        <w:rPr>
          <w:rFonts w:cs="Times New Roman"/>
        </w:rPr>
        <w:t>daily steps</w:t>
      </w:r>
      <w:r w:rsidR="00E53C2D">
        <w:rPr>
          <w:rFonts w:cs="Times New Roman"/>
        </w:rPr>
        <w:t xml:space="preserve"> </w:t>
      </w:r>
      <w:r>
        <w:rPr>
          <w:rFonts w:cs="Times New Roman"/>
        </w:rPr>
        <w:t xml:space="preserve">(Figure 3). During a baseline (BL) period, participants were provided with a pedometer seven days prior to the </w:t>
      </w:r>
      <w:r w:rsidR="002B63BD">
        <w:rPr>
          <w:rFonts w:cs="Times New Roman"/>
        </w:rPr>
        <w:t>SR</w:t>
      </w:r>
      <w:r>
        <w:rPr>
          <w:rFonts w:cs="Times New Roman"/>
        </w:rPr>
        <w:t xml:space="preserve"> period and instructed to record their daily steps while completing habitual activity</w:t>
      </w:r>
      <w:r w:rsidR="00E112F8">
        <w:rPr>
          <w:rFonts w:cs="Times New Roman"/>
        </w:rPr>
        <w:t xml:space="preserve"> steps, PA</w:t>
      </w:r>
      <w:r>
        <w:rPr>
          <w:rFonts w:cs="Times New Roman"/>
        </w:rPr>
        <w:t xml:space="preserve"> and exercise for one week. </w:t>
      </w:r>
      <w:r w:rsidRPr="005F6933">
        <w:rPr>
          <w:rFonts w:cs="Times New Roman"/>
        </w:rPr>
        <w:t xml:space="preserve">Pedometers were placed on the waistband of clothing </w:t>
      </w:r>
      <w:r>
        <w:rPr>
          <w:rFonts w:cs="Times New Roman"/>
        </w:rPr>
        <w:t>at th</w:t>
      </w:r>
      <w:r w:rsidRPr="005F6933">
        <w:rPr>
          <w:rFonts w:cs="Times New Roman"/>
        </w:rPr>
        <w:t xml:space="preserve">e hip, vertically above the </w:t>
      </w:r>
      <w:r>
        <w:rPr>
          <w:rFonts w:cs="Times New Roman"/>
        </w:rPr>
        <w:t xml:space="preserve">dominant </w:t>
      </w:r>
      <w:r w:rsidRPr="005F6933">
        <w:rPr>
          <w:rFonts w:cs="Times New Roman"/>
        </w:rPr>
        <w:lastRenderedPageBreak/>
        <w:t xml:space="preserve">knee. This </w:t>
      </w:r>
      <w:r>
        <w:rPr>
          <w:rFonts w:cs="Times New Roman"/>
        </w:rPr>
        <w:t>seven</w:t>
      </w:r>
      <w:r w:rsidRPr="005F6933">
        <w:rPr>
          <w:rFonts w:cs="Times New Roman"/>
        </w:rPr>
        <w:t xml:space="preserve">-day period also </w:t>
      </w:r>
      <w:r>
        <w:rPr>
          <w:rFonts w:cs="Times New Roman"/>
        </w:rPr>
        <w:t xml:space="preserve">included </w:t>
      </w:r>
      <w:r w:rsidR="003D10D5">
        <w:rPr>
          <w:rFonts w:cs="Times New Roman"/>
        </w:rPr>
        <w:t xml:space="preserve">the subjects’ </w:t>
      </w:r>
      <w:r w:rsidRPr="005F6933">
        <w:rPr>
          <w:rFonts w:cs="Times New Roman"/>
        </w:rPr>
        <w:t>wearing of a SenseWear armband accelerometer (BodyM</w:t>
      </w:r>
      <w:r>
        <w:rPr>
          <w:rFonts w:cs="Times New Roman"/>
        </w:rPr>
        <w:t>edia, Pittsburgh, PA, USA</w:t>
      </w:r>
      <w:r w:rsidRPr="005F6933">
        <w:rPr>
          <w:rFonts w:cs="Times New Roman"/>
        </w:rPr>
        <w:t xml:space="preserve">) placed </w:t>
      </w:r>
      <w:r>
        <w:rPr>
          <w:rFonts w:cs="Times New Roman"/>
        </w:rPr>
        <w:t xml:space="preserve">on </w:t>
      </w:r>
      <w:r w:rsidRPr="005F6933">
        <w:rPr>
          <w:rFonts w:cs="Times New Roman"/>
        </w:rPr>
        <w:t xml:space="preserve">the upper arm </w:t>
      </w:r>
      <w:r>
        <w:rPr>
          <w:rFonts w:cs="Times New Roman"/>
        </w:rPr>
        <w:t>on the</w:t>
      </w:r>
      <w:r w:rsidRPr="005F6933">
        <w:rPr>
          <w:rFonts w:cs="Times New Roman"/>
        </w:rPr>
        <w:t xml:space="preserve"> </w:t>
      </w:r>
      <w:r>
        <w:rPr>
          <w:rFonts w:cs="Times New Roman"/>
        </w:rPr>
        <w:t>non-dominant</w:t>
      </w:r>
      <w:r w:rsidRPr="005F6933">
        <w:rPr>
          <w:rFonts w:cs="Times New Roman"/>
        </w:rPr>
        <w:t xml:space="preserve"> </w:t>
      </w:r>
      <w:r w:rsidRPr="00E7688A">
        <w:rPr>
          <w:rFonts w:cs="Times New Roman"/>
          <w:i/>
        </w:rPr>
        <w:t>triceps brachii</w:t>
      </w:r>
      <w:r w:rsidRPr="005F6933">
        <w:rPr>
          <w:rFonts w:cs="Times New Roman"/>
        </w:rPr>
        <w:t xml:space="preserve">. The SenseWear armband was used to </w:t>
      </w:r>
      <w:r>
        <w:rPr>
          <w:rFonts w:cs="Times New Roman"/>
        </w:rPr>
        <w:t xml:space="preserve">internally </w:t>
      </w:r>
      <w:r w:rsidRPr="005F6933">
        <w:rPr>
          <w:rFonts w:cs="Times New Roman"/>
        </w:rPr>
        <w:t xml:space="preserve">validate </w:t>
      </w:r>
      <w:r>
        <w:rPr>
          <w:rFonts w:cs="Times New Roman"/>
        </w:rPr>
        <w:t xml:space="preserve">(the data were not available to the research participants) </w:t>
      </w:r>
      <w:r w:rsidRPr="005F6933">
        <w:rPr>
          <w:rFonts w:cs="Times New Roman"/>
        </w:rPr>
        <w:t>steps taken</w:t>
      </w:r>
      <w:r>
        <w:rPr>
          <w:rFonts w:cs="Times New Roman"/>
        </w:rPr>
        <w:t>,</w:t>
      </w:r>
      <w:r w:rsidR="003D10D5">
        <w:rPr>
          <w:rFonts w:cs="Times New Roman"/>
        </w:rPr>
        <w:t xml:space="preserve"> and to objectively</w:t>
      </w:r>
      <w:r>
        <w:rPr>
          <w:rFonts w:cs="Times New Roman"/>
        </w:rPr>
        <w:t xml:space="preserve"> </w:t>
      </w:r>
      <w:r w:rsidR="00D576C1">
        <w:rPr>
          <w:rFonts w:cs="Times New Roman"/>
        </w:rPr>
        <w:t>estimate</w:t>
      </w:r>
      <w:r w:rsidR="00D576C1" w:rsidRPr="005F6933">
        <w:rPr>
          <w:rFonts w:cs="Times New Roman"/>
        </w:rPr>
        <w:t xml:space="preserve"> </w:t>
      </w:r>
      <w:r w:rsidRPr="005F6933">
        <w:rPr>
          <w:rFonts w:cs="Times New Roman"/>
        </w:rPr>
        <w:t xml:space="preserve">caloric expenditure as well as </w:t>
      </w:r>
      <w:r>
        <w:rPr>
          <w:rFonts w:cs="Times New Roman"/>
        </w:rPr>
        <w:t>duration</w:t>
      </w:r>
      <w:r w:rsidRPr="005F6933">
        <w:rPr>
          <w:rFonts w:cs="Times New Roman"/>
        </w:rPr>
        <w:t xml:space="preserve"> of activity.</w:t>
      </w:r>
      <w:r>
        <w:rPr>
          <w:rFonts w:cs="Times New Roman"/>
        </w:rPr>
        <w:t xml:space="preserve"> </w:t>
      </w:r>
    </w:p>
    <w:p w14:paraId="00F9F8C4" w14:textId="33EE5800" w:rsidR="005A1D98" w:rsidRDefault="005A1D98" w:rsidP="005A1D98">
      <w:pPr>
        <w:spacing w:line="480" w:lineRule="auto"/>
        <w:ind w:firstLine="720"/>
        <w:rPr>
          <w:rFonts w:cs="Times New Roman"/>
        </w:rPr>
      </w:pPr>
      <w:r>
        <w:rPr>
          <w:rFonts w:cs="Times New Roman"/>
        </w:rPr>
        <w:t xml:space="preserve">During the </w:t>
      </w:r>
      <w:r w:rsidR="00E112F8">
        <w:rPr>
          <w:rFonts w:cs="Times New Roman"/>
        </w:rPr>
        <w:t>SR</w:t>
      </w:r>
      <w:r>
        <w:rPr>
          <w:rFonts w:cs="Times New Roman"/>
        </w:rPr>
        <w:t xml:space="preserve"> phase of the research, p</w:t>
      </w:r>
      <w:r w:rsidRPr="005F6933">
        <w:rPr>
          <w:rFonts w:cs="Times New Roman"/>
        </w:rPr>
        <w:t>articipants were instructed to reduce their daily s</w:t>
      </w:r>
      <w:r>
        <w:rPr>
          <w:rFonts w:cs="Times New Roman"/>
        </w:rPr>
        <w:t xml:space="preserve">tep-count to </w:t>
      </w:r>
      <w:r w:rsidR="003D10D5">
        <w:rPr>
          <w:rFonts w:cs="Times New Roman"/>
        </w:rPr>
        <w:t>less than</w:t>
      </w:r>
      <w:r>
        <w:rPr>
          <w:rFonts w:cs="Times New Roman"/>
        </w:rPr>
        <w:t xml:space="preserve"> 10</w:t>
      </w:r>
      <w:r w:rsidRPr="005F6933">
        <w:rPr>
          <w:rFonts w:cs="Times New Roman"/>
        </w:rPr>
        <w:t xml:space="preserve">00 steps per day, and </w:t>
      </w:r>
      <w:r w:rsidR="003D10D5">
        <w:rPr>
          <w:rFonts w:cs="Times New Roman"/>
        </w:rPr>
        <w:t xml:space="preserve">were </w:t>
      </w:r>
      <w:r w:rsidRPr="005F6933">
        <w:rPr>
          <w:rFonts w:cs="Times New Roman"/>
        </w:rPr>
        <w:t xml:space="preserve">encouraged to remain as inactive as possible within their step-count limit. This reduction in </w:t>
      </w:r>
      <w:r>
        <w:rPr>
          <w:rFonts w:cs="Times New Roman"/>
        </w:rPr>
        <w:t xml:space="preserve">daily </w:t>
      </w:r>
      <w:r w:rsidRPr="005F6933">
        <w:rPr>
          <w:rFonts w:cs="Times New Roman"/>
        </w:rPr>
        <w:t>ambulato</w:t>
      </w:r>
      <w:r>
        <w:rPr>
          <w:rFonts w:cs="Times New Roman"/>
        </w:rPr>
        <w:t>ry activity</w:t>
      </w:r>
      <w:r w:rsidRPr="005F6933">
        <w:rPr>
          <w:rFonts w:cs="Times New Roman"/>
        </w:rPr>
        <w:t xml:space="preserve"> lasted for 14 days and was monitored</w:t>
      </w:r>
      <w:r w:rsidR="003D10D5">
        <w:rPr>
          <w:rFonts w:cs="Times New Roman"/>
        </w:rPr>
        <w:t xml:space="preserve"> and reinforced</w:t>
      </w:r>
      <w:r w:rsidRPr="005F6933">
        <w:rPr>
          <w:rFonts w:cs="Times New Roman"/>
        </w:rPr>
        <w:t xml:space="preserve"> </w:t>
      </w:r>
      <w:r w:rsidR="003D10D5">
        <w:rPr>
          <w:rFonts w:cs="Times New Roman"/>
        </w:rPr>
        <w:t xml:space="preserve">by </w:t>
      </w:r>
      <w:r w:rsidRPr="005F6933">
        <w:rPr>
          <w:rFonts w:cs="Times New Roman"/>
        </w:rPr>
        <w:t xml:space="preserve">frequent contact with the </w:t>
      </w:r>
      <w:r>
        <w:rPr>
          <w:rFonts w:cs="Times New Roman"/>
        </w:rPr>
        <w:t xml:space="preserve">participant, as well as the use of the pedometer, and </w:t>
      </w:r>
      <w:r w:rsidRPr="005F6933">
        <w:rPr>
          <w:rFonts w:cs="Times New Roman"/>
        </w:rPr>
        <w:t>SenseWear armband.</w:t>
      </w:r>
      <w:r>
        <w:rPr>
          <w:rFonts w:cs="Times New Roman"/>
        </w:rPr>
        <w:t xml:space="preserve"> For the subsequent 14 days</w:t>
      </w:r>
      <w:r w:rsidRPr="005F6933">
        <w:rPr>
          <w:rFonts w:cs="Times New Roman"/>
        </w:rPr>
        <w:t xml:space="preserve"> </w:t>
      </w:r>
      <w:r>
        <w:rPr>
          <w:rFonts w:cs="Times New Roman"/>
        </w:rPr>
        <w:t xml:space="preserve">participants entered into a recovery phase (RC) </w:t>
      </w:r>
      <w:r w:rsidR="00681805">
        <w:rPr>
          <w:rFonts w:cs="Times New Roman"/>
        </w:rPr>
        <w:t>during which they</w:t>
      </w:r>
      <w:r>
        <w:rPr>
          <w:rFonts w:cs="Times New Roman"/>
        </w:rPr>
        <w:t xml:space="preserve"> were instructed to return to their habitual step-count </w:t>
      </w:r>
      <w:r w:rsidR="00681805">
        <w:rPr>
          <w:rFonts w:cs="Times New Roman"/>
        </w:rPr>
        <w:t>and levels of PA.</w:t>
      </w:r>
    </w:p>
    <w:p w14:paraId="774C51F9" w14:textId="21CABB20" w:rsidR="005A1D98" w:rsidRDefault="005A1D98" w:rsidP="005A1D98">
      <w:pPr>
        <w:spacing w:line="480" w:lineRule="auto"/>
        <w:ind w:firstLine="720"/>
        <w:rPr>
          <w:rFonts w:cs="Times New Roman"/>
          <w:b/>
          <w:i/>
        </w:rPr>
      </w:pPr>
      <w:r>
        <w:rPr>
          <w:rFonts w:cs="Times New Roman"/>
        </w:rPr>
        <w:t>Participants</w:t>
      </w:r>
      <w:r w:rsidRPr="005F6933">
        <w:rPr>
          <w:rFonts w:cs="Times New Roman"/>
        </w:rPr>
        <w:t xml:space="preserve"> reported to the Exercise Metabolism Research Group at McMaster University </w:t>
      </w:r>
      <w:r>
        <w:rPr>
          <w:rFonts w:cs="Times New Roman"/>
        </w:rPr>
        <w:t xml:space="preserve">on 11 occasions. On the first occasion, </w:t>
      </w:r>
      <w:r w:rsidRPr="001B3449">
        <w:rPr>
          <w:rFonts w:cs="Times New Roman"/>
        </w:rPr>
        <w:t>participants were screened for eligibility and</w:t>
      </w:r>
      <w:r w:rsidR="00681805">
        <w:rPr>
          <w:rFonts w:cs="Times New Roman"/>
        </w:rPr>
        <w:t>,</w:t>
      </w:r>
      <w:r w:rsidRPr="001B3449">
        <w:rPr>
          <w:rFonts w:cs="Times New Roman"/>
        </w:rPr>
        <w:t xml:space="preserve"> if deemed </w:t>
      </w:r>
      <w:r w:rsidRPr="00ED18D4">
        <w:rPr>
          <w:rFonts w:cs="Times New Roman"/>
        </w:rPr>
        <w:t>eligible</w:t>
      </w:r>
      <w:r>
        <w:rPr>
          <w:rFonts w:cs="Times New Roman"/>
        </w:rPr>
        <w:t xml:space="preserve">, provided written </w:t>
      </w:r>
      <w:r w:rsidR="00681805">
        <w:rPr>
          <w:rFonts w:cs="Times New Roman"/>
        </w:rPr>
        <w:t>informed</w:t>
      </w:r>
      <w:r>
        <w:rPr>
          <w:rFonts w:cs="Times New Roman"/>
        </w:rPr>
        <w:t xml:space="preserve"> consent to proceed as a research participant. The research protocol was approved by the Hamilton Integrated Research Ethics Board </w:t>
      </w:r>
      <w:r w:rsidR="00681805">
        <w:rPr>
          <w:rFonts w:cs="Times New Roman"/>
        </w:rPr>
        <w:t>(</w:t>
      </w:r>
      <w:r w:rsidR="00E03A82">
        <w:rPr>
          <w:rFonts w:cs="Times New Roman"/>
        </w:rPr>
        <w:t xml:space="preserve">REB #11-267) </w:t>
      </w:r>
      <w:r>
        <w:rPr>
          <w:rFonts w:cs="Times New Roman"/>
        </w:rPr>
        <w:t>and complied with all standards as set out in the Canadian tri-council policy on human research (</w:t>
      </w:r>
      <w:r w:rsidRPr="00B12641">
        <w:rPr>
          <w:rFonts w:cs="Times New Roman"/>
        </w:rPr>
        <w:t>http://www.pre.ethics.gc.ca/pdf/eng/tcps2/TCPS_2_FINAL_Web.pdf</w:t>
      </w:r>
      <w:r>
        <w:rPr>
          <w:rFonts w:cs="Times New Roman"/>
        </w:rPr>
        <w:t xml:space="preserve">). </w:t>
      </w:r>
      <w:r w:rsidR="00681805">
        <w:rPr>
          <w:rFonts w:cs="Times New Roman"/>
        </w:rPr>
        <w:t xml:space="preserve">The trial was registered as clinical trial </w:t>
      </w:r>
      <w:r w:rsidR="00E03A82" w:rsidRPr="00E03A82">
        <w:rPr>
          <w:rFonts w:cs="Times New Roman"/>
        </w:rPr>
        <w:t>NCT02347137</w:t>
      </w:r>
      <w:r w:rsidR="00E03A82">
        <w:rPr>
          <w:rFonts w:cs="Times New Roman"/>
        </w:rPr>
        <w:t>.</w:t>
      </w:r>
      <w:r w:rsidR="00681805">
        <w:rPr>
          <w:rFonts w:cs="Times New Roman"/>
        </w:rPr>
        <w:t xml:space="preserve"> </w:t>
      </w:r>
      <w:r>
        <w:rPr>
          <w:rFonts w:cs="Times New Roman"/>
        </w:rPr>
        <w:t xml:space="preserve">The second and third visits </w:t>
      </w:r>
      <w:r>
        <w:rPr>
          <w:rFonts w:cs="Times New Roman"/>
        </w:rPr>
        <w:lastRenderedPageBreak/>
        <w:t xml:space="preserve">occurred the day prior to and on the first day of the study protocol. These visits involved repeated familiarization to study measures: isometric maximal voluntary contractions (ISO-MVC), the </w:t>
      </w:r>
      <w:r w:rsidR="00E112F8">
        <w:rPr>
          <w:rFonts w:cs="Times New Roman"/>
        </w:rPr>
        <w:t>30-second</w:t>
      </w:r>
      <w:r>
        <w:rPr>
          <w:rFonts w:cs="Times New Roman"/>
        </w:rPr>
        <w:t xml:space="preserve"> chair stand task (30CS) and the timed up-and-go task (TUG). The remainder of the visits were for the performance of study measures and separated into </w:t>
      </w:r>
      <w:r w:rsidR="00E112F8">
        <w:rPr>
          <w:rFonts w:cs="Times New Roman"/>
        </w:rPr>
        <w:t>three</w:t>
      </w:r>
      <w:r>
        <w:rPr>
          <w:rFonts w:cs="Times New Roman"/>
        </w:rPr>
        <w:t xml:space="preserve"> days (Figure 4). Participants each reported to </w:t>
      </w:r>
      <w:r w:rsidRPr="00353D2F">
        <w:rPr>
          <w:rFonts w:cs="Times New Roman"/>
        </w:rPr>
        <w:t>McMaster University</w:t>
      </w:r>
      <w:r>
        <w:rPr>
          <w:rFonts w:cs="Times New Roman"/>
        </w:rPr>
        <w:t xml:space="preserve"> for insertion of the continuous glucose monitor system (CGMS; visits 3, 6 and 9) at least 36 hours prior to the oral glucose tolerance test (OGTT). The OGTT was performed midway through BL, the day prior to the end of SR and two days prior to the end of RC (visits 4, 7 and 10). The dual energy x-ray absorptiometry (DXA), strength and function measures were performed on the day following the OGTT (visits 5, 8 and 11).</w:t>
      </w:r>
      <w:r w:rsidRPr="005A1D98">
        <w:rPr>
          <w:rFonts w:cs="Times New Roman"/>
          <w:b/>
          <w:i/>
        </w:rPr>
        <w:t xml:space="preserve"> </w:t>
      </w:r>
    </w:p>
    <w:p w14:paraId="7067D436" w14:textId="77777777" w:rsidR="00A34ABD" w:rsidRDefault="00A34ABD" w:rsidP="00A34ABD">
      <w:pPr>
        <w:pStyle w:val="Heading3"/>
      </w:pPr>
    </w:p>
    <w:p w14:paraId="0C15C68A" w14:textId="77777777" w:rsidR="00A34ABD" w:rsidRPr="00A34ABD" w:rsidRDefault="005A1D98" w:rsidP="00A34ABD">
      <w:pPr>
        <w:pStyle w:val="Heading3"/>
      </w:pPr>
      <w:bookmarkStart w:id="26" w:name="_Toc296814790"/>
      <w:bookmarkStart w:id="27" w:name="_Toc296932769"/>
      <w:r w:rsidRPr="00A34ABD">
        <w:t>Dual-energy x-ray absorptiometry (DXA)</w:t>
      </w:r>
      <w:bookmarkEnd w:id="26"/>
      <w:bookmarkEnd w:id="27"/>
    </w:p>
    <w:p w14:paraId="10C93A44" w14:textId="61D274B4" w:rsidR="005A1D98" w:rsidRDefault="005A1D98" w:rsidP="005A1D98">
      <w:pPr>
        <w:spacing w:line="480" w:lineRule="auto"/>
        <w:ind w:firstLine="720"/>
        <w:rPr>
          <w:rFonts w:cs="Times New Roman"/>
        </w:rPr>
      </w:pPr>
      <w:r>
        <w:rPr>
          <w:rFonts w:cs="Times New Roman"/>
        </w:rPr>
        <w:t xml:space="preserve">Participants underwent </w:t>
      </w:r>
      <w:r w:rsidRPr="005F6933">
        <w:rPr>
          <w:rFonts w:cs="Times New Roman"/>
        </w:rPr>
        <w:t>DXA scan</w:t>
      </w:r>
      <w:r>
        <w:rPr>
          <w:rFonts w:cs="Times New Roman"/>
        </w:rPr>
        <w:t>s</w:t>
      </w:r>
      <w:r w:rsidRPr="005F6933">
        <w:rPr>
          <w:rFonts w:cs="Times New Roman"/>
        </w:rPr>
        <w:t xml:space="preserve"> </w:t>
      </w:r>
      <w:r>
        <w:rPr>
          <w:rFonts w:cs="Times New Roman"/>
        </w:rPr>
        <w:t>(Lunar iDXA, GE Medical Systems Lunar, Madison, WI, USA) on a unit that was calibrated daily with a 3-compartment U</w:t>
      </w:r>
      <w:r w:rsidRPr="00556C2C">
        <w:rPr>
          <w:rFonts w:cs="Times New Roman"/>
        </w:rPr>
        <w:t>ni</w:t>
      </w:r>
      <w:r>
        <w:rPr>
          <w:rFonts w:cs="Times New Roman"/>
        </w:rPr>
        <w:t xml:space="preserve">versal Whole Body DXA Phantom (Oscar, Jr; Orthometrix, Naples, FL). </w:t>
      </w:r>
      <w:r w:rsidRPr="005F6933">
        <w:rPr>
          <w:rFonts w:cs="Times New Roman"/>
        </w:rPr>
        <w:t>Body scans were used to determine body fat percentage, total body f</w:t>
      </w:r>
      <w:r w:rsidR="002E042C">
        <w:rPr>
          <w:rFonts w:cs="Times New Roman"/>
        </w:rPr>
        <w:t>at mass (FM), leg FM, total body lean mass</w:t>
      </w:r>
      <w:r w:rsidRPr="005F6933">
        <w:rPr>
          <w:rFonts w:cs="Times New Roman"/>
        </w:rPr>
        <w:t xml:space="preserve"> (</w:t>
      </w:r>
      <w:r w:rsidR="002E042C">
        <w:rPr>
          <w:rFonts w:cs="Times New Roman"/>
        </w:rPr>
        <w:t>LM</w:t>
      </w:r>
      <w:r w:rsidRPr="005F6933">
        <w:rPr>
          <w:rFonts w:cs="Times New Roman"/>
        </w:rPr>
        <w:t xml:space="preserve">), arm </w:t>
      </w:r>
      <w:r w:rsidR="002E042C">
        <w:rPr>
          <w:rFonts w:cs="Times New Roman"/>
        </w:rPr>
        <w:t>LM</w:t>
      </w:r>
      <w:r w:rsidRPr="005F6933">
        <w:rPr>
          <w:rFonts w:cs="Times New Roman"/>
        </w:rPr>
        <w:t xml:space="preserve"> and leg </w:t>
      </w:r>
      <w:r w:rsidR="002E042C">
        <w:rPr>
          <w:rFonts w:cs="Times New Roman"/>
        </w:rPr>
        <w:t>LM</w:t>
      </w:r>
      <w:r>
        <w:rPr>
          <w:rFonts w:cs="Times New Roman"/>
        </w:rPr>
        <w:t xml:space="preserve"> (Lunar enCORE version 14.1, GE Medical Systems Lunar, Madison WI, USA)</w:t>
      </w:r>
      <w:r w:rsidRPr="005F6933">
        <w:rPr>
          <w:rFonts w:cs="Times New Roman"/>
        </w:rPr>
        <w:t>.</w:t>
      </w:r>
      <w:r>
        <w:rPr>
          <w:rFonts w:cs="Times New Roman"/>
        </w:rPr>
        <w:t xml:space="preserve"> VAT was determined using the GE Healthcare CoreScan</w:t>
      </w:r>
      <w:r w:rsidRPr="008109EF">
        <w:rPr>
          <w:rFonts w:cs="Times New Roman"/>
          <w:lang w:val="en-US"/>
        </w:rPr>
        <w:t>™</w:t>
      </w:r>
      <w:r>
        <w:rPr>
          <w:rFonts w:cs="Times New Roman"/>
          <w:lang w:val="en-US"/>
        </w:rPr>
        <w:t xml:space="preserve"> software.</w:t>
      </w:r>
      <w:r w:rsidRPr="00687C35">
        <w:rPr>
          <w:rFonts w:cs="Times New Roman"/>
        </w:rPr>
        <w:t xml:space="preserve"> </w:t>
      </w:r>
      <w:r w:rsidRPr="005F6933">
        <w:rPr>
          <w:rFonts w:cs="Times New Roman"/>
        </w:rPr>
        <w:t>Appendicular lean mass (ALM) was determined from the equation</w:t>
      </w:r>
      <w:r>
        <w:rPr>
          <w:rFonts w:cs="Times New Roman"/>
        </w:rPr>
        <w:fldChar w:fldCharType="begin" w:fldLock="1"/>
      </w:r>
      <w:r w:rsidR="00225DB1">
        <w:rPr>
          <w:rFonts w:cs="Times New Roman"/>
        </w:rPr>
        <w:instrText>ADDIN CSL_CITATION { "citationItems" : [ { "id" : "ITEM-1", "itemData" : { "DOI" : "10.1186/1471-2318-7-5", "ISBN" : "0002-9262 (Print)", "ISSN" : "0002-9262", "PMID" : "9554417", "abstract" : "Muscle mass decreases with age, leading to \"sarcopenia,\" or low relative muscle mass, in elderly people. Sarcopenia is believed to be associated with metabolic, physiologic, and functional impairments and disability. Methods of estimating the prevalence of sarcopenia and its associated risks in elderly populations are lacking. Data from a population-based survey of 883 elderly Hispanic and non-Hispanic white men and women living in New Mexico (the New Mexico Elder Health Survey, 1993-1995) were analyzed to develop a method for estimating the prevalence of sarcopenia. An anthropometric equation for predicting appendicular skeletal muscle mass was developed from a random subsample (n = 199) of participants and was extended to the total sample. Sarcopenia was defined as appendicular skeletal muscle mass (kg)/height2 (m2) being less than two standard deviations below the mean of a young reference group. Prevalences increased from 13-24% in persons under 70 years of age to &gt;50% in persons over 80 years of age, and were slightly greater in Hispanics than in non-Hispanic whites. Sarcopenia was significantly associated with self-reported physical disability in both men and women, independent of ethnicity, age, morbidity, obesity, income, and health behaviors. This study provides some of the first estimates of the extent of the public health problem posed by sarcopenia.", "author" : [ { "dropping-particle" : "", "family" : "Baumgartner", "given" : "R N", "non-dropping-particle" : "", "parse-names" : false, "suffix" : "" }, { "dropping-particle" : "", "family" : "Koehler", "given" : "K M", "non-dropping-particle" : "", "parse-names" : false, "suffix" : "" }, { "dropping-particle" : "", "family" : "Gallagher", "given" : "D", "non-dropping-particle" : "", "parse-names" : false, "suffix" : "" }, { "dropping-particle" : "", "family" : "Romero", "given" : "L", "non-dropping-particle" : "", "parse-names" : false, "suffix" : "" }, { "dropping-particle" : "", "family" : "Heymsfield", "given" : "S B", "non-dropping-particle" : "", "parse-names" : false, "suffix" : "" }, { "dropping-particle" : "", "family" : "Ross", "given" : "R R", "non-dropping-particle" : "", "parse-names" : false, "suffix" : "" }, { "dropping-particle" : "", "family" : "Garry", "given" : "P J", "non-dropping-particle" : "", "parse-names" : false, "suffix" : "" }, { "dropping-particle" : "", "family" : "Lindeman", "given" : "R D", "non-dropping-particle" : "", "parse-names" : false, "suffix" : "" } ], "container-title" : "American journal of epidemiology", "id" : "ITEM-1", "issue" : "8", "issued" : { "date-parts" : [ [ "1998", "4", "15" ] ] }, "page" : "755-763", "title" : "Epidemiology of sarcopenia among the elderly in New Mexico.", "type" : "article-journal", "volume" : "147" }, "uris" : [ "http://www.mendeley.com/documents/?uuid=32c14857-dcbe-4114-8e60-6944b25f5c1f" ] } ], "mendeley" : { "formattedCitation" : "&lt;sup&gt;7&lt;/sup&gt;", "plainTextFormattedCitation" : "7", "previouslyFormattedCitation" : "&lt;sup&gt;7&lt;/sup&gt;"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7</w:t>
      </w:r>
      <w:r>
        <w:rPr>
          <w:rFonts w:cs="Times New Roman"/>
        </w:rPr>
        <w:fldChar w:fldCharType="end"/>
      </w:r>
      <w:r w:rsidRPr="005F6933">
        <w:rPr>
          <w:rFonts w:cs="Times New Roman"/>
        </w:rPr>
        <w:t xml:space="preserve">: </w:t>
      </w:r>
      <w:r>
        <w:rPr>
          <w:rFonts w:cs="Times New Roman"/>
        </w:rPr>
        <w:br/>
      </w:r>
      <w:r w:rsidR="000D2A2A">
        <w:rPr>
          <w:rFonts w:cs="Times New Roman"/>
        </w:rPr>
        <w:tab/>
      </w:r>
      <w:r w:rsidRPr="005F6933">
        <w:rPr>
          <w:rFonts w:cs="Times New Roman"/>
        </w:rPr>
        <w:t>ALM = ((total arm FFM + tota</w:t>
      </w:r>
      <w:r>
        <w:rPr>
          <w:rFonts w:cs="Times New Roman"/>
        </w:rPr>
        <w:t>l leg FFM)/1000)/height</w:t>
      </w:r>
      <w:r>
        <w:rPr>
          <w:rFonts w:cs="Times New Roman"/>
          <w:vertAlign w:val="superscript"/>
        </w:rPr>
        <w:t>2</w:t>
      </w:r>
      <w:r>
        <w:rPr>
          <w:rFonts w:cs="Times New Roman"/>
        </w:rPr>
        <w:t>)</w:t>
      </w:r>
    </w:p>
    <w:p w14:paraId="5371B490" w14:textId="77777777" w:rsidR="00DB54F0" w:rsidRDefault="00DB54F0" w:rsidP="005A1D98">
      <w:pPr>
        <w:spacing w:line="480" w:lineRule="auto"/>
        <w:ind w:firstLine="720"/>
        <w:jc w:val="center"/>
        <w:rPr>
          <w:noProof/>
          <w:lang w:val="en-US" w:eastAsia="en-US"/>
        </w:rPr>
      </w:pPr>
    </w:p>
    <w:p w14:paraId="12CD0BFD" w14:textId="32BE8E9C" w:rsidR="005A1D98" w:rsidRDefault="005A1D98" w:rsidP="001C7536">
      <w:pPr>
        <w:spacing w:line="480" w:lineRule="auto"/>
        <w:rPr>
          <w:rFonts w:cs="Times New Roman"/>
        </w:rPr>
      </w:pPr>
      <w:r w:rsidRPr="00EE2EE7">
        <w:rPr>
          <w:noProof/>
          <w:lang w:val="en-US" w:eastAsia="en-US"/>
        </w:rPr>
        <w:t xml:space="preserve"> </w:t>
      </w:r>
      <w:r w:rsidRPr="006075F7">
        <w:rPr>
          <w:noProof/>
          <w:lang w:val="en-US" w:eastAsia="en-US"/>
        </w:rPr>
        <w:drawing>
          <wp:inline distT="0" distB="0" distL="0" distR="0" wp14:anchorId="1BE27C39" wp14:editId="15551B48">
            <wp:extent cx="4340225" cy="2102459"/>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 thesis - study timeline full.jpg"/>
                    <pic:cNvPicPr/>
                  </pic:nvPicPr>
                  <pic:blipFill rotWithShape="1">
                    <a:blip r:embed="rId16">
                      <a:extLst>
                        <a:ext uri="{28A0092B-C50C-407E-A947-70E740481C1C}">
                          <a14:useLocalDpi xmlns:a14="http://schemas.microsoft.com/office/drawing/2010/main" val="0"/>
                        </a:ext>
                      </a:extLst>
                    </a:blip>
                    <a:srcRect l="1496" t="20797" r="9402" b="21652"/>
                    <a:stretch/>
                  </pic:blipFill>
                  <pic:spPr bwMode="auto">
                    <a:xfrm>
                      <a:off x="0" y="0"/>
                      <a:ext cx="4340225" cy="2102459"/>
                    </a:xfrm>
                    <a:prstGeom prst="rect">
                      <a:avLst/>
                    </a:prstGeom>
                    <a:ln>
                      <a:noFill/>
                    </a:ln>
                    <a:extLst>
                      <a:ext uri="{53640926-AAD7-44d8-BBD7-CCE9431645EC}">
                        <a14:shadowObscured xmlns:a14="http://schemas.microsoft.com/office/drawing/2010/main"/>
                      </a:ext>
                    </a:extLst>
                  </pic:spPr>
                </pic:pic>
              </a:graphicData>
            </a:graphic>
          </wp:inline>
        </w:drawing>
      </w:r>
    </w:p>
    <w:p w14:paraId="5F519A40" w14:textId="77777777" w:rsidR="005A1D98" w:rsidRDefault="005A1D98" w:rsidP="005A1D98">
      <w:pPr>
        <w:spacing w:line="480" w:lineRule="auto"/>
        <w:ind w:firstLine="720"/>
        <w:rPr>
          <w:rFonts w:cs="Times New Roman"/>
        </w:rPr>
      </w:pPr>
      <w:r>
        <w:rPr>
          <w:noProof/>
          <w:lang w:val="en-US" w:eastAsia="en-US"/>
        </w:rPr>
        <mc:AlternateContent>
          <mc:Choice Requires="wps">
            <w:drawing>
              <wp:anchor distT="0" distB="0" distL="114300" distR="114300" simplePos="0" relativeHeight="251659264" behindDoc="0" locked="0" layoutInCell="1" allowOverlap="1" wp14:anchorId="37FCD7A2" wp14:editId="31BCF321">
                <wp:simplePos x="0" y="0"/>
                <wp:positionH relativeFrom="column">
                  <wp:posOffset>0</wp:posOffset>
                </wp:positionH>
                <wp:positionV relativeFrom="paragraph">
                  <wp:posOffset>215900</wp:posOffset>
                </wp:positionV>
                <wp:extent cx="5041900" cy="828040"/>
                <wp:effectExtent l="0" t="0" r="12700" b="5080"/>
                <wp:wrapThrough wrapText="bothSides">
                  <wp:wrapPolygon edited="0">
                    <wp:start x="0" y="0"/>
                    <wp:lineTo x="0" y="20681"/>
                    <wp:lineTo x="21546" y="20681"/>
                    <wp:lineTo x="21546"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5041900" cy="8280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EBBE83A" w14:textId="61327F09" w:rsidR="00572BFC" w:rsidRPr="00086928" w:rsidRDefault="00572BFC" w:rsidP="005A1D98">
                            <w:pPr>
                              <w:pStyle w:val="Caption"/>
                              <w:rPr>
                                <w:noProof/>
                                <w:color w:val="auto"/>
                                <w:sz w:val="24"/>
                                <w:szCs w:val="24"/>
                                <w:lang w:val="en-US" w:eastAsia="en-US"/>
                              </w:rPr>
                            </w:pPr>
                            <w:r w:rsidRPr="00086928">
                              <w:rPr>
                                <w:color w:val="auto"/>
                                <w:sz w:val="24"/>
                                <w:szCs w:val="24"/>
                              </w:rPr>
                              <w:t xml:space="preserve">Figure 3. </w:t>
                            </w:r>
                            <w:r w:rsidRPr="00086928">
                              <w:rPr>
                                <w:b w:val="0"/>
                                <w:color w:val="auto"/>
                                <w:sz w:val="24"/>
                                <w:szCs w:val="24"/>
                              </w:rPr>
                              <w:t xml:space="preserve">Research schematic depicting the five-week study protocol and </w:t>
                            </w:r>
                            <w:r>
                              <w:rPr>
                                <w:b w:val="0"/>
                                <w:color w:val="auto"/>
                                <w:sz w:val="24"/>
                                <w:szCs w:val="24"/>
                              </w:rPr>
                              <w:t xml:space="preserve">approximate </w:t>
                            </w:r>
                            <w:r w:rsidRPr="00086928">
                              <w:rPr>
                                <w:b w:val="0"/>
                                <w:color w:val="auto"/>
                                <w:sz w:val="24"/>
                                <w:szCs w:val="24"/>
                              </w:rPr>
                              <w:t>timing of data collection.</w:t>
                            </w:r>
                            <w:r>
                              <w:rPr>
                                <w:b w:val="0"/>
                                <w:color w:val="auto"/>
                                <w:sz w:val="24"/>
                                <w:szCs w:val="24"/>
                              </w:rPr>
                              <w:t xml:space="preserve"> </w:t>
                            </w:r>
                            <w:proofErr w:type="gramStart"/>
                            <w:r>
                              <w:rPr>
                                <w:b w:val="0"/>
                                <w:color w:val="auto"/>
                                <w:sz w:val="24"/>
                                <w:szCs w:val="24"/>
                              </w:rPr>
                              <w:t>Oral glucose tolerance test (OGTT), continuous glucose monitoring system (CGMS), body composition (BC), strength (STR), function (FXN).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17pt;width:397pt;height:65.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" stroked="f">
                <v:textbox style="mso-fit-shape-to-text:t" inset="0,0,0,0">
                  <w:txbxContent>
                    <w:p w14:paraId="6EBBE83A" w14:textId="61327F09" w:rsidR="00572BFC" w:rsidRPr="00086928" w:rsidRDefault="00572BFC" w:rsidP="005A1D98">
                      <w:pPr>
                        <w:pStyle w:val="Caption"/>
                        <w:rPr>
                          <w:noProof/>
                          <w:color w:val="auto"/>
                          <w:sz w:val="24"/>
                          <w:szCs w:val="24"/>
                          <w:lang w:val="en-US" w:eastAsia="en-US"/>
                        </w:rPr>
                      </w:pPr>
                      <w:r w:rsidRPr="00086928">
                        <w:rPr>
                          <w:color w:val="auto"/>
                          <w:sz w:val="24"/>
                          <w:szCs w:val="24"/>
                        </w:rPr>
                        <w:t xml:space="preserve">Figure 3. </w:t>
                      </w:r>
                      <w:r w:rsidRPr="00086928">
                        <w:rPr>
                          <w:b w:val="0"/>
                          <w:color w:val="auto"/>
                          <w:sz w:val="24"/>
                          <w:szCs w:val="24"/>
                        </w:rPr>
                        <w:t xml:space="preserve">Research schematic depicting the five-week study protocol and </w:t>
                      </w:r>
                      <w:r>
                        <w:rPr>
                          <w:b w:val="0"/>
                          <w:color w:val="auto"/>
                          <w:sz w:val="24"/>
                          <w:szCs w:val="24"/>
                        </w:rPr>
                        <w:t xml:space="preserve">approximate </w:t>
                      </w:r>
                      <w:r w:rsidRPr="00086928">
                        <w:rPr>
                          <w:b w:val="0"/>
                          <w:color w:val="auto"/>
                          <w:sz w:val="24"/>
                          <w:szCs w:val="24"/>
                        </w:rPr>
                        <w:t>timing of data collection.</w:t>
                      </w:r>
                      <w:r>
                        <w:rPr>
                          <w:b w:val="0"/>
                          <w:color w:val="auto"/>
                          <w:sz w:val="24"/>
                          <w:szCs w:val="24"/>
                        </w:rPr>
                        <w:t xml:space="preserve"> </w:t>
                      </w:r>
                      <w:proofErr w:type="gramStart"/>
                      <w:r>
                        <w:rPr>
                          <w:b w:val="0"/>
                          <w:color w:val="auto"/>
                          <w:sz w:val="24"/>
                          <w:szCs w:val="24"/>
                        </w:rPr>
                        <w:t>Oral glucose tolerance test (OGTT), continuous glucose monitoring system (CGMS), body composition (BC), strength (STR), function (FXN).</w:t>
                      </w:r>
                      <w:proofErr w:type="gramEnd"/>
                    </w:p>
                  </w:txbxContent>
                </v:textbox>
                <w10:wrap type="through"/>
              </v:shape>
            </w:pict>
          </mc:Fallback>
        </mc:AlternateContent>
      </w:r>
    </w:p>
    <w:p w14:paraId="58976752" w14:textId="77777777" w:rsidR="005A1D98" w:rsidRDefault="005A1D98" w:rsidP="005A1D98">
      <w:pPr>
        <w:spacing w:line="480" w:lineRule="auto"/>
        <w:rPr>
          <w:rFonts w:cs="Times New Roman"/>
          <w:i/>
        </w:rPr>
      </w:pPr>
    </w:p>
    <w:p w14:paraId="4363A3AF" w14:textId="7E26B503" w:rsidR="005A1D98" w:rsidRDefault="001C7536" w:rsidP="001C7536">
      <w:pPr>
        <w:spacing w:line="480" w:lineRule="auto"/>
        <w:rPr>
          <w:rFonts w:cs="Times New Roman"/>
          <w:i/>
        </w:rPr>
      </w:pPr>
      <w:r w:rsidRPr="001C7536">
        <w:rPr>
          <w:rFonts w:cs="Times New Roman"/>
          <w:i/>
          <w:noProof/>
          <w:lang w:val="en-US" w:eastAsia="en-US"/>
        </w:rPr>
        <w:drawing>
          <wp:inline distT="0" distB="0" distL="0" distR="0" wp14:anchorId="195907E9" wp14:editId="166E7150">
            <wp:extent cx="4495175" cy="1901825"/>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 thesis - study timeline.jpg"/>
                    <pic:cNvPicPr/>
                  </pic:nvPicPr>
                  <pic:blipFill rotWithShape="1">
                    <a:blip r:embed="rId17">
                      <a:extLst>
                        <a:ext uri="{28A0092B-C50C-407E-A947-70E740481C1C}">
                          <a14:useLocalDpi xmlns:a14="http://schemas.microsoft.com/office/drawing/2010/main" val="0"/>
                        </a:ext>
                      </a:extLst>
                    </a:blip>
                    <a:srcRect t="17935" b="25655"/>
                    <a:stretch/>
                  </pic:blipFill>
                  <pic:spPr bwMode="auto">
                    <a:xfrm>
                      <a:off x="0" y="0"/>
                      <a:ext cx="4495175" cy="1901825"/>
                    </a:xfrm>
                    <a:prstGeom prst="rect">
                      <a:avLst/>
                    </a:prstGeom>
                    <a:ln>
                      <a:noFill/>
                    </a:ln>
                    <a:extLst>
                      <a:ext uri="{53640926-AAD7-44d8-BBD7-CCE9431645EC}">
                        <a14:shadowObscured xmlns:a14="http://schemas.microsoft.com/office/drawing/2010/main"/>
                      </a:ext>
                    </a:extLst>
                  </pic:spPr>
                </pic:pic>
              </a:graphicData>
            </a:graphic>
          </wp:inline>
        </w:drawing>
      </w:r>
    </w:p>
    <w:p w14:paraId="608B43D1" w14:textId="2DFB22AF" w:rsidR="005A1D98" w:rsidRDefault="001C7536" w:rsidP="001C7536">
      <w:pPr>
        <w:spacing w:line="480" w:lineRule="auto"/>
        <w:rPr>
          <w:rFonts w:cs="Times New Roman"/>
          <w:i/>
        </w:rPr>
      </w:pPr>
      <w:r>
        <w:rPr>
          <w:noProof/>
          <w:lang w:val="en-US" w:eastAsia="en-US"/>
        </w:rPr>
        <mc:AlternateContent>
          <mc:Choice Requires="wps">
            <w:drawing>
              <wp:anchor distT="0" distB="0" distL="114300" distR="114300" simplePos="0" relativeHeight="251660288" behindDoc="0" locked="0" layoutInCell="1" allowOverlap="1" wp14:anchorId="747C663D" wp14:editId="269769D3">
                <wp:simplePos x="0" y="0"/>
                <wp:positionH relativeFrom="column">
                  <wp:posOffset>0</wp:posOffset>
                </wp:positionH>
                <wp:positionV relativeFrom="paragraph">
                  <wp:posOffset>106680</wp:posOffset>
                </wp:positionV>
                <wp:extent cx="4343400" cy="863600"/>
                <wp:effectExtent l="0" t="0" r="0" b="0"/>
                <wp:wrapThrough wrapText="bothSides">
                  <wp:wrapPolygon edited="0">
                    <wp:start x="0" y="0"/>
                    <wp:lineTo x="0" y="20965"/>
                    <wp:lineTo x="21474" y="20965"/>
                    <wp:lineTo x="21474"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4343400" cy="863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AF667DE" w14:textId="4E414E78" w:rsidR="00572BFC" w:rsidRPr="00086928" w:rsidRDefault="00572BFC" w:rsidP="005A1D98">
                            <w:pPr>
                              <w:pStyle w:val="Caption"/>
                              <w:rPr>
                                <w:b w:val="0"/>
                                <w:noProof/>
                                <w:color w:val="auto"/>
                                <w:sz w:val="24"/>
                                <w:szCs w:val="24"/>
                                <w:lang w:val="en-US" w:eastAsia="en-US"/>
                              </w:rPr>
                            </w:pPr>
                            <w:r w:rsidRPr="00086928">
                              <w:rPr>
                                <w:color w:val="auto"/>
                                <w:sz w:val="24"/>
                                <w:szCs w:val="24"/>
                              </w:rPr>
                              <w:t xml:space="preserve">Figure 4. </w:t>
                            </w:r>
                            <w:proofErr w:type="gramStart"/>
                            <w:r w:rsidRPr="00086928">
                              <w:rPr>
                                <w:b w:val="0"/>
                                <w:color w:val="auto"/>
                                <w:sz w:val="24"/>
                                <w:szCs w:val="24"/>
                              </w:rPr>
                              <w:t>Research schematic depicting specifics of data collection timing at the end of the step-reduction and beginning of the recovery phase.</w:t>
                            </w:r>
                            <w:proofErr w:type="gramEnd"/>
                            <w:r>
                              <w:rPr>
                                <w:b w:val="0"/>
                                <w:color w:val="auto"/>
                                <w:sz w:val="24"/>
                                <w:szCs w:val="24"/>
                              </w:rPr>
                              <w:t xml:space="preserve"> </w:t>
                            </w:r>
                            <w:proofErr w:type="gramStart"/>
                            <w:r>
                              <w:rPr>
                                <w:b w:val="0"/>
                                <w:color w:val="auto"/>
                                <w:sz w:val="24"/>
                                <w:szCs w:val="24"/>
                              </w:rPr>
                              <w:t>Oral glucose tolerance test (OGTT), continuous glucose monitoring system (CGMS), body composition (BC), strength (STR), function (FXN).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0;margin-top:8.4pt;width:342pt;height: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" stroked="f">
                <v:textbox inset="0,0,0,0">
                  <w:txbxContent>
                    <w:p w14:paraId="6AF667DE" w14:textId="4E414E78" w:rsidR="00572BFC" w:rsidRPr="00086928" w:rsidRDefault="00572BFC" w:rsidP="005A1D98">
                      <w:pPr>
                        <w:pStyle w:val="Caption"/>
                        <w:rPr>
                          <w:b w:val="0"/>
                          <w:noProof/>
                          <w:color w:val="auto"/>
                          <w:sz w:val="24"/>
                          <w:szCs w:val="24"/>
                          <w:lang w:val="en-US" w:eastAsia="en-US"/>
                        </w:rPr>
                      </w:pPr>
                      <w:r w:rsidRPr="00086928">
                        <w:rPr>
                          <w:color w:val="auto"/>
                          <w:sz w:val="24"/>
                          <w:szCs w:val="24"/>
                        </w:rPr>
                        <w:t xml:space="preserve">Figure 4. </w:t>
                      </w:r>
                      <w:proofErr w:type="gramStart"/>
                      <w:r w:rsidRPr="00086928">
                        <w:rPr>
                          <w:b w:val="0"/>
                          <w:color w:val="auto"/>
                          <w:sz w:val="24"/>
                          <w:szCs w:val="24"/>
                        </w:rPr>
                        <w:t>Research schematic depicting specifics of data collection timing at the end of the step-reduction and beginning of the recovery phase.</w:t>
                      </w:r>
                      <w:proofErr w:type="gramEnd"/>
                      <w:r>
                        <w:rPr>
                          <w:b w:val="0"/>
                          <w:color w:val="auto"/>
                          <w:sz w:val="24"/>
                          <w:szCs w:val="24"/>
                        </w:rPr>
                        <w:t xml:space="preserve"> </w:t>
                      </w:r>
                      <w:proofErr w:type="gramStart"/>
                      <w:r>
                        <w:rPr>
                          <w:b w:val="0"/>
                          <w:color w:val="auto"/>
                          <w:sz w:val="24"/>
                          <w:szCs w:val="24"/>
                        </w:rPr>
                        <w:t>Oral glucose tolerance test (OGTT), continuous glucose monitoring system (CGMS), body composition (BC), strength (STR), function (FXN).</w:t>
                      </w:r>
                      <w:proofErr w:type="gramEnd"/>
                    </w:p>
                  </w:txbxContent>
                </v:textbox>
                <w10:wrap type="through"/>
              </v:shape>
            </w:pict>
          </mc:Fallback>
        </mc:AlternateContent>
      </w:r>
    </w:p>
    <w:p w14:paraId="6C711DDC" w14:textId="4BD065A7" w:rsidR="007867B0" w:rsidRDefault="007867B0" w:rsidP="007867B0">
      <w:pPr>
        <w:spacing w:line="480" w:lineRule="auto"/>
        <w:ind w:firstLine="720"/>
      </w:pPr>
    </w:p>
    <w:p w14:paraId="790C0FBA" w14:textId="138C0B50" w:rsidR="00A34ABD" w:rsidRPr="00A34ABD" w:rsidRDefault="00817BB0" w:rsidP="007867B0">
      <w:pPr>
        <w:pStyle w:val="Heading3"/>
      </w:pPr>
      <w:bookmarkStart w:id="28" w:name="_Toc296814791"/>
      <w:bookmarkStart w:id="29" w:name="_Toc296932770"/>
      <w:r>
        <w:lastRenderedPageBreak/>
        <w:t>Isometric maximal voluntary contraction (ISO-MVC)</w:t>
      </w:r>
      <w:bookmarkEnd w:id="28"/>
      <w:bookmarkEnd w:id="29"/>
    </w:p>
    <w:p w14:paraId="17D35F02" w14:textId="61D40E88" w:rsidR="005A1D98" w:rsidRDefault="005A1D98" w:rsidP="005A1D98">
      <w:pPr>
        <w:spacing w:line="480" w:lineRule="auto"/>
        <w:ind w:firstLine="720"/>
        <w:rPr>
          <w:rFonts w:cs="Times New Roman"/>
        </w:rPr>
      </w:pPr>
      <w:r w:rsidRPr="005F6933">
        <w:rPr>
          <w:rFonts w:cs="Times New Roman"/>
        </w:rPr>
        <w:t xml:space="preserve">Study participants underwent strength testing to determine </w:t>
      </w:r>
      <w:r w:rsidR="00E112F8">
        <w:rPr>
          <w:rFonts w:cs="Times New Roman"/>
        </w:rPr>
        <w:t>peak</w:t>
      </w:r>
      <w:r w:rsidR="00E112F8" w:rsidRPr="005F6933">
        <w:rPr>
          <w:rFonts w:cs="Times New Roman"/>
        </w:rPr>
        <w:t xml:space="preserve"> </w:t>
      </w:r>
      <w:r>
        <w:rPr>
          <w:rFonts w:cs="Times New Roman"/>
        </w:rPr>
        <w:t>torque</w:t>
      </w:r>
      <w:r w:rsidRPr="005F6933">
        <w:rPr>
          <w:rFonts w:cs="Times New Roman"/>
        </w:rPr>
        <w:t xml:space="preserve"> production of the</w:t>
      </w:r>
      <w:r>
        <w:rPr>
          <w:rFonts w:cs="Times New Roman"/>
        </w:rPr>
        <w:t xml:space="preserve"> knee extensor muscles</w:t>
      </w:r>
      <w:r w:rsidRPr="005F6933">
        <w:rPr>
          <w:rFonts w:cs="Times New Roman"/>
        </w:rPr>
        <w:t xml:space="preserve"> during </w:t>
      </w:r>
      <w:r>
        <w:rPr>
          <w:rFonts w:cs="Times New Roman"/>
        </w:rPr>
        <w:t>ISO-MVCs</w:t>
      </w:r>
      <w:r w:rsidRPr="005F6933">
        <w:rPr>
          <w:rFonts w:cs="Times New Roman"/>
        </w:rPr>
        <w:t xml:space="preserve">. Using a dynamometer (Biodex System 3, Shirley, NY, USA) </w:t>
      </w:r>
      <w:r>
        <w:rPr>
          <w:rFonts w:cs="Times New Roman"/>
        </w:rPr>
        <w:t xml:space="preserve">participants were instructed </w:t>
      </w:r>
      <w:r w:rsidRPr="005F6933">
        <w:rPr>
          <w:rFonts w:cs="Times New Roman"/>
        </w:rPr>
        <w:t>to</w:t>
      </w:r>
      <w:r>
        <w:rPr>
          <w:rFonts w:cs="Times New Roman"/>
        </w:rPr>
        <w:t xml:space="preserve"> extend their knee (i.e. contract their quadriceps to produce a kicking motion) as rapidly as possible with as much force as possible and hold that contraction with maximal effort for five seconds.</w:t>
      </w:r>
      <w:r w:rsidRPr="005F6933">
        <w:rPr>
          <w:rFonts w:cs="Times New Roman"/>
        </w:rPr>
        <w:t xml:space="preserve"> Each unilateral test consisted of three ISO-MVCs of the knee extensors at an angle of 60˚ from the neutral 90˚ resting position</w:t>
      </w:r>
      <w:r>
        <w:rPr>
          <w:rFonts w:cs="Times New Roman"/>
        </w:rPr>
        <w:t xml:space="preserve"> and trials were separated by 120</w:t>
      </w:r>
      <w:r w:rsidRPr="005F6933">
        <w:rPr>
          <w:rFonts w:cs="Times New Roman"/>
        </w:rPr>
        <w:t xml:space="preserve"> seconds of rest. </w:t>
      </w:r>
      <w:r>
        <w:rPr>
          <w:rFonts w:cs="Times New Roman"/>
        </w:rPr>
        <w:t xml:space="preserve">In order to </w:t>
      </w:r>
      <w:r w:rsidRPr="005F6933">
        <w:rPr>
          <w:rFonts w:cs="Times New Roman"/>
        </w:rPr>
        <w:t xml:space="preserve">test peak knee extension torque, </w:t>
      </w:r>
      <w:r>
        <w:rPr>
          <w:rFonts w:cs="Times New Roman"/>
        </w:rPr>
        <w:t>participan</w:t>
      </w:r>
      <w:r w:rsidRPr="005F6933">
        <w:rPr>
          <w:rFonts w:cs="Times New Roman"/>
        </w:rPr>
        <w:t xml:space="preserve">ts were </w:t>
      </w:r>
      <w:r>
        <w:rPr>
          <w:rFonts w:cs="Times New Roman"/>
        </w:rPr>
        <w:t>familiarized</w:t>
      </w:r>
      <w:r w:rsidRPr="005F6933">
        <w:rPr>
          <w:rFonts w:cs="Times New Roman"/>
        </w:rPr>
        <w:t xml:space="preserve"> to the nature of the dynamometer testing protocol</w:t>
      </w:r>
      <w:r>
        <w:rPr>
          <w:rFonts w:cs="Times New Roman"/>
        </w:rPr>
        <w:t xml:space="preserve"> twice prior to </w:t>
      </w:r>
      <w:r w:rsidR="002B63BD">
        <w:rPr>
          <w:rFonts w:cs="Times New Roman"/>
        </w:rPr>
        <w:t>BL</w:t>
      </w:r>
      <w:r>
        <w:rPr>
          <w:rFonts w:cs="Times New Roman"/>
        </w:rPr>
        <w:t xml:space="preserve"> testing, and re-familiarized with at</w:t>
      </w:r>
      <w:r w:rsidRPr="005F6933">
        <w:rPr>
          <w:rFonts w:cs="Times New Roman"/>
        </w:rPr>
        <w:t xml:space="preserve"> l</w:t>
      </w:r>
      <w:r>
        <w:rPr>
          <w:rFonts w:cs="Times New Roman"/>
        </w:rPr>
        <w:t xml:space="preserve">east one maximal contraction </w:t>
      </w:r>
      <w:r w:rsidRPr="005F6933">
        <w:rPr>
          <w:rFonts w:cs="Times New Roman"/>
        </w:rPr>
        <w:t>before proceeding with the test</w:t>
      </w:r>
      <w:r>
        <w:rPr>
          <w:rFonts w:cs="Times New Roman"/>
        </w:rPr>
        <w:t xml:space="preserve"> during each testing session</w:t>
      </w:r>
      <w:r w:rsidRPr="005F6933">
        <w:rPr>
          <w:rFonts w:cs="Times New Roman"/>
        </w:rPr>
        <w:t xml:space="preserve">. </w:t>
      </w:r>
      <w:r>
        <w:rPr>
          <w:rFonts w:cs="Times New Roman"/>
        </w:rPr>
        <w:t>Peak ISO-MVC values were recorded through PowerLab (26T,</w:t>
      </w:r>
      <w:r w:rsidRPr="00B77C48">
        <w:rPr>
          <w:rFonts w:cs="Times New Roman"/>
        </w:rPr>
        <w:t xml:space="preserve"> </w:t>
      </w:r>
      <w:r>
        <w:rPr>
          <w:rFonts w:cs="Times New Roman"/>
        </w:rPr>
        <w:t xml:space="preserve">AD Instruments, CO, USA) and LabChart 7 Pro (v7.3.5, AD Instruments, CO, USA). Sampling rate for torque was 1000 Hz with a low-pass digital filter. </w:t>
      </w:r>
      <w:r w:rsidRPr="005F6933">
        <w:rPr>
          <w:rFonts w:cs="Times New Roman"/>
        </w:rPr>
        <w:t>The highest</w:t>
      </w:r>
      <w:r>
        <w:rPr>
          <w:rFonts w:cs="Times New Roman"/>
        </w:rPr>
        <w:t xml:space="preserve"> recorded torque production</w:t>
      </w:r>
      <w:r w:rsidRPr="005F6933">
        <w:rPr>
          <w:rFonts w:cs="Times New Roman"/>
        </w:rPr>
        <w:t xml:space="preserve"> from each leg was taken as the ISO-MVC</w:t>
      </w:r>
      <w:r>
        <w:rPr>
          <w:rFonts w:cs="Times New Roman"/>
          <w:vertAlign w:val="subscript"/>
        </w:rPr>
        <w:t>peak</w:t>
      </w:r>
      <w:r w:rsidRPr="005F6933">
        <w:rPr>
          <w:rFonts w:cs="Times New Roman"/>
        </w:rPr>
        <w:t xml:space="preserve">. </w:t>
      </w:r>
      <w:r>
        <w:rPr>
          <w:rFonts w:cs="Times New Roman"/>
        </w:rPr>
        <w:t>ISO-MVC</w:t>
      </w:r>
      <w:r>
        <w:rPr>
          <w:rFonts w:cs="Times New Roman"/>
          <w:vertAlign w:val="subscript"/>
        </w:rPr>
        <w:t>mean</w:t>
      </w:r>
      <w:r>
        <w:rPr>
          <w:rFonts w:cs="Times New Roman"/>
        </w:rPr>
        <w:t xml:space="preserve"> was defined as the peak torque averaged across all three trial contractions during each testing phase. </w:t>
      </w:r>
      <w:r w:rsidRPr="005F6933">
        <w:rPr>
          <w:rFonts w:cs="Times New Roman"/>
        </w:rPr>
        <w:t xml:space="preserve">All settings were recorded to replicate conditions on </w:t>
      </w:r>
      <w:r>
        <w:rPr>
          <w:rFonts w:cs="Times New Roman"/>
        </w:rPr>
        <w:t>all</w:t>
      </w:r>
      <w:r w:rsidRPr="005F6933">
        <w:rPr>
          <w:rFonts w:cs="Times New Roman"/>
        </w:rPr>
        <w:t xml:space="preserve"> testing occasions.</w:t>
      </w:r>
      <w:r>
        <w:rPr>
          <w:rFonts w:cs="Times New Roman"/>
        </w:rPr>
        <w:t xml:space="preserve"> Relative ISO-MVC was defined as the peak ISO-MVC per kg body mass.</w:t>
      </w:r>
    </w:p>
    <w:p w14:paraId="622C9DCA" w14:textId="77777777" w:rsidR="006C51DD" w:rsidRDefault="006C51DD" w:rsidP="005A1D98">
      <w:pPr>
        <w:spacing w:line="480" w:lineRule="auto"/>
        <w:ind w:firstLine="720"/>
        <w:rPr>
          <w:rFonts w:cs="Times New Roman"/>
        </w:rPr>
      </w:pPr>
    </w:p>
    <w:p w14:paraId="52BFE868" w14:textId="77777777" w:rsidR="00A34ABD" w:rsidRPr="00A34ABD" w:rsidRDefault="005A1D98" w:rsidP="00A34ABD">
      <w:pPr>
        <w:pStyle w:val="Heading3"/>
      </w:pPr>
      <w:bookmarkStart w:id="30" w:name="_Toc296814792"/>
      <w:bookmarkStart w:id="31" w:name="_Toc296932771"/>
      <w:r w:rsidRPr="00A34ABD">
        <w:lastRenderedPageBreak/>
        <w:t>Rate of torque development (RTD)</w:t>
      </w:r>
      <w:bookmarkEnd w:id="30"/>
      <w:bookmarkEnd w:id="31"/>
    </w:p>
    <w:p w14:paraId="22F08CDF" w14:textId="2743AFAE" w:rsidR="005A1D98" w:rsidRPr="004E1809" w:rsidRDefault="005A1D98" w:rsidP="005A1D98">
      <w:pPr>
        <w:spacing w:line="480" w:lineRule="auto"/>
        <w:ind w:firstLine="709"/>
        <w:rPr>
          <w:rFonts w:cs="Times New Roman"/>
          <w:i/>
        </w:rPr>
      </w:pPr>
      <w:r>
        <w:rPr>
          <w:rFonts w:cs="Times New Roman"/>
        </w:rPr>
        <w:t>RTD was determined from the tangential slope of the torque production trace from the trial with the highest torque production. Peak RTD (</w:t>
      </w:r>
      <w:r w:rsidRPr="004E1809">
        <w:rPr>
          <w:rFonts w:cs="Times New Roman"/>
        </w:rPr>
        <w:t>RTD</w:t>
      </w:r>
      <w:r>
        <w:rPr>
          <w:rFonts w:cs="Times New Roman"/>
          <w:vertAlign w:val="subscript"/>
        </w:rPr>
        <w:t>peak</w:t>
      </w:r>
      <w:r>
        <w:rPr>
          <w:rFonts w:cs="Times New Roman"/>
        </w:rPr>
        <w:t>) was defined as the maximal slope of the torque-time curve. RTD was partitioned into epochs of 0-50 ms (RTD</w:t>
      </w:r>
      <w:r>
        <w:rPr>
          <w:rFonts w:cs="Times New Roman"/>
          <w:vertAlign w:val="subscript"/>
        </w:rPr>
        <w:t>50</w:t>
      </w:r>
      <w:r>
        <w:rPr>
          <w:rFonts w:cs="Times New Roman"/>
        </w:rPr>
        <w:t>), 50-100 ms (RTD</w:t>
      </w:r>
      <w:r>
        <w:rPr>
          <w:rFonts w:cs="Times New Roman"/>
          <w:vertAlign w:val="subscript"/>
        </w:rPr>
        <w:t>100</w:t>
      </w:r>
      <w:r>
        <w:rPr>
          <w:rFonts w:cs="Times New Roman"/>
        </w:rPr>
        <w:t>). 100-150 ms (RTD</w:t>
      </w:r>
      <w:r>
        <w:rPr>
          <w:rFonts w:cs="Times New Roman"/>
          <w:vertAlign w:val="subscript"/>
        </w:rPr>
        <w:t>150</w:t>
      </w:r>
      <w:r>
        <w:rPr>
          <w:rFonts w:cs="Times New Roman"/>
        </w:rPr>
        <w:t>) and 150-200 ms (RTD</w:t>
      </w:r>
      <w:r>
        <w:rPr>
          <w:rFonts w:cs="Times New Roman"/>
          <w:vertAlign w:val="subscript"/>
        </w:rPr>
        <w:t>200</w:t>
      </w:r>
      <w:r>
        <w:rPr>
          <w:rFonts w:cs="Times New Roman"/>
        </w:rPr>
        <w:t xml:space="preserve">) after the time at which 3% of peak torque was produced, and the mean RTD from these intervals was calculated. Torque production was also partitioned and averaged by quartiles of force production (0-25% </w:t>
      </w:r>
      <w:r w:rsidRPr="004E1809">
        <w:rPr>
          <w:rFonts w:cs="Times New Roman"/>
        </w:rPr>
        <w:t>RTD</w:t>
      </w:r>
      <w:r w:rsidRPr="004E1809">
        <w:rPr>
          <w:rFonts w:cs="Times New Roman"/>
          <w:vertAlign w:val="subscript"/>
        </w:rPr>
        <w:t>25</w:t>
      </w:r>
      <w:r>
        <w:rPr>
          <w:rFonts w:cs="Times New Roman"/>
          <w:vertAlign w:val="subscript"/>
        </w:rPr>
        <w:t>%</w:t>
      </w:r>
      <w:r>
        <w:rPr>
          <w:rFonts w:cs="Times New Roman"/>
        </w:rPr>
        <w:t xml:space="preserve">, 25-75%, </w:t>
      </w:r>
      <w:r w:rsidRPr="004E1809">
        <w:rPr>
          <w:rFonts w:cs="Times New Roman"/>
        </w:rPr>
        <w:t>RTD</w:t>
      </w:r>
      <w:r w:rsidRPr="004E1809">
        <w:rPr>
          <w:rFonts w:cs="Times New Roman"/>
          <w:vertAlign w:val="subscript"/>
        </w:rPr>
        <w:t>75</w:t>
      </w:r>
      <w:r>
        <w:rPr>
          <w:rFonts w:cs="Times New Roman"/>
          <w:vertAlign w:val="subscript"/>
        </w:rPr>
        <w:t>%</w:t>
      </w:r>
      <w:r>
        <w:rPr>
          <w:rFonts w:cs="Times New Roman"/>
        </w:rPr>
        <w:t xml:space="preserve"> and 75-100%, RTD</w:t>
      </w:r>
      <w:r>
        <w:rPr>
          <w:rFonts w:cs="Times New Roman"/>
          <w:vertAlign w:val="subscript"/>
        </w:rPr>
        <w:t>100%</w:t>
      </w:r>
      <w:r>
        <w:rPr>
          <w:rFonts w:cs="Times New Roman"/>
        </w:rPr>
        <w:t xml:space="preserve">). </w:t>
      </w:r>
      <w:r w:rsidRPr="006E069E">
        <w:rPr>
          <w:rFonts w:cs="Times New Roman"/>
        </w:rPr>
        <w:t>Both absolute and relative (RTD/ISO-MVC</w:t>
      </w:r>
      <w:r w:rsidRPr="006E069E">
        <w:rPr>
          <w:rFonts w:cs="Times New Roman"/>
          <w:vertAlign w:val="subscript"/>
        </w:rPr>
        <w:t>peak</w:t>
      </w:r>
      <w:r w:rsidRPr="006E069E">
        <w:rPr>
          <w:rFonts w:cs="Times New Roman"/>
        </w:rPr>
        <w:t>) were considered in the analysis.</w:t>
      </w:r>
      <w:r>
        <w:rPr>
          <w:rFonts w:cs="Times New Roman"/>
        </w:rPr>
        <w:t xml:space="preserve"> </w:t>
      </w:r>
    </w:p>
    <w:p w14:paraId="1A09434E" w14:textId="77777777" w:rsidR="00A34ABD" w:rsidRDefault="00A34ABD" w:rsidP="00A34ABD">
      <w:pPr>
        <w:pStyle w:val="Heading3"/>
      </w:pPr>
    </w:p>
    <w:p w14:paraId="3001B3AC" w14:textId="77777777" w:rsidR="00A34ABD" w:rsidRPr="00A34ABD" w:rsidRDefault="005A1D98" w:rsidP="00A34ABD">
      <w:pPr>
        <w:pStyle w:val="Heading3"/>
      </w:pPr>
      <w:bookmarkStart w:id="32" w:name="_Toc296814793"/>
      <w:bookmarkStart w:id="33" w:name="_Toc296932772"/>
      <w:r w:rsidRPr="00A34ABD">
        <w:t>Physical function</w:t>
      </w:r>
      <w:bookmarkEnd w:id="32"/>
      <w:bookmarkEnd w:id="33"/>
    </w:p>
    <w:p w14:paraId="4ED05099" w14:textId="508B43D3" w:rsidR="005A1D98" w:rsidRPr="000A48FD" w:rsidRDefault="005A1D98" w:rsidP="003274B7">
      <w:pPr>
        <w:spacing w:line="480" w:lineRule="auto"/>
        <w:ind w:firstLine="709"/>
        <w:rPr>
          <w:rFonts w:cs="Times New Roman"/>
          <w:bCs/>
          <w:color w:val="000000"/>
          <w:lang w:val="en-US"/>
        </w:rPr>
      </w:pPr>
      <w:proofErr w:type="gramStart"/>
      <w:r>
        <w:rPr>
          <w:rFonts w:cs="Times New Roman"/>
        </w:rPr>
        <w:t>A battery of tests for the performance of ADL were</w:t>
      </w:r>
      <w:proofErr w:type="gramEnd"/>
      <w:r>
        <w:rPr>
          <w:rFonts w:cs="Times New Roman"/>
        </w:rPr>
        <w:t xml:space="preserve"> conducted after each study phase. In each trial of the 30CS task, a participant was instructed to rise from a chair as many times as possible in 30 seconds, without using their arms for assistance</w:t>
      </w:r>
      <w:r>
        <w:rPr>
          <w:rFonts w:cs="Times New Roman"/>
        </w:rPr>
        <w:fldChar w:fldCharType="begin" w:fldLock="1"/>
      </w:r>
      <w:r w:rsidR="000709FC">
        <w:rPr>
          <w:rFonts w:cs="Times New Roman"/>
        </w:rPr>
        <w:instrText>ADDIN CSL_CITATION { "citationItems" : [ { "id" : "ITEM-1", "itemData" : { "DOI" : "10.1080/02701367.1999.10608028", "ISBN" : "0270-1367 (Print)\\r0270-1367 (Linking)", "ISSN" : "0270-1367", "PMID" : "10380242", "abstract" : "Measuring lower body strength is critical in evaluating the functional performance of older adults. The purpose of this study was to assess the test-retest reliability and the criterion-related and construct validity of a 30-s chair stand as a measure of lower body strength in adults over the age of 60 years. Seventy-six community-dwelling older adults (M age = 70.5 years) volunteered to participate in the study, which involved performing two 30-s chair-stand tests and two maximum leg-press tests, each conducted on separate days 2-5 days apart. Test-retest intraclass correlations of .84 for men and .92 for women, utilizing one-way analysis of variance procedures appropriate for a single trial, together with a nonsignificant change in scores from Day 1 testing to Day 2, indicate that the 30-s chair stand has good stability reliability. A moderately high correlation between chair-stand performance and maximum weight-adjusted leg-press performance for both men and women (r = .78 and .71, respectively) supports the criterion-related validity of the chair stand as a measure of lower body strength. Construct (or discriminant) validity of the chair stand was demonstrated by the test's ability to detect differences between various age and physical activity level groups. As expected, chair-stand performance decreased significantly across age groups in decades--from the 60s to the 70s to the 80s (p &lt; .01) and was significantly lower for low-active participants than for high-active participants (p &lt; .0001). It was concluded that the 30-s chair stand provides a reasonably reliable and valid indicator of lower body strength in generally active, community-dwelling older adults.", "author" : [ { "dropping-particle" : "", "family" : "Jones", "given" : "C J", "non-dropping-particle" : "", "parse-names" : false, "suffix" : "" }, { "dropping-particle" : "", "family" : "Rikli", "given" : "R E", "non-dropping-particle" : "", "parse-names" : false, "suffix" : "" }, { "dropping-particle" : "", "family" : "Beam", "given" : "W C", "non-dropping-particle" : "", "parse-names" : false, "suffix" : "" } ], "container-title" : "Research quarterly for exercise and sport", "id" : "ITEM-1", "issue" : "2", "issued" : { "date-parts" : [ [ "1999", "6" ] ] }, "note" : "From Duplicate 2 ( ", "page" : "113-119", "title" : "A 30-s chair-stand test as a measure of lower body strength in community-residing older adults.", "type" : "article-journal", "volume" : "70" }, "uris" : [ "http://www.mendeley.com/documents/?uuid=4a4469ec-8f1d-40b1-88ea-85b3674082a9" ] } ], "mendeley" : { "formattedCitation" : "&lt;sup&gt;105&lt;/sup&gt;", "plainTextFormattedCitation" : "105", "previouslyFormattedCitation" : "&lt;sup&gt;105&lt;/sup&gt;"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105</w:t>
      </w:r>
      <w:r>
        <w:rPr>
          <w:rFonts w:cs="Times New Roman"/>
        </w:rPr>
        <w:fldChar w:fldCharType="end"/>
      </w:r>
      <w:r>
        <w:rPr>
          <w:rFonts w:cs="Times New Roman"/>
        </w:rPr>
        <w:t>. The 30CS consisted of three trials separated by a two-minute break. The TUG task involved participants rising from a chair without using their arms, walking at a self-selected pace into a designated zone three metres in front of them, turning around and returning to sit down in the chair at the original start position</w:t>
      </w:r>
      <w:r>
        <w:rPr>
          <w:rFonts w:cs="Times New Roman"/>
        </w:rPr>
        <w:fldChar w:fldCharType="begin" w:fldLock="1"/>
      </w:r>
      <w:r w:rsidR="000709FC">
        <w:rPr>
          <w:rFonts w:cs="Times New Roman"/>
        </w:rPr>
        <w:instrText>ADDIN CSL_CITATION { "citationItems" : [ { "id" : "ITEM-1", "itemData" : { "DOI" : "10.1519/00139143-200608000-00004", "ISBN" : "1539-8412 (Print)\\r1539-8412 (Linking)", "ISSN" : "1539-8412", "PMID" : "16914068", "abstract" : "Background and Purpose: The Timed Up and Go (TUG) test is widely employed in the examination of elders, but definitive normative reference values are lacking. This meta-analysis provided such values by consolidating data from multiple studies. Methods: Studies reporting TUG times for apparently healthy elders were identified through the on-line search of bibliographic databases. Study specifics and data were consolidated and examined for homogeneity. Results: Twenty-one studies were included in the meta-analysis. The mean (95% confidence interval) TUG time for individuals at least 60 years of age was 9.4 (8.9-9.9) seconds. Although the data contributing to this mean were homogeneous, data for individuals who could be categorized by age were more homogeneous. The mean (95% confidence intervals) for 3 age groups were: 8.1 (7.1-9.0) seconds for 60 to 69 year olds, 9.2 (8.2-10.2) seconds for 70 to 79 years, and 11.3 (10.0-12.7) seconds for 80 to 99 years. Conclusions: The reference values presented, though obtained from studies with clear differences, provide a standard to which patient performance can be compared. Patients whose performance exceeds the upper limit of reported confidence intervals can be considered to have worse than average performance.", "author" : [ { "dropping-particle" : "", "family" : "Bohannon", "given" : "Richard W", "non-dropping-particle" : "", "parse-names" : false, "suffix" : "" } ], "container-title" : "Journal of geriatric physical therapy (2001)", "id" : "ITEM-1", "issue" : "2", "issued" : { "date-parts" : [ [ "2006", "1" ] ] }, "note" : "From Duplicate 2 ( ", "page" : "64-68", "title" : "Reference values for the timed up and go test: a descriptive meta-analysis.", "type" : "article-journal", "volume" : "29" }, "uris" : [ "http://www.mendeley.com/documents/?uuid=50b77099-a749-4f20-b360-a5b6a5a43f06" ] } ], "mendeley" : { "formattedCitation" : "&lt;sup&gt;106&lt;/sup&gt;", "plainTextFormattedCitation" : "106", "previouslyFormattedCitation" : "&lt;sup&gt;106&lt;/sup&gt;"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106</w:t>
      </w:r>
      <w:r>
        <w:rPr>
          <w:rFonts w:cs="Times New Roman"/>
        </w:rPr>
        <w:fldChar w:fldCharType="end"/>
      </w:r>
      <w:r>
        <w:rPr>
          <w:rFonts w:cs="Times New Roman"/>
        </w:rPr>
        <w:t>. Participants performed a six-minute walk test (6MWT) by walking at a self-selected pace around a 200 m track for six minutes</w:t>
      </w:r>
      <w:r>
        <w:rPr>
          <w:rFonts w:cs="Times New Roman"/>
        </w:rPr>
        <w:fldChar w:fldCharType="begin" w:fldLock="1"/>
      </w:r>
      <w:r w:rsidR="000709FC">
        <w:rPr>
          <w:rFonts w:cs="Times New Roman"/>
        </w:rPr>
        <w:instrText>ADDIN CSL_CITATION { "citationItems" : [ { "id" : "ITEM-1", "itemData" : { "DOI" : "10.1164/rccm.166/1/111", "ISBN" : "1073-449X (Print)\\r1073-449X (Linking)", "ISSN" : "1073449X", "PMID" : "12091180", "abstract" : "This statement provides practical guidelines for the 6-minute walk test (6MWT). Specifically, it reviews indications, details factors that influence results, presents a brief step-by-step protocol, outlines safety measures, describes proper patient preparation and procedures, and offers guidelines for clinical interpretation of results. These recommendations are not intended to limit the use of alternative protocols for research studies. We do not discuss the general topic of clinical exercise testing. As with other American Thoracic Society statements on pulmonary function testing, these guidelines come out of a consensus conference. Drafts were prepared by two members (P.L.E. and R.J.Z.) and were based on a comprehensive Medline literature search from 1970 through 2001, augmented by suggestions from other committee members. Each draft responded to comments from the working committee. The guidelines follow previously published methods as closely as possible and provide a rationale for each specific recommendation. The final recommendations represent a consensus of the committee. The committee recommends that these guidelines be reviewed in five years and in the meantime encourages further research in areas of controversy.", "author" : [ { "dropping-particle" : "", "family" : "Crapo", "given" : "Robert O.", "non-dropping-particle" : "", "parse-names" : false, "suffix" : "" }, { "dropping-particle" : "", "family" : "Casaburi", "given" : "Richard", "non-dropping-particle" : "", "parse-names" : false, "suffix" : "" }, { "dropping-particle" : "", "family" : "Coates", "given" : "Allan L.", "non-dropping-particle" : "", "parse-names" : false, "suffix" : "" }, { "dropping-particle" : "", "family" : "Enright", "given" : "Paul L.", "non-dropping-particle" : "", "parse-names" : false, "suffix" : "" }, { "dropping-particle" : "", "family" : "MacIntyre", "given" : "Neil R.", "non-dropping-particle" : "", "parse-names" : false, "suffix" : "" }, { "dropping-particle" : "", "family" : "McKay", "given" : "Roy T.", "non-dropping-particle" : "", "parse-names" : false, "suffix" : "" }, { "dropping-particle" : "", "family" : "Johnson", "given" : "Douglas", "non-dropping-particle" : "", "parse-names" : false, "suffix" : "" }, { "dropping-particle" : "", "family" : "Wanger", "given" : "Jack S.", "non-dropping-particle" : "", "parse-names" : false, "suffix" : "" }, { "dropping-particle" : "", "family" : "Zeballos", "given" : "R. Jorge", "non-dropping-particle" : "", "parse-names" : false, "suffix" : "" }, { "dropping-particle" : "", "family" : "Bittner", "given" : "Vera", "non-dropping-particle" : "", "parse-names" : false, "suffix" : "" }, { "dropping-particle" : "", "family" : "Mottram", "given" : "Carl", "non-dropping-particle" : "", "parse-names" : false, "suffix" : "" } ], "container-title" : "American Journal of Respiratory and Critical Care Medicine", "id" : "ITEM-1", "issue" : "1", "issued" : { "date-parts" : [ [ "2002" ] ] }, "page" : "111-117", "title" : "ATS statement: Guidelines for the six-minute walk test", "type" : "article-journal", "volume" : "166" }, "uris" : [ "http://www.mendeley.com/documents/?uuid=cff6c8c9-87c2-43c7-8c63-3aedf48f4573" ] } ], "mendeley" : { "formattedCitation" : "&lt;sup&gt;107&lt;/sup&gt;", "plainTextFormattedCitation" : "107", "previouslyFormattedCitation" : "&lt;sup&gt;107&lt;/sup&gt;"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107</w:t>
      </w:r>
      <w:r>
        <w:rPr>
          <w:rFonts w:cs="Times New Roman"/>
        </w:rPr>
        <w:fldChar w:fldCharType="end"/>
      </w:r>
      <w:r>
        <w:rPr>
          <w:rFonts w:cs="Times New Roman"/>
        </w:rPr>
        <w:t xml:space="preserve">. The total distance walked in six minutes was measured with use of a rolling distance measuring </w:t>
      </w:r>
      <w:r>
        <w:rPr>
          <w:rFonts w:cs="Times New Roman"/>
        </w:rPr>
        <w:lastRenderedPageBreak/>
        <w:t>wheel. Participants performed the Rockport walk test (RWT) by walking at a self-selected pace on a 200 m track to complete 8 full laps (1 mile or 1.6 km)</w:t>
      </w:r>
      <w:r>
        <w:rPr>
          <w:rFonts w:cs="Times New Roman"/>
        </w:rPr>
        <w:fldChar w:fldCharType="begin" w:fldLock="1"/>
      </w:r>
      <w:r w:rsidR="000709FC">
        <w:rPr>
          <w:rFonts w:cs="Times New Roman"/>
        </w:rPr>
        <w:instrText>ADDIN CSL_CITATION { "citationItems" : [ { "id" : "ITEM-1", "itemData" : { "ISBN" : "0195-9131 (Print)", "ISSN" : "0195-9131", "PMID" : "3600239", "abstract" : "The purpose of this investigation was to explore an alternative field test to estimate maximal oxygen consumption (VO2max) using a one-mile walk test. VO2max was determined in 343 healthy adult (males = 165, females = 178) subjects 30 to 69 yr using a treadmill protocol (mean +/- SD: VO2max = 37.0 +/- 10.7 ml X kg-1 X min-1). Each subject performed a minimum of two, one-mile track walks as fast as possible. The two fastest walks (T1, T2) with elapsed times within 30 s were used for subsequent analyses. Heart rates were monitored continuously and recorded every one-quarter mile. Multiple regression analysis (best sub-sets) to estimate VO2max (l X min-1) yielded the following predictor variables: track walk-1 time (T1); fourth quarter heart rate for track walk-1 (HR 1-4); age (yr); weight (lb); and sex (1 = male, 0 = female). The best equation (N = 174) was: VO2max = 6.9652 + (0.0091*WT) - (0.0257*AGE) + (0.5955*SEX) - (0.2240*T1) - (0.0115*HR1-4); r = 0.93, SEE = 0.325 l X min-1. Comparing observed and estimated VO2max values in a cross-validation group (N = 169) resulted in r = 0.92, SEE = 0.355 l X min-1. Generalized and sex-specific equations to estimate VO2max (ml X kg-1 X min-1) were also generated. The accuracy of estimation as expressed by SEE was similar among the equations. The results indicate that this one-mile walk test protocol provides a valid sub-maximum assessment for VO2max estimation.", "author" : [ { "dropping-particle" : "", "family" : "Kline", "given" : "G M", "non-dropping-particle" : "", "parse-names" : false, "suffix" : "" }, { "dropping-particle" : "", "family" : "Porcari", "given" : "J P", "non-dropping-particle" : "", "parse-names" : false, "suffix" : "" }, { "dropping-particle" : "", "family" : "Hintermeister", "given" : "R", "non-dropping-particle" : "", "parse-names" : false, "suffix" : "" }, { "dropping-particle" : "", "family" : "Freedson", "given" : "P S", "non-dropping-particle" : "", "parse-names" : false, "suffix" : "" }, { "dropping-particle" : "", "family" : "Ward", "given" : "a", "non-dropping-particle" : "", "parse-names" : false, "suffix" : "" }, { "dropping-particle" : "", "family" : "McCarron", "given" : "R F", "non-dropping-particle" : "", "parse-names" : false, "suffix" : "" }, { "dropping-particle" : "", "family" : "Ross", "given" : "J", "non-dropping-particle" : "", "parse-names" : false, "suffix" : "" }, { "dropping-particle" : "", "family" : "Rippe", "given" : "J M", "non-dropping-particle" : "", "parse-names" : false, "suffix" : "" } ], "container-title" : "Medicine and science in sports and exercise", "id" : "ITEM-1", "issue" : "3", "issued" : { "date-parts" : [ [ "1987" ] ] }, "page" : "253-259", "title" : "Estimation of VO2max from a one-mile track walk, gender, age, and body weight.", "type" : "article-journal", "volume" : "19" }, "uris" : [ "http://www.mendeley.com/documents/?uuid=69a8d398-af1c-4047-b4dc-05bc0fc2f9bc" ] } ], "mendeley" : { "formattedCitation" : "&lt;sup&gt;108&lt;/sup&gt;", "plainTextFormattedCitation" : "108", "previouslyFormattedCitation" : "&lt;sup&gt;108&lt;/sup&gt;"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108</w:t>
      </w:r>
      <w:r>
        <w:rPr>
          <w:rFonts w:cs="Times New Roman"/>
        </w:rPr>
        <w:fldChar w:fldCharType="end"/>
      </w:r>
      <w:r>
        <w:rPr>
          <w:rFonts w:cs="Times New Roman"/>
        </w:rPr>
        <w:t xml:space="preserve">. Participants were timed until completion and heart rate (HR) was measured using digital HR monitors (H7 heart rate sensor, Polar, Lachine, QC, Canada). The score associated with this test represents the estimated </w:t>
      </w:r>
      <w:r w:rsidR="002E042C" w:rsidRPr="000A0FE4">
        <w:rPr>
          <w:rFonts w:cs="Times New Roman"/>
          <w:lang w:val="en-US"/>
        </w:rPr>
        <w:t>V̇</w:t>
      </w:r>
      <w:r>
        <w:rPr>
          <w:rFonts w:cs="Times New Roman"/>
        </w:rPr>
        <w:t>O</w:t>
      </w:r>
      <w:r>
        <w:rPr>
          <w:rFonts w:cs="Times New Roman"/>
          <w:vertAlign w:val="subscript"/>
        </w:rPr>
        <w:t>2peak</w:t>
      </w:r>
      <w:r>
        <w:rPr>
          <w:rFonts w:cs="Times New Roman"/>
        </w:rPr>
        <w:t xml:space="preserve"> of each participant and was calculated as follows:</w:t>
      </w:r>
      <w:r>
        <w:rPr>
          <w:rFonts w:cs="Times New Roman"/>
        </w:rPr>
        <w:br/>
      </w:r>
      <w:r w:rsidR="002E042C">
        <w:rPr>
          <w:rFonts w:cs="Times New Roman"/>
          <w:bCs/>
          <w:color w:val="000000"/>
          <w:lang w:val="en-US"/>
        </w:rPr>
        <w:t xml:space="preserve">Estimated </w:t>
      </w:r>
      <w:r w:rsidR="002E042C" w:rsidRPr="000A0FE4">
        <w:rPr>
          <w:rFonts w:cs="Times New Roman"/>
          <w:lang w:val="en-US"/>
        </w:rPr>
        <w:t>V̇</w:t>
      </w:r>
      <w:r>
        <w:rPr>
          <w:rFonts w:cs="Times New Roman"/>
          <w:bCs/>
          <w:color w:val="000000"/>
          <w:lang w:val="en-US"/>
        </w:rPr>
        <w:t>O</w:t>
      </w:r>
      <w:r>
        <w:rPr>
          <w:rFonts w:cs="Times New Roman"/>
          <w:bCs/>
          <w:color w:val="000000"/>
          <w:vertAlign w:val="subscript"/>
          <w:lang w:val="en-US"/>
        </w:rPr>
        <w:t>2peak</w:t>
      </w:r>
      <w:r w:rsidRPr="000A48FD">
        <w:rPr>
          <w:rFonts w:cs="Times New Roman"/>
          <w:bCs/>
          <w:color w:val="000000"/>
          <w:lang w:val="en-US"/>
        </w:rPr>
        <w:t xml:space="preserve"> (</w:t>
      </w:r>
      <w:r w:rsidRPr="000A48FD">
        <w:rPr>
          <w:rFonts w:cs="Times New Roman"/>
          <w:color w:val="000000"/>
          <w:lang w:val="en-US"/>
        </w:rPr>
        <w:t>ml·kg-1·min-1)</w:t>
      </w:r>
      <w:r>
        <w:rPr>
          <w:rFonts w:cs="Times New Roman"/>
          <w:color w:val="000000"/>
          <w:lang w:val="en-US"/>
        </w:rPr>
        <w:t xml:space="preserve"> </w:t>
      </w:r>
      <w:r>
        <w:rPr>
          <w:rFonts w:cs="Times New Roman"/>
          <w:bCs/>
          <w:color w:val="000000"/>
          <w:lang w:val="en-US"/>
        </w:rPr>
        <w:t>= 132.853 – 0.0769(</w:t>
      </w:r>
      <w:r w:rsidR="00DB54F0">
        <w:rPr>
          <w:rFonts w:cs="Times New Roman"/>
          <w:bCs/>
          <w:color w:val="000000"/>
          <w:lang w:val="en-US"/>
        </w:rPr>
        <w:t>mass</w:t>
      </w:r>
      <w:r w:rsidRPr="000A48FD">
        <w:rPr>
          <w:rFonts w:cs="Times New Roman"/>
          <w:bCs/>
          <w:color w:val="000000"/>
          <w:lang w:val="en-US"/>
        </w:rPr>
        <w:t xml:space="preserve">) </w:t>
      </w:r>
      <w:r>
        <w:rPr>
          <w:rFonts w:cs="Times New Roman"/>
          <w:bCs/>
          <w:color w:val="000000"/>
          <w:lang w:val="en-US"/>
        </w:rPr>
        <w:t xml:space="preserve">          </w:t>
      </w:r>
      <w:r w:rsidR="00DB54F0">
        <w:rPr>
          <w:rFonts w:cs="Times New Roman"/>
          <w:bCs/>
          <w:color w:val="000000"/>
          <w:lang w:val="en-US"/>
        </w:rPr>
        <w:tab/>
      </w:r>
      <w:r w:rsidR="00DB54F0">
        <w:rPr>
          <w:rFonts w:cs="Times New Roman"/>
          <w:bCs/>
          <w:color w:val="000000"/>
          <w:lang w:val="en-US"/>
        </w:rPr>
        <w:tab/>
      </w:r>
      <w:r>
        <w:rPr>
          <w:rFonts w:cs="Times New Roman"/>
          <w:bCs/>
          <w:color w:val="000000"/>
          <w:lang w:val="en-US"/>
        </w:rPr>
        <w:t>– 0.3877(age) + 6.315(sex) – 3.2649(time in m</w:t>
      </w:r>
      <w:r w:rsidRPr="000A48FD">
        <w:rPr>
          <w:rFonts w:cs="Times New Roman"/>
          <w:bCs/>
          <w:color w:val="000000"/>
          <w:lang w:val="en-US"/>
        </w:rPr>
        <w:t xml:space="preserve">in) – 0.1565(HR) </w:t>
      </w:r>
      <w:r>
        <w:rPr>
          <w:rFonts w:cs="Times New Roman"/>
          <w:bCs/>
          <w:color w:val="000000"/>
          <w:lang w:val="en-US"/>
        </w:rPr>
        <w:br/>
      </w:r>
    </w:p>
    <w:p w14:paraId="29A77646" w14:textId="77777777" w:rsidR="00A34ABD" w:rsidRPr="00A34ABD" w:rsidRDefault="005A1D98" w:rsidP="00A34ABD">
      <w:pPr>
        <w:pStyle w:val="Heading3"/>
      </w:pPr>
      <w:bookmarkStart w:id="34" w:name="_Toc296814794"/>
      <w:bookmarkStart w:id="35" w:name="_Toc296932773"/>
      <w:r w:rsidRPr="00A34ABD">
        <w:t>Continuous glucose monitoring system (CGMS)</w:t>
      </w:r>
      <w:bookmarkEnd w:id="34"/>
      <w:bookmarkEnd w:id="35"/>
    </w:p>
    <w:p w14:paraId="28B0D5C7" w14:textId="35F03DFD" w:rsidR="005A1D98" w:rsidRPr="00943220" w:rsidRDefault="006C51DD" w:rsidP="00A34ABD">
      <w:pPr>
        <w:spacing w:line="480" w:lineRule="auto"/>
        <w:ind w:firstLine="720"/>
        <w:rPr>
          <w:rFonts w:cs="Times New Roman"/>
        </w:rPr>
      </w:pPr>
      <w:r>
        <w:rPr>
          <w:rFonts w:cs="Times New Roman"/>
        </w:rPr>
        <w:t xml:space="preserve">Free-living </w:t>
      </w:r>
      <w:r w:rsidR="005A1D98">
        <w:rPr>
          <w:rFonts w:cs="Times New Roman"/>
        </w:rPr>
        <w:t xml:space="preserve">glucose </w:t>
      </w:r>
      <w:r w:rsidR="00EB2F11">
        <w:rPr>
          <w:rFonts w:cs="Times New Roman"/>
        </w:rPr>
        <w:t xml:space="preserve">concentration </w:t>
      </w:r>
      <w:r w:rsidR="005A1D98">
        <w:rPr>
          <w:rFonts w:cs="Times New Roman"/>
        </w:rPr>
        <w:t xml:space="preserve">was measured through use of CGMS over two days, one ‘free-living’ </w:t>
      </w:r>
      <w:r w:rsidR="00E112F8">
        <w:rPr>
          <w:rFonts w:cs="Times New Roman"/>
        </w:rPr>
        <w:t>24-hour</w:t>
      </w:r>
      <w:r w:rsidR="005A1D98">
        <w:rPr>
          <w:rFonts w:cs="Times New Roman"/>
        </w:rPr>
        <w:t xml:space="preserve"> period and</w:t>
      </w:r>
      <w:r w:rsidR="00E112F8">
        <w:rPr>
          <w:rFonts w:cs="Times New Roman"/>
        </w:rPr>
        <w:t xml:space="preserve"> a</w:t>
      </w:r>
      <w:r w:rsidR="005A1D98">
        <w:rPr>
          <w:rFonts w:cs="Times New Roman"/>
        </w:rPr>
        <w:t xml:space="preserve"> 24</w:t>
      </w:r>
      <w:r w:rsidR="00E112F8">
        <w:rPr>
          <w:rFonts w:cs="Times New Roman"/>
        </w:rPr>
        <w:t>-</w:t>
      </w:r>
      <w:r w:rsidR="005A1D98">
        <w:rPr>
          <w:rFonts w:cs="Times New Roman"/>
        </w:rPr>
        <w:t xml:space="preserve">hour period </w:t>
      </w:r>
      <w:r w:rsidR="00E112F8">
        <w:rPr>
          <w:rFonts w:cs="Times New Roman"/>
        </w:rPr>
        <w:t xml:space="preserve">that </w:t>
      </w:r>
      <w:r w:rsidR="005A1D98">
        <w:rPr>
          <w:rFonts w:cs="Times New Roman"/>
        </w:rPr>
        <w:t>included an OGTT. CGMS sensors (Enlite, Medtronic, California, USA) were inserted percutaneously at the abdomen (periumbilical). CGMS devices (iPro 2, Medtronic, California, USA) were secured to the abdomen on the day prior to data collection and remained for the next two days. As per manufacturer</w:t>
      </w:r>
      <w:r w:rsidR="00EB2F11">
        <w:rPr>
          <w:rFonts w:cs="Times New Roman"/>
        </w:rPr>
        <w:t>’</w:t>
      </w:r>
      <w:r w:rsidR="005A1D98">
        <w:rPr>
          <w:rFonts w:cs="Times New Roman"/>
        </w:rPr>
        <w:t xml:space="preserve">s instructions, participants recorded four blood glucose measurements per day for calibration of the CGMS device through point-of-care capillary blood glucose devices (OneTouch UltraMini, LifeScan, BC, Canada) upon waking, before lunch, before dinner and before bed. Participants were provided with an individualized two-day isocaloric diet of pre-packaged food </w:t>
      </w:r>
      <w:r w:rsidR="00EB2F11">
        <w:rPr>
          <w:rFonts w:cs="Times New Roman"/>
        </w:rPr>
        <w:t xml:space="preserve">containing energy </w:t>
      </w:r>
      <w:r w:rsidR="005A1D98">
        <w:rPr>
          <w:rFonts w:cs="Times New Roman"/>
        </w:rPr>
        <w:t>based on the Harris-Benedict equation</w:t>
      </w:r>
      <w:r w:rsidR="005A1D98">
        <w:rPr>
          <w:rFonts w:cs="Times New Roman"/>
        </w:rPr>
        <w:fldChar w:fldCharType="begin" w:fldLock="1"/>
      </w:r>
      <w:r w:rsidR="006670B1">
        <w:rPr>
          <w:rFonts w:cs="Times New Roman"/>
        </w:rPr>
        <w:instrText>ADDIN CSL_CITATION { "citationItems" : [ { "id" : "ITEM-1", "itemData" : { "ISSN" : "1279-7707", "PMID" : "16886096", "abstract" : "BACKGROUND: In the diseased elderly weight loss and malnutrition are common. It is unclear to what degree this is caused by an elevated resting metabolic rate (RMR), a decreased energy intake or a combination of the two. OBJECTIVE: To measure RMR and nutrient induced thermogenesis (NIT) in chronically diseased elderly living in a nursing home and test for a correlation with fat free mass (FFM), age, energy intake and activities of daily living (ADL). DESIGN: Explorative study performed in the residents' own apartments. RMR was measured by indirect calorimetry, and NIT was tested by giving the subjects an oral fluid test meal, then measuring metabolic rate again one hour later. Body composition was measured anthropometrically and FFM was calculated. Energy intake was calculated from a five-day record of weighed food. BMR was calculated using four different prediction equations and compared with measured RMR. Results: RMR was 1,174 kcal/d (29.3 kcal/kg FFM/d). The variation in RMR was significantly related to FFM (p &lt; 0.0001). Energy intake was 1,474 kcal/d, (36.5 kcal/kg FFM/d). The energy intake/RMR ratio, was 1.27, and NIT was 15% (0-33%). NIT was not correlated to any of the parameters tested. The equation of Harris and Benedict underestimated BMR by 4%; the WHO/FAO overestimated BMR by 7%; Schofield and an estimate of 20 kcal/kg/d did not significantly differ from the measured mean. CONCLUSION: RMR was closely correlated to FFM. Variations in NIT could not be explained by any tested parameters. Predicted BMR differed from measured RMR by less than 8% in all methods, but individual variations were large.", "author" : [ { "dropping-particle" : "", "family" : "Lammes", "given" : "E", "non-dropping-particle" : "", "parse-names" : false, "suffix" : "" }, { "dropping-particle" : "", "family" : "Akner", "given" : "G", "non-dropping-particle" : "", "parse-names" : false, "suffix" : "" } ], "container-title" : "The journal of nutrition, health &amp; aging", "id" : "ITEM-1", "issue" : "4", "issued" : { "date-parts" : [ [ "2006" ] ] }, "page" : "263-270", "title" : "Resting metabolic rate in elderly nursing home patients with multiple diagnoses.", "type" : "article-journal", "volume" : "10" }, "uris" : [ "http://www.mendeley.com/documents/?uuid=ea2f3e76-c858-40df-95ff-832642fe7128" ] } ], "mendeley" : { "formattedCitation" : "&lt;sup&gt;26&lt;/sup&gt;", "plainTextFormattedCitation" : "26", "previouslyFormattedCitation" : "&lt;sup&gt;26&lt;/sup&gt;" }, "properties" : { "noteIndex" : 0 }, "schema" : "https://github.com/citation-style-language/schema/raw/master/csl-citation.json" }</w:instrText>
      </w:r>
      <w:r w:rsidR="005A1D98">
        <w:rPr>
          <w:rFonts w:cs="Times New Roman"/>
        </w:rPr>
        <w:fldChar w:fldCharType="separate"/>
      </w:r>
      <w:r w:rsidR="004238C1" w:rsidRPr="004238C1">
        <w:rPr>
          <w:rFonts w:cs="Times New Roman"/>
          <w:noProof/>
          <w:vertAlign w:val="superscript"/>
        </w:rPr>
        <w:t>26</w:t>
      </w:r>
      <w:r w:rsidR="005A1D98">
        <w:rPr>
          <w:rFonts w:cs="Times New Roman"/>
        </w:rPr>
        <w:fldChar w:fldCharType="end"/>
      </w:r>
      <w:r w:rsidR="005A1D98">
        <w:rPr>
          <w:rFonts w:cs="Times New Roman"/>
        </w:rPr>
        <w:t xml:space="preserve"> with an associated activity factor (determined through the </w:t>
      </w:r>
      <w:r w:rsidR="00EB2F11">
        <w:rPr>
          <w:rFonts w:cs="Times New Roman"/>
        </w:rPr>
        <w:lastRenderedPageBreak/>
        <w:t xml:space="preserve">subject’s responses to the </w:t>
      </w:r>
      <w:r w:rsidR="005A1D98">
        <w:rPr>
          <w:rFonts w:cs="Times New Roman"/>
        </w:rPr>
        <w:t xml:space="preserve">International Physical Activity Questionnaire). The diet was consumed for two CGMS testing days. Diets provided 1.0 ± 0.1 </w:t>
      </w:r>
      <w:r w:rsidR="005A1D98">
        <w:t xml:space="preserve">g </w:t>
      </w:r>
      <w:r w:rsidR="005A1D98">
        <w:sym w:font="Symbol" w:char="F0B7"/>
      </w:r>
      <w:r w:rsidR="005A1D98">
        <w:t xml:space="preserve"> kg</w:t>
      </w:r>
      <w:r w:rsidR="005A1D98">
        <w:rPr>
          <w:vertAlign w:val="superscript"/>
        </w:rPr>
        <w:t>-1</w:t>
      </w:r>
      <w:r w:rsidR="005A1D98">
        <w:rPr>
          <w:rFonts w:cs="Times New Roman"/>
        </w:rPr>
        <w:t xml:space="preserve"> body weight of protein and 40 ± 3% of all caloric </w:t>
      </w:r>
      <w:proofErr w:type="gramStart"/>
      <w:r w:rsidR="005A1D98">
        <w:rPr>
          <w:rFonts w:cs="Times New Roman"/>
        </w:rPr>
        <w:t>intake</w:t>
      </w:r>
      <w:proofErr w:type="gramEnd"/>
      <w:r w:rsidR="005A1D98">
        <w:rPr>
          <w:rFonts w:cs="Times New Roman"/>
        </w:rPr>
        <w:t xml:space="preserve"> and 53 ± 6% of all protein intake at dinner, with near equal distribution of calories and protein at </w:t>
      </w:r>
      <w:r w:rsidR="00EB2F11">
        <w:rPr>
          <w:rFonts w:cs="Times New Roman"/>
        </w:rPr>
        <w:t xml:space="preserve">the </w:t>
      </w:r>
      <w:r w:rsidR="005A1D98">
        <w:rPr>
          <w:rFonts w:cs="Times New Roman"/>
        </w:rPr>
        <w:t xml:space="preserve">breakfast and lunch </w:t>
      </w:r>
      <w:r w:rsidR="00EB2F11">
        <w:rPr>
          <w:rFonts w:cs="Times New Roman"/>
        </w:rPr>
        <w:t xml:space="preserve">meals </w:t>
      </w:r>
      <w:r w:rsidR="005A1D98">
        <w:rPr>
          <w:rFonts w:cs="Times New Roman"/>
        </w:rPr>
        <w:t xml:space="preserve">(Table 2). Participants recorded meal consumption in a detailed log and repeated the timing of each meal during each subsequent phase of the study. When CGMS devices were removed all measurements of interstitial glucose concentration were converted to blood glucose concentration during data download using the provided </w:t>
      </w:r>
      <w:r w:rsidR="005A1D98" w:rsidRPr="00943220">
        <w:rPr>
          <w:rFonts w:cs="Times New Roman"/>
        </w:rPr>
        <w:t>CGMS Carelink</w:t>
      </w:r>
      <w:r w:rsidR="005A1D98" w:rsidRPr="00943220">
        <w:rPr>
          <w:rFonts w:cs="Times New Roman"/>
          <w:color w:val="000000"/>
        </w:rPr>
        <w:t>™</w:t>
      </w:r>
      <w:r w:rsidR="005A1D98" w:rsidRPr="00943220">
        <w:rPr>
          <w:rFonts w:cs="Times New Roman"/>
        </w:rPr>
        <w:t xml:space="preserve"> software (Medtronic). </w:t>
      </w:r>
    </w:p>
    <w:p w14:paraId="2305EA38" w14:textId="22F74293" w:rsidR="00A34ABD" w:rsidRDefault="005A1D98" w:rsidP="005A1D98">
      <w:pPr>
        <w:spacing w:line="480" w:lineRule="auto"/>
        <w:ind w:firstLine="720"/>
        <w:rPr>
          <w:rFonts w:cs="Times New Roman"/>
        </w:rPr>
      </w:pPr>
      <w:r w:rsidRPr="00943220">
        <w:rPr>
          <w:rFonts w:cs="Times New Roman"/>
        </w:rPr>
        <w:t>Recordings from the CGMS devices provided blood glucose measurements every five minutes. Analysis of CGMS allowed for characterization of three-hour post-prandial glucose AUC (PPG</w:t>
      </w:r>
      <w:r w:rsidRPr="00943220">
        <w:rPr>
          <w:rFonts w:cs="Times New Roman"/>
          <w:vertAlign w:val="subscript"/>
        </w:rPr>
        <w:t>AUC</w:t>
      </w:r>
      <w:r>
        <w:rPr>
          <w:rFonts w:cs="Times New Roman"/>
        </w:rPr>
        <w:t>)</w:t>
      </w:r>
      <w:r w:rsidRPr="00943220">
        <w:rPr>
          <w:rFonts w:cs="Times New Roman"/>
        </w:rPr>
        <w:t>, peak post-prandial glucose (∆PPG</w:t>
      </w:r>
      <w:r w:rsidRPr="00943220">
        <w:rPr>
          <w:rFonts w:cs="Times New Roman"/>
          <w:vertAlign w:val="subscript"/>
        </w:rPr>
        <w:t>peak</w:t>
      </w:r>
      <w:r w:rsidRPr="00943220">
        <w:rPr>
          <w:rFonts w:cs="Times New Roman"/>
        </w:rPr>
        <w:t xml:space="preserve"> = max blood glucose – premeal blood glucose) and time spent above target PPG (</w:t>
      </w:r>
      <w:r w:rsidRPr="00943220">
        <w:t xml:space="preserve">time &gt;7.9 </w:t>
      </w:r>
      <w:r>
        <w:t>mM</w:t>
      </w:r>
      <w:r w:rsidRPr="00943220">
        <w:t>)</w:t>
      </w:r>
      <w:r w:rsidRPr="00943220">
        <w:fldChar w:fldCharType="begin" w:fldLock="1"/>
      </w:r>
      <w:r w:rsidR="000709FC">
        <w:instrText>ADDIN CSL_CITATION { "citationItems" : [ { "id" : "ITEM-1", "itemData" : { "DOI" : "10.2337/dc13-S067", "ISBN" : "92 4 159493 4", "ISSN" : "01495992", "PMID" : "23264425", "abstract" : "A report on reviewing and updating the current WHO guidelines on diabetes.", "author" : [ { "dropping-particle" : "", "family" : "World Health Organization", "given" : "", "non-dropping-particle" : "", "parse-names" : false, "suffix" : "" } ], "container-title" : "Report of a WHO/IDF consultation. Geneva: World Health Organization", "id" : "ITEM-1", "issued" : { "date-parts" : [ [ "2006" ] ] }, "title" : "Definition and diagnosis of diabetes mellitus and intermediate hyperglycaemia", "type" : "report" }, "uris" : [ "http://www.mendeley.com/documents/?uuid=9d0f54a5-8ff0-4654-9030-16ddf380d57a" ] } ], "mendeley" : { "formattedCitation" : "&lt;sup&gt;109&lt;/sup&gt;", "plainTextFormattedCitation" : "109", "previouslyFormattedCitation" : "&lt;sup&gt;109&lt;/sup&gt;" }, "properties" : { "noteIndex" : 0 }, "schema" : "https://github.com/citation-style-language/schema/raw/master/csl-citation.json" }</w:instrText>
      </w:r>
      <w:r w:rsidRPr="00943220">
        <w:fldChar w:fldCharType="separate"/>
      </w:r>
      <w:r w:rsidR="003D1F84" w:rsidRPr="003D1F84">
        <w:rPr>
          <w:noProof/>
          <w:vertAlign w:val="superscript"/>
        </w:rPr>
        <w:t>109</w:t>
      </w:r>
      <w:r w:rsidRPr="00943220">
        <w:fldChar w:fldCharType="end"/>
      </w:r>
      <w:r w:rsidRPr="00943220">
        <w:t>.</w:t>
      </w:r>
      <w:r w:rsidRPr="00943220">
        <w:rPr>
          <w:rFonts w:cs="Times New Roman"/>
        </w:rPr>
        <w:t xml:space="preserve"> PPG analysis began at the time prior to self-reported meal consumption (no more than five minutes before) and continued over the subsequent three hours. No differen</w:t>
      </w:r>
      <w:r>
        <w:rPr>
          <w:rFonts w:cs="Times New Roman"/>
        </w:rPr>
        <w:t xml:space="preserve">ces were detected between </w:t>
      </w:r>
      <w:proofErr w:type="gramStart"/>
      <w:r>
        <w:rPr>
          <w:rFonts w:cs="Times New Roman"/>
        </w:rPr>
        <w:t>meals,</w:t>
      </w:r>
      <w:proofErr w:type="gramEnd"/>
      <w:r>
        <w:rPr>
          <w:rFonts w:cs="Times New Roman"/>
        </w:rPr>
        <w:t xml:space="preserve"> therefore </w:t>
      </w:r>
      <w:r w:rsidRPr="00943220">
        <w:rPr>
          <w:rFonts w:cs="Times New Roman"/>
        </w:rPr>
        <w:t>PPG analysis was pooled for breakfast, lunch and dinner. Maximum blood glucose concentration ([</w:t>
      </w:r>
      <w:proofErr w:type="gramStart"/>
      <w:r w:rsidRPr="00943220">
        <w:rPr>
          <w:rFonts w:cs="Times New Roman"/>
        </w:rPr>
        <w:t>G]</w:t>
      </w:r>
      <w:r w:rsidRPr="00943220">
        <w:rPr>
          <w:rFonts w:cs="Times New Roman"/>
          <w:vertAlign w:val="subscript"/>
        </w:rPr>
        <w:t>max</w:t>
      </w:r>
      <w:proofErr w:type="gramEnd"/>
      <w:r w:rsidRPr="00943220">
        <w:rPr>
          <w:rFonts w:cs="Times New Roman"/>
        </w:rPr>
        <w:t>), minimum blood glucose concentration ([G]</w:t>
      </w:r>
      <w:r w:rsidRPr="00943220">
        <w:rPr>
          <w:rFonts w:cs="Times New Roman"/>
          <w:vertAlign w:val="subscript"/>
        </w:rPr>
        <w:t>min</w:t>
      </w:r>
      <w:r w:rsidRPr="00943220">
        <w:rPr>
          <w:rFonts w:cs="Times New Roman"/>
        </w:rPr>
        <w:t>) and 24</w:t>
      </w:r>
      <w:r w:rsidR="00E112F8">
        <w:rPr>
          <w:rFonts w:cs="Times New Roman"/>
        </w:rPr>
        <w:t>-</w:t>
      </w:r>
      <w:r w:rsidRPr="00943220">
        <w:rPr>
          <w:rFonts w:cs="Times New Roman"/>
        </w:rPr>
        <w:t>hour blood glucose concentration mean ([G]</w:t>
      </w:r>
      <w:r w:rsidRPr="00943220">
        <w:rPr>
          <w:rFonts w:cs="Times New Roman"/>
          <w:vertAlign w:val="subscript"/>
        </w:rPr>
        <w:t>24h</w:t>
      </w:r>
      <w:r w:rsidRPr="00943220">
        <w:rPr>
          <w:rFonts w:cs="Times New Roman"/>
        </w:rPr>
        <w:t xml:space="preserve">) </w:t>
      </w:r>
      <w:r w:rsidRPr="00943220">
        <w:t>were determined</w:t>
      </w:r>
      <w:r w:rsidR="00EB2F11">
        <w:t xml:space="preserve"> from</w:t>
      </w:r>
      <w:r w:rsidRPr="00943220">
        <w:t xml:space="preserve"> 24</w:t>
      </w:r>
      <w:r w:rsidR="00E112F8">
        <w:t>-</w:t>
      </w:r>
      <w:r w:rsidRPr="00943220">
        <w:t xml:space="preserve">hour free-living CGMS as well. During </w:t>
      </w:r>
      <w:r w:rsidR="00EB2F11">
        <w:t xml:space="preserve">the </w:t>
      </w:r>
      <w:r w:rsidRPr="00943220">
        <w:t xml:space="preserve">OGTT, </w:t>
      </w:r>
      <w:r w:rsidRPr="00943220">
        <w:rPr>
          <w:rFonts w:cs="Times New Roman"/>
        </w:rPr>
        <w:t xml:space="preserve">blood glucose concentration </w:t>
      </w:r>
      <w:r w:rsidR="00E112F8">
        <w:rPr>
          <w:rFonts w:cs="Times New Roman"/>
        </w:rPr>
        <w:t>AUC</w:t>
      </w:r>
      <w:r w:rsidRPr="00943220">
        <w:rPr>
          <w:rFonts w:cs="Times New Roman"/>
        </w:rPr>
        <w:t xml:space="preserve"> ([</w:t>
      </w:r>
      <w:proofErr w:type="gramStart"/>
      <w:r w:rsidRPr="00943220">
        <w:rPr>
          <w:rFonts w:cs="Times New Roman"/>
        </w:rPr>
        <w:t>G]</w:t>
      </w:r>
      <w:r w:rsidRPr="00943220">
        <w:rPr>
          <w:rFonts w:cs="Times New Roman"/>
          <w:vertAlign w:val="subscript"/>
        </w:rPr>
        <w:t>AUC</w:t>
      </w:r>
      <w:proofErr w:type="gramEnd"/>
      <w:r w:rsidRPr="00943220">
        <w:rPr>
          <w:rFonts w:cs="Times New Roman"/>
        </w:rPr>
        <w:t>), maximum blood glucose concentration ([G]</w:t>
      </w:r>
      <w:r w:rsidRPr="00943220">
        <w:rPr>
          <w:rFonts w:cs="Times New Roman"/>
          <w:vertAlign w:val="subscript"/>
        </w:rPr>
        <w:t>max</w:t>
      </w:r>
      <w:r w:rsidRPr="00943220">
        <w:rPr>
          <w:rFonts w:cs="Times New Roman"/>
        </w:rPr>
        <w:t>), time spent in hyperglycemi</w:t>
      </w:r>
      <w:r w:rsidR="00EB2F11">
        <w:rPr>
          <w:rFonts w:cs="Times New Roman"/>
        </w:rPr>
        <w:t>a</w:t>
      </w:r>
      <w:r w:rsidRPr="00943220">
        <w:rPr>
          <w:rFonts w:cs="Times New Roman"/>
        </w:rPr>
        <w:t xml:space="preserve"> </w:t>
      </w:r>
      <w:r w:rsidR="00EB2F11">
        <w:rPr>
          <w:rFonts w:cs="Times New Roman"/>
        </w:rPr>
        <w:t>(</w:t>
      </w:r>
      <w:r w:rsidRPr="00943220">
        <w:t>time &gt;</w:t>
      </w:r>
      <w:r>
        <w:t>10 mM)</w:t>
      </w:r>
      <w:r w:rsidRPr="00943220">
        <w:rPr>
          <w:rFonts w:cs="Times New Roman"/>
        </w:rPr>
        <w:t xml:space="preserve"> and blood </w:t>
      </w:r>
      <w:r w:rsidRPr="00943220">
        <w:rPr>
          <w:rFonts w:cs="Times New Roman"/>
        </w:rPr>
        <w:lastRenderedPageBreak/>
        <w:t xml:space="preserve">glucose concentration </w:t>
      </w:r>
      <w:r w:rsidR="00E112F8">
        <w:rPr>
          <w:rFonts w:cs="Times New Roman"/>
        </w:rPr>
        <w:t>two</w:t>
      </w:r>
      <w:r w:rsidRPr="00943220">
        <w:rPr>
          <w:rFonts w:cs="Times New Roman"/>
        </w:rPr>
        <w:t xml:space="preserve"> hours post-OGTT ([G]</w:t>
      </w:r>
      <w:r w:rsidRPr="00943220">
        <w:rPr>
          <w:rFonts w:cs="Times New Roman"/>
          <w:vertAlign w:val="subscript"/>
        </w:rPr>
        <w:t>120</w:t>
      </w:r>
      <w:r w:rsidRPr="00943220">
        <w:rPr>
          <w:rFonts w:cs="Times New Roman"/>
        </w:rPr>
        <w:t xml:space="preserve">) were determined via CGMS </w:t>
      </w:r>
      <w:r>
        <w:rPr>
          <w:rFonts w:cs="Times New Roman"/>
        </w:rPr>
        <w:t>as well</w:t>
      </w:r>
      <w:r w:rsidRPr="00943220">
        <w:rPr>
          <w:rFonts w:cs="Times New Roman"/>
        </w:rPr>
        <w:t xml:space="preserve">. </w:t>
      </w:r>
    </w:p>
    <w:p w14:paraId="34F71F4A" w14:textId="32D7E847" w:rsidR="005A1D98" w:rsidRPr="00086928" w:rsidRDefault="00A34ABD" w:rsidP="00A34ABD">
      <w:pPr>
        <w:pStyle w:val="Caption"/>
        <w:keepNext/>
        <w:spacing w:after="0"/>
        <w:rPr>
          <w:b w:val="0"/>
          <w:color w:val="auto"/>
          <w:sz w:val="24"/>
          <w:szCs w:val="24"/>
        </w:rPr>
      </w:pPr>
      <w:r>
        <w:rPr>
          <w:color w:val="auto"/>
          <w:sz w:val="24"/>
          <w:szCs w:val="24"/>
        </w:rPr>
        <w:br/>
      </w:r>
      <w:r w:rsidR="005A1D98" w:rsidRPr="00086928">
        <w:rPr>
          <w:color w:val="auto"/>
          <w:sz w:val="24"/>
          <w:szCs w:val="24"/>
        </w:rPr>
        <w:t>Table 2</w:t>
      </w:r>
      <w:r w:rsidR="005A1D98" w:rsidRPr="00086928">
        <w:rPr>
          <w:b w:val="0"/>
          <w:color w:val="auto"/>
          <w:sz w:val="24"/>
          <w:szCs w:val="24"/>
        </w:rPr>
        <w:t>. Summary of diet characteristics provided on the free-living day of CGMS measurements</w:t>
      </w:r>
    </w:p>
    <w:tbl>
      <w:tblPr>
        <w:tblW w:w="8046" w:type="dxa"/>
        <w:tblLook w:val="04A0" w:firstRow="1" w:lastRow="0" w:firstColumn="1" w:lastColumn="0" w:noHBand="0" w:noVBand="1"/>
      </w:tblPr>
      <w:tblGrid>
        <w:gridCol w:w="3369"/>
        <w:gridCol w:w="2338"/>
        <w:gridCol w:w="2339"/>
      </w:tblGrid>
      <w:tr w:rsidR="00521CBD" w:rsidRPr="003B4F49" w14:paraId="00914B16" w14:textId="77777777" w:rsidTr="00521CBD">
        <w:trPr>
          <w:trHeight w:val="416"/>
        </w:trPr>
        <w:tc>
          <w:tcPr>
            <w:tcW w:w="3369" w:type="dxa"/>
            <w:tcBorders>
              <w:top w:val="single" w:sz="18" w:space="0" w:color="auto"/>
              <w:bottom w:val="single" w:sz="8" w:space="0" w:color="auto"/>
            </w:tcBorders>
            <w:vAlign w:val="center"/>
          </w:tcPr>
          <w:p w14:paraId="07783586" w14:textId="77777777" w:rsidR="005A1D98" w:rsidRPr="003B4F49" w:rsidRDefault="005A1D98" w:rsidP="00A34ABD"/>
        </w:tc>
        <w:tc>
          <w:tcPr>
            <w:tcW w:w="2338" w:type="dxa"/>
            <w:tcBorders>
              <w:top w:val="single" w:sz="18" w:space="0" w:color="auto"/>
              <w:bottom w:val="single" w:sz="8" w:space="0" w:color="auto"/>
            </w:tcBorders>
            <w:vAlign w:val="center"/>
          </w:tcPr>
          <w:p w14:paraId="29AA0EC7" w14:textId="1024F723" w:rsidR="005A1D98" w:rsidRDefault="005A1D98" w:rsidP="00A34ABD">
            <w:pPr>
              <w:jc w:val="center"/>
            </w:pPr>
            <w:r>
              <w:t>Energy (k</w:t>
            </w:r>
            <w:r w:rsidR="00E112F8">
              <w:t>c</w:t>
            </w:r>
            <w:r>
              <w:t>al)</w:t>
            </w:r>
          </w:p>
        </w:tc>
        <w:tc>
          <w:tcPr>
            <w:tcW w:w="2339" w:type="dxa"/>
            <w:tcBorders>
              <w:top w:val="single" w:sz="18" w:space="0" w:color="auto"/>
              <w:bottom w:val="single" w:sz="8" w:space="0" w:color="auto"/>
            </w:tcBorders>
            <w:vAlign w:val="center"/>
          </w:tcPr>
          <w:p w14:paraId="7C05AB80" w14:textId="77777777" w:rsidR="005A1D98" w:rsidRDefault="005A1D98" w:rsidP="00A34ABD">
            <w:pPr>
              <w:jc w:val="center"/>
            </w:pPr>
            <w:r>
              <w:t xml:space="preserve">Protein (g </w:t>
            </w:r>
            <w:r>
              <w:sym w:font="Symbol" w:char="F0B7"/>
            </w:r>
            <w:r>
              <w:t xml:space="preserve"> kg</w:t>
            </w:r>
            <w:r>
              <w:rPr>
                <w:vertAlign w:val="superscript"/>
              </w:rPr>
              <w:t>-1</w:t>
            </w:r>
            <w:r>
              <w:t>)</w:t>
            </w:r>
          </w:p>
        </w:tc>
      </w:tr>
      <w:tr w:rsidR="00521CBD" w14:paraId="1772851A" w14:textId="77777777" w:rsidTr="00521CBD">
        <w:tc>
          <w:tcPr>
            <w:tcW w:w="3369" w:type="dxa"/>
            <w:vAlign w:val="center"/>
          </w:tcPr>
          <w:p w14:paraId="60FA2896" w14:textId="77777777" w:rsidR="005A1D98" w:rsidRPr="0016257F" w:rsidRDefault="005A1D98" w:rsidP="00A34ABD">
            <w:pPr>
              <w:spacing w:line="276" w:lineRule="auto"/>
            </w:pPr>
            <w:r>
              <w:t>Breakfast</w:t>
            </w:r>
          </w:p>
        </w:tc>
        <w:tc>
          <w:tcPr>
            <w:tcW w:w="2338" w:type="dxa"/>
            <w:vAlign w:val="center"/>
          </w:tcPr>
          <w:p w14:paraId="77F3F907" w14:textId="77777777" w:rsidR="005A1D98" w:rsidRDefault="005A1D98" w:rsidP="00A34ABD">
            <w:pPr>
              <w:spacing w:line="276" w:lineRule="auto"/>
              <w:jc w:val="center"/>
            </w:pPr>
            <w:r>
              <w:t>659 ± 106</w:t>
            </w:r>
          </w:p>
        </w:tc>
        <w:tc>
          <w:tcPr>
            <w:tcW w:w="2339" w:type="dxa"/>
            <w:vAlign w:val="center"/>
          </w:tcPr>
          <w:p w14:paraId="65A5747B" w14:textId="77777777" w:rsidR="005A1D98" w:rsidRDefault="005A1D98" w:rsidP="00A34ABD">
            <w:pPr>
              <w:spacing w:line="276" w:lineRule="auto"/>
              <w:jc w:val="center"/>
            </w:pPr>
            <w:r>
              <w:t>0.25 ± 0.02</w:t>
            </w:r>
          </w:p>
        </w:tc>
      </w:tr>
      <w:tr w:rsidR="00521CBD" w14:paraId="303CC321" w14:textId="77777777" w:rsidTr="00521CBD">
        <w:tc>
          <w:tcPr>
            <w:tcW w:w="3369" w:type="dxa"/>
            <w:vAlign w:val="center"/>
          </w:tcPr>
          <w:p w14:paraId="1F68F7EF" w14:textId="77777777" w:rsidR="005A1D98" w:rsidRDefault="005A1D98" w:rsidP="00A34ABD">
            <w:pPr>
              <w:spacing w:line="276" w:lineRule="auto"/>
            </w:pPr>
            <w:r>
              <w:t>Lunch</w:t>
            </w:r>
          </w:p>
        </w:tc>
        <w:tc>
          <w:tcPr>
            <w:tcW w:w="2338" w:type="dxa"/>
            <w:vAlign w:val="center"/>
          </w:tcPr>
          <w:p w14:paraId="18FC5C3A" w14:textId="77777777" w:rsidR="005A1D98" w:rsidRDefault="005A1D98" w:rsidP="00A34ABD">
            <w:pPr>
              <w:spacing w:line="276" w:lineRule="auto"/>
              <w:jc w:val="center"/>
            </w:pPr>
            <w:r>
              <w:t>659 ±106</w:t>
            </w:r>
          </w:p>
        </w:tc>
        <w:tc>
          <w:tcPr>
            <w:tcW w:w="2339" w:type="dxa"/>
            <w:vAlign w:val="center"/>
          </w:tcPr>
          <w:p w14:paraId="246ACCBA" w14:textId="77777777" w:rsidR="005A1D98" w:rsidRDefault="005A1D98" w:rsidP="00A34ABD">
            <w:pPr>
              <w:spacing w:line="276" w:lineRule="auto"/>
              <w:jc w:val="center"/>
            </w:pPr>
            <w:r>
              <w:t>0.22 ± 0.02</w:t>
            </w:r>
          </w:p>
        </w:tc>
      </w:tr>
      <w:tr w:rsidR="00521CBD" w14:paraId="642E8262" w14:textId="77777777" w:rsidTr="00521CBD">
        <w:tc>
          <w:tcPr>
            <w:tcW w:w="3369" w:type="dxa"/>
            <w:vAlign w:val="center"/>
          </w:tcPr>
          <w:p w14:paraId="26168E60" w14:textId="77777777" w:rsidR="005A1D98" w:rsidRDefault="005A1D98" w:rsidP="00A34ABD">
            <w:pPr>
              <w:spacing w:line="276" w:lineRule="auto"/>
            </w:pPr>
            <w:r>
              <w:t>Dinner</w:t>
            </w:r>
          </w:p>
        </w:tc>
        <w:tc>
          <w:tcPr>
            <w:tcW w:w="2338" w:type="dxa"/>
            <w:vAlign w:val="center"/>
          </w:tcPr>
          <w:p w14:paraId="4A60B3FE" w14:textId="77777777" w:rsidR="005A1D98" w:rsidRDefault="005A1D98" w:rsidP="00A34ABD">
            <w:pPr>
              <w:spacing w:line="276" w:lineRule="auto"/>
              <w:jc w:val="center"/>
            </w:pPr>
            <w:r>
              <w:t>878 ± 142</w:t>
            </w:r>
          </w:p>
        </w:tc>
        <w:tc>
          <w:tcPr>
            <w:tcW w:w="2339" w:type="dxa"/>
            <w:vAlign w:val="center"/>
          </w:tcPr>
          <w:p w14:paraId="7AE5FD2C" w14:textId="77777777" w:rsidR="005A1D98" w:rsidRDefault="005A1D98" w:rsidP="00A34ABD">
            <w:pPr>
              <w:spacing w:line="276" w:lineRule="auto"/>
              <w:jc w:val="center"/>
            </w:pPr>
            <w:r>
              <w:t>0.53 ± 0.04</w:t>
            </w:r>
          </w:p>
        </w:tc>
      </w:tr>
      <w:tr w:rsidR="00521CBD" w14:paraId="7D9EAEAB" w14:textId="77777777" w:rsidTr="00521CBD">
        <w:tc>
          <w:tcPr>
            <w:tcW w:w="3369" w:type="dxa"/>
            <w:tcBorders>
              <w:top w:val="double" w:sz="4" w:space="0" w:color="auto"/>
            </w:tcBorders>
            <w:vAlign w:val="center"/>
          </w:tcPr>
          <w:p w14:paraId="674CDE1D" w14:textId="77777777" w:rsidR="005A1D98" w:rsidRDefault="005A1D98" w:rsidP="00A34ABD">
            <w:pPr>
              <w:spacing w:before="120" w:line="276" w:lineRule="auto"/>
            </w:pPr>
            <w:r>
              <w:t>Carbohydrates (% of daily diet)</w:t>
            </w:r>
          </w:p>
        </w:tc>
        <w:tc>
          <w:tcPr>
            <w:tcW w:w="4677" w:type="dxa"/>
            <w:gridSpan w:val="2"/>
            <w:tcBorders>
              <w:top w:val="double" w:sz="4" w:space="0" w:color="auto"/>
            </w:tcBorders>
            <w:vAlign w:val="center"/>
          </w:tcPr>
          <w:p w14:paraId="0AF1E9B0" w14:textId="77777777" w:rsidR="005A1D98" w:rsidRDefault="005A1D98" w:rsidP="00A34ABD">
            <w:pPr>
              <w:spacing w:before="120" w:line="276" w:lineRule="auto"/>
              <w:jc w:val="center"/>
            </w:pPr>
            <w:r>
              <w:t>56 ± 3</w:t>
            </w:r>
          </w:p>
        </w:tc>
      </w:tr>
      <w:tr w:rsidR="00521CBD" w14:paraId="14F6EB50" w14:textId="77777777" w:rsidTr="00521CBD">
        <w:tc>
          <w:tcPr>
            <w:tcW w:w="3369" w:type="dxa"/>
            <w:vAlign w:val="center"/>
          </w:tcPr>
          <w:p w14:paraId="4B9FDCFE" w14:textId="77777777" w:rsidR="005A1D98" w:rsidRPr="00D15959" w:rsidRDefault="005A1D98" w:rsidP="00A34ABD">
            <w:pPr>
              <w:spacing w:line="276" w:lineRule="auto"/>
            </w:pPr>
            <w:r>
              <w:t>Fat (% of daily diet)</w:t>
            </w:r>
          </w:p>
        </w:tc>
        <w:tc>
          <w:tcPr>
            <w:tcW w:w="4677" w:type="dxa"/>
            <w:gridSpan w:val="2"/>
            <w:vAlign w:val="center"/>
          </w:tcPr>
          <w:p w14:paraId="4EEDD450" w14:textId="77777777" w:rsidR="005A1D98" w:rsidRDefault="005A1D98" w:rsidP="00A34ABD">
            <w:pPr>
              <w:spacing w:line="276" w:lineRule="auto"/>
              <w:jc w:val="center"/>
            </w:pPr>
            <w:r>
              <w:t>30 ± 3</w:t>
            </w:r>
          </w:p>
        </w:tc>
      </w:tr>
      <w:tr w:rsidR="00521CBD" w14:paraId="2CB19685" w14:textId="77777777" w:rsidTr="00521CBD">
        <w:tc>
          <w:tcPr>
            <w:tcW w:w="3369" w:type="dxa"/>
            <w:vAlign w:val="center"/>
          </w:tcPr>
          <w:p w14:paraId="5FAE2544" w14:textId="77777777" w:rsidR="005A1D98" w:rsidRDefault="005A1D98" w:rsidP="00A34ABD">
            <w:pPr>
              <w:spacing w:line="276" w:lineRule="auto"/>
            </w:pPr>
            <w:r>
              <w:t>Protein (% of daily diet)</w:t>
            </w:r>
          </w:p>
        </w:tc>
        <w:tc>
          <w:tcPr>
            <w:tcW w:w="4677" w:type="dxa"/>
            <w:gridSpan w:val="2"/>
            <w:vAlign w:val="center"/>
          </w:tcPr>
          <w:p w14:paraId="36D88D4D" w14:textId="77777777" w:rsidR="005A1D98" w:rsidRDefault="005A1D98" w:rsidP="00A34ABD">
            <w:pPr>
              <w:spacing w:line="276" w:lineRule="auto"/>
              <w:jc w:val="center"/>
            </w:pPr>
            <w:r>
              <w:t>14 ± 1</w:t>
            </w:r>
          </w:p>
        </w:tc>
      </w:tr>
      <w:tr w:rsidR="00521CBD" w14:paraId="628D7AA1" w14:textId="77777777" w:rsidTr="00521CBD">
        <w:tc>
          <w:tcPr>
            <w:tcW w:w="3369" w:type="dxa"/>
            <w:tcBorders>
              <w:bottom w:val="single" w:sz="18" w:space="0" w:color="auto"/>
            </w:tcBorders>
            <w:vAlign w:val="center"/>
          </w:tcPr>
          <w:p w14:paraId="33E83419" w14:textId="56D26890" w:rsidR="005A1D98" w:rsidRDefault="00EB2F11" w:rsidP="00521CBD">
            <w:pPr>
              <w:spacing w:line="276" w:lineRule="auto"/>
            </w:pPr>
            <w:r>
              <w:t>P</w:t>
            </w:r>
            <w:r w:rsidR="005A1D98">
              <w:t xml:space="preserve">rotein </w:t>
            </w:r>
            <w:r>
              <w:t xml:space="preserve">intake </w:t>
            </w:r>
            <w:r w:rsidR="005A1D98">
              <w:t xml:space="preserve">(g </w:t>
            </w:r>
            <w:r w:rsidR="005A1D98">
              <w:sym w:font="Symbol" w:char="F0B7"/>
            </w:r>
            <w:r w:rsidR="005A1D98">
              <w:t xml:space="preserve"> kg</w:t>
            </w:r>
            <w:r w:rsidR="005A1D98">
              <w:rPr>
                <w:vertAlign w:val="superscript"/>
              </w:rPr>
              <w:t>-</w:t>
            </w:r>
            <w:r w:rsidR="00521CBD">
              <w:rPr>
                <w:vertAlign w:val="superscript"/>
              </w:rPr>
              <w:t>1</w:t>
            </w:r>
            <w:r>
              <w:t xml:space="preserve"> </w:t>
            </w:r>
            <w:r>
              <w:sym w:font="Symbol" w:char="F0B7"/>
            </w:r>
            <w:r>
              <w:t xml:space="preserve"> d</w:t>
            </w:r>
            <w:r>
              <w:rPr>
                <w:vertAlign w:val="superscript"/>
              </w:rPr>
              <w:t>-1</w:t>
            </w:r>
            <w:r>
              <w:t>)</w:t>
            </w:r>
          </w:p>
        </w:tc>
        <w:tc>
          <w:tcPr>
            <w:tcW w:w="4677" w:type="dxa"/>
            <w:gridSpan w:val="2"/>
            <w:tcBorders>
              <w:bottom w:val="single" w:sz="18" w:space="0" w:color="auto"/>
            </w:tcBorders>
            <w:vAlign w:val="center"/>
          </w:tcPr>
          <w:p w14:paraId="6E237D5E" w14:textId="77777777" w:rsidR="005A1D98" w:rsidRDefault="005A1D98" w:rsidP="00785141">
            <w:pPr>
              <w:keepNext/>
              <w:spacing w:line="276" w:lineRule="auto"/>
              <w:jc w:val="center"/>
            </w:pPr>
            <w:r>
              <w:t>1.0 ± 0.1</w:t>
            </w:r>
          </w:p>
        </w:tc>
      </w:tr>
    </w:tbl>
    <w:p w14:paraId="166BA11D" w14:textId="647C6C84" w:rsidR="00A34ABD" w:rsidRPr="003274B7" w:rsidRDefault="00785141" w:rsidP="003274B7">
      <w:pPr>
        <w:pStyle w:val="Caption"/>
        <w:rPr>
          <w:rFonts w:cs="Times New Roman"/>
          <w:b w:val="0"/>
          <w:sz w:val="20"/>
          <w:szCs w:val="20"/>
        </w:rPr>
      </w:pPr>
      <w:r w:rsidRPr="003274B7">
        <w:rPr>
          <w:b w:val="0"/>
          <w:color w:val="auto"/>
          <w:sz w:val="20"/>
          <w:szCs w:val="20"/>
        </w:rPr>
        <w:t>Values are means</w:t>
      </w:r>
      <w:r w:rsidRPr="003274B7">
        <w:rPr>
          <w:rFonts w:cs="Times New Roman"/>
          <w:b w:val="0"/>
          <w:color w:val="auto"/>
          <w:sz w:val="20"/>
          <w:szCs w:val="20"/>
        </w:rPr>
        <w:t>±</w:t>
      </w:r>
      <w:r w:rsidRPr="003274B7">
        <w:rPr>
          <w:b w:val="0"/>
          <w:color w:val="auto"/>
          <w:sz w:val="20"/>
          <w:szCs w:val="20"/>
        </w:rPr>
        <w:t>SD, n=10 (6 men, 4 women)</w:t>
      </w:r>
    </w:p>
    <w:p w14:paraId="14FC419E" w14:textId="77777777" w:rsidR="00A34ABD" w:rsidRPr="00A34ABD" w:rsidRDefault="005A1D98" w:rsidP="00A34ABD">
      <w:pPr>
        <w:pStyle w:val="Heading3"/>
      </w:pPr>
      <w:bookmarkStart w:id="36" w:name="_Toc296814795"/>
      <w:bookmarkStart w:id="37" w:name="_Toc296932774"/>
      <w:r w:rsidRPr="00A34ABD">
        <w:t>Oral glucose tolerance test (OGTT)</w:t>
      </w:r>
      <w:bookmarkEnd w:id="36"/>
      <w:bookmarkEnd w:id="37"/>
    </w:p>
    <w:p w14:paraId="50C4ED6D" w14:textId="44B837D6" w:rsidR="005A1D98" w:rsidRDefault="005A1D98" w:rsidP="005A1D98">
      <w:pPr>
        <w:spacing w:line="480" w:lineRule="auto"/>
        <w:ind w:firstLine="720"/>
        <w:rPr>
          <w:rFonts w:cs="Times New Roman"/>
        </w:rPr>
      </w:pPr>
      <w:r w:rsidRPr="005964F6">
        <w:rPr>
          <w:rFonts w:cs="Times New Roman"/>
        </w:rPr>
        <w:t>On</w:t>
      </w:r>
      <w:r>
        <w:rPr>
          <w:rFonts w:cs="Times New Roman"/>
        </w:rPr>
        <w:t xml:space="preserve"> the day after the ‘free-living’ day and an overnight fast, participants began a two-hour OGTT with blood glucose concentrations simultaneously obtained through finger prick capillary blood testing and subsequently from venous blood plasma samples. Two </w:t>
      </w:r>
      <w:r w:rsidR="00E112F8">
        <w:rPr>
          <w:rFonts w:cs="Times New Roman"/>
        </w:rPr>
        <w:t xml:space="preserve">fasting </w:t>
      </w:r>
      <w:r>
        <w:rPr>
          <w:rFonts w:cs="Times New Roman"/>
        </w:rPr>
        <w:t xml:space="preserve">blood samples and glucose finger prick tests were taken (-15 min, 0 min) after which participants consumed a beverage containing 75 g of glucose (Trutol, Thermo Scientific, Pittsburgh, PA, USA). Blood sampling and capillary blood glucose tests were performed every 15 minutes for the first 90 </w:t>
      </w:r>
      <w:r w:rsidRPr="00943220">
        <w:rPr>
          <w:rFonts w:cs="Times New Roman"/>
        </w:rPr>
        <w:t xml:space="preserve">minutes with final samples taken at 120 minutes. </w:t>
      </w:r>
      <w:r>
        <w:rPr>
          <w:rFonts w:cs="Times New Roman"/>
        </w:rPr>
        <w:t xml:space="preserve">Plasma glucose concentrations were determined through automated glucose analysis (YSI 2300 Stat Plus, Yellow Springs, OH). </w:t>
      </w:r>
      <w:r w:rsidRPr="00943220">
        <w:rPr>
          <w:rFonts w:cs="Times New Roman"/>
        </w:rPr>
        <w:t xml:space="preserve">Blood glucose concentration </w:t>
      </w:r>
      <w:r w:rsidR="00E112F8">
        <w:rPr>
          <w:rFonts w:cs="Times New Roman"/>
        </w:rPr>
        <w:t>AUC ([</w:t>
      </w:r>
      <w:proofErr w:type="gramStart"/>
      <w:r w:rsidRPr="00943220">
        <w:rPr>
          <w:rFonts w:cs="Times New Roman"/>
        </w:rPr>
        <w:t>G]</w:t>
      </w:r>
      <w:r w:rsidRPr="00943220">
        <w:rPr>
          <w:rFonts w:cs="Times New Roman"/>
          <w:vertAlign w:val="subscript"/>
        </w:rPr>
        <w:t>AUC</w:t>
      </w:r>
      <w:proofErr w:type="gramEnd"/>
      <w:r w:rsidRPr="00943220">
        <w:rPr>
          <w:rFonts w:cs="Times New Roman"/>
        </w:rPr>
        <w:t>), maximum blood glucose concentration ([G]</w:t>
      </w:r>
      <w:r w:rsidRPr="00943220">
        <w:rPr>
          <w:rFonts w:cs="Times New Roman"/>
          <w:vertAlign w:val="subscript"/>
        </w:rPr>
        <w:t>max</w:t>
      </w:r>
      <w:r w:rsidRPr="00943220">
        <w:rPr>
          <w:rFonts w:cs="Times New Roman"/>
        </w:rPr>
        <w:t xml:space="preserve">) and blood glucose concentration </w:t>
      </w:r>
      <w:r w:rsidR="00E112F8">
        <w:rPr>
          <w:rFonts w:cs="Times New Roman"/>
        </w:rPr>
        <w:t>two</w:t>
      </w:r>
      <w:r w:rsidRPr="00943220">
        <w:rPr>
          <w:rFonts w:cs="Times New Roman"/>
        </w:rPr>
        <w:t xml:space="preserve"> hours post-OGTT ([G]</w:t>
      </w:r>
      <w:r w:rsidRPr="00943220">
        <w:rPr>
          <w:rFonts w:cs="Times New Roman"/>
          <w:vertAlign w:val="subscript"/>
        </w:rPr>
        <w:t>120</w:t>
      </w:r>
      <w:r w:rsidRPr="00943220">
        <w:rPr>
          <w:rFonts w:cs="Times New Roman"/>
        </w:rPr>
        <w:t xml:space="preserve">) were </w:t>
      </w:r>
      <w:r>
        <w:rPr>
          <w:rFonts w:cs="Times New Roman"/>
        </w:rPr>
        <w:t xml:space="preserve">determined by collected samples. </w:t>
      </w:r>
    </w:p>
    <w:p w14:paraId="2DD54B96" w14:textId="1338F5A1" w:rsidR="005A1D98" w:rsidRPr="00943220" w:rsidRDefault="00EB2F11" w:rsidP="005A1D98">
      <w:pPr>
        <w:spacing w:line="480" w:lineRule="auto"/>
        <w:ind w:firstLine="720"/>
        <w:rPr>
          <w:rFonts w:cs="Times New Roman"/>
        </w:rPr>
      </w:pPr>
      <w:r>
        <w:rPr>
          <w:rFonts w:cs="Times New Roman"/>
        </w:rPr>
        <w:lastRenderedPageBreak/>
        <w:t>P</w:t>
      </w:r>
      <w:r w:rsidR="005A1D98">
        <w:rPr>
          <w:rFonts w:cs="Times New Roman"/>
        </w:rPr>
        <w:t xml:space="preserve">lasma insulin was determined through solid-phase two-site chemiluminescent immunometric assay (Immulite 2000, Diagnostic Products Corporation, Los Angeles, CA). </w:t>
      </w:r>
      <w:r w:rsidR="00E112F8">
        <w:rPr>
          <w:rFonts w:cs="Times New Roman"/>
        </w:rPr>
        <w:t>Homeostatic model assessment of insulin resistance (HOMA-IR)</w:t>
      </w:r>
      <w:r w:rsidR="00E112F8">
        <w:rPr>
          <w:rFonts w:cs="Times New Roman"/>
        </w:rPr>
        <w:fldChar w:fldCharType="begin" w:fldLock="1"/>
      </w:r>
      <w:r w:rsidR="000709FC">
        <w:rPr>
          <w:rFonts w:cs="Times New Roman"/>
        </w:rPr>
        <w:instrText>ADDIN CSL_CITATION { "citationItems" : [ { "id" : "ITEM-1", "itemData" : { "DOI" : "10.1007/BF00280883", "ISBN" : "0012-186X (Print)", "ISSN" : "0012186X", "PMID" : "3899825", "abstract" : "The steady-state basal plasma glucose and insulin concentrations are determined by their interaction in a feedback loop. A computer-solved model has been used to predict the homeostatic concentrations which arise from varying degrees of \u03b2-cell deficiency and insulin resistance. Comparison of a patient's fasting values with the model's predictions allows a quantitative assessment of the contributions of insulin resistance and deficient \u03b2-cell function to the fasting hyperglycaemia (homeostasis model assessment, HOMA). The accuracy and precision of the estimate have been determined by comparison with independent measures of insulin resistance and \u03b2-cell function using hyperglycaemic and euglycaemic clamps and an intravenous glucose tolerance test. The estimate of insulin resistance obtained by homeostasis model assessment correlated with estimates obtained by use of the euglycaemic clamp (Rs = 0.88, p &lt; 0.0001), the fasting insulin concentration (Rs = 0.81, p &lt; 0.0001), and the hyperglycaemic clamp, (Rs = 0.69, p &lt; 0.01). There was no correlation with any aspect of insulin-receptor binding. The estimate of deficient \u03b2-cell function obtained by homeostasis model assessment correlated with that derived using the hyperglycaemic clamp (Rs = 0.61, p &lt; 0.01) and with the estimate from the intravenous glucose tolerance test (Rs = 0.64, p &lt; 0.05). The low precision of the estimates from the model (coefficients of variation: 31% for insulin resistance and 32% for \u03b2-cell deficit) limits its use, but the correlation of the model's estimates with patient data accords with the hypothesis that basal glucose and insulin interactions are largely determined by a simple feed back loop.", "author" : [ { "dropping-particle" : "", "family" : "Matthews", "given" : "D. R.", "non-dropping-particle" : "", "parse-names" : false, "suffix" : "" }, { "dropping-particle" : "", "family" : "Hosker", "given" : "J. P.", "non-dropping-particle" : "", "parse-names" : false, "suffix" : "" }, { "dropping-particle" : "", "family" : "Rudenski", "given" : "a. S.", "non-dropping-particle" : "", "parse-names" : false, "suffix" : "" }, { "dropping-particle" : "", "family" : "Naylor", "given" : "B. a.", "non-dropping-particle" : "", "parse-names" : false, "suffix" : "" }, { "dropping-particle" : "", "family" : "Treacher", "given" : "D. F.", "non-dropping-particle" : "", "parse-names" : false, "suffix" : "" }, { "dropping-particle" : "", "family" : "Turner", "given" : "R. C.", "non-dropping-particle" : "", "parse-names" : false, "suffix" : "" } ], "container-title" : "Diabetologia", "id" : "ITEM-1", "issue" : "7", "issued" : { "date-parts" : [ [ "1985", "7" ] ] }, "page" : "412-419", "title" : "Homeostasis model assessment: insulin resistance and B-cell function from fasting plasma glucose and insulin concentrations in man", "type" : "article-journal", "volume" : "28" }, "uris" : [ "http://www.mendeley.com/documents/?uuid=3ac8065d-957b-4f1d-8ff7-d662892b813a" ] } ], "mendeley" : { "formattedCitation" : "&lt;sup&gt;110&lt;/sup&gt;", "plainTextFormattedCitation" : "110", "previouslyFormattedCitation" : "&lt;sup&gt;110&lt;/sup&gt;" }, "properties" : { "noteIndex" : 0 }, "schema" : "https://github.com/citation-style-language/schema/raw/master/csl-citation.json" }</w:instrText>
      </w:r>
      <w:r w:rsidR="00E112F8">
        <w:rPr>
          <w:rFonts w:cs="Times New Roman"/>
        </w:rPr>
        <w:fldChar w:fldCharType="separate"/>
      </w:r>
      <w:r w:rsidR="003D1F84" w:rsidRPr="003D1F84">
        <w:rPr>
          <w:rFonts w:cs="Times New Roman"/>
          <w:noProof/>
          <w:vertAlign w:val="superscript"/>
        </w:rPr>
        <w:t>110</w:t>
      </w:r>
      <w:r w:rsidR="00E112F8">
        <w:rPr>
          <w:rFonts w:cs="Times New Roman"/>
        </w:rPr>
        <w:fldChar w:fldCharType="end"/>
      </w:r>
      <w:r w:rsidR="00851811">
        <w:rPr>
          <w:rFonts w:cs="Times New Roman"/>
        </w:rPr>
        <w:t xml:space="preserve"> </w:t>
      </w:r>
      <w:r w:rsidR="005A1D98">
        <w:rPr>
          <w:rFonts w:cs="Times New Roman"/>
        </w:rPr>
        <w:t xml:space="preserve">calculations were made using the average of fasting samples of plasma glucose and insulin (ie. -15 and 0) and </w:t>
      </w:r>
      <w:r w:rsidR="00E112F8">
        <w:rPr>
          <w:rFonts w:cs="Times New Roman"/>
        </w:rPr>
        <w:t>Matsuda insulin-sensitivity index (ISI)</w:t>
      </w:r>
      <w:r w:rsidR="00E112F8">
        <w:rPr>
          <w:rFonts w:cs="Times New Roman"/>
        </w:rPr>
        <w:fldChar w:fldCharType="begin" w:fldLock="1"/>
      </w:r>
      <w:r w:rsidR="000709FC">
        <w:rPr>
          <w:rFonts w:cs="Times New Roman"/>
        </w:rPr>
        <w:instrText>ADDIN CSL_CITATION { "citationItems" : [ { "id" : "ITEM-1", "itemData" : { "author" : [ { "dropping-particle" : "", "family" : "Matsuda", "given" : "M", "non-dropping-particle" : "", "parse-names" : false, "suffix" : "" }, { "dropping-particle" : "", "family" : "DeFronzo", "given" : "Ra", "non-dropping-particle" : "", "parse-names" : false, "suffix" : "" } ], "container-title" : "Diabetes Care", "id" : "ITEM-1", "issue" : "9", "issued" : { "date-parts" : [ [ "1999" ] ] }, "page" : "1462-1470", "title" : "Insulin Sensitivity Indices Obtained From Oral Glucose Tolerance Testing", "type" : "article-journal", "volume" : "22" }, "uris" : [ "http://www.mendeley.com/documents/?uuid=d5b5b2c0-f302-45dc-b90c-e188884b9378" ] } ], "mendeley" : { "formattedCitation" : "&lt;sup&gt;111&lt;/sup&gt;", "plainTextFormattedCitation" : "111", "previouslyFormattedCitation" : "&lt;sup&gt;111&lt;/sup&gt;" }, "properties" : { "noteIndex" : 0 }, "schema" : "https://github.com/citation-style-language/schema/raw/master/csl-citation.json" }</w:instrText>
      </w:r>
      <w:r w:rsidR="00E112F8">
        <w:rPr>
          <w:rFonts w:cs="Times New Roman"/>
        </w:rPr>
        <w:fldChar w:fldCharType="separate"/>
      </w:r>
      <w:r w:rsidR="003D1F84" w:rsidRPr="003D1F84">
        <w:rPr>
          <w:rFonts w:cs="Times New Roman"/>
          <w:noProof/>
          <w:vertAlign w:val="superscript"/>
        </w:rPr>
        <w:t>111</w:t>
      </w:r>
      <w:r w:rsidR="00E112F8">
        <w:rPr>
          <w:rFonts w:cs="Times New Roman"/>
        </w:rPr>
        <w:fldChar w:fldCharType="end"/>
      </w:r>
      <w:r w:rsidR="00E112F8">
        <w:rPr>
          <w:rFonts w:cs="Times New Roman"/>
        </w:rPr>
        <w:t xml:space="preserve"> </w:t>
      </w:r>
      <w:r w:rsidR="005A1D98">
        <w:rPr>
          <w:rFonts w:cs="Times New Roman"/>
        </w:rPr>
        <w:t>calculation</w:t>
      </w:r>
      <w:r w:rsidR="00E112F8">
        <w:rPr>
          <w:rFonts w:cs="Times New Roman"/>
        </w:rPr>
        <w:t>s</w:t>
      </w:r>
      <w:r w:rsidR="005A1D98">
        <w:rPr>
          <w:rFonts w:cs="Times New Roman"/>
        </w:rPr>
        <w:t xml:space="preserve"> us</w:t>
      </w:r>
      <w:r w:rsidR="00851811">
        <w:rPr>
          <w:rFonts w:cs="Times New Roman"/>
        </w:rPr>
        <w:t>ed</w:t>
      </w:r>
      <w:r w:rsidR="005A1D98">
        <w:rPr>
          <w:rFonts w:cs="Times New Roman"/>
        </w:rPr>
        <w:t xml:space="preserve"> the plasma glucose concentrations from samples from 30, 60, 90 and 120 minutes after consumption of the OGTT beverage.</w:t>
      </w:r>
    </w:p>
    <w:p w14:paraId="1C74A4D2" w14:textId="77777777" w:rsidR="00A34ABD" w:rsidRDefault="00A34ABD" w:rsidP="00A34ABD">
      <w:pPr>
        <w:pStyle w:val="Heading3"/>
      </w:pPr>
    </w:p>
    <w:p w14:paraId="3FB68D65" w14:textId="77777777" w:rsidR="00A34ABD" w:rsidRPr="00A34ABD" w:rsidRDefault="005A1D98" w:rsidP="00A34ABD">
      <w:pPr>
        <w:pStyle w:val="Heading3"/>
      </w:pPr>
      <w:bookmarkStart w:id="38" w:name="_Toc296814796"/>
      <w:bookmarkStart w:id="39" w:name="_Toc296932775"/>
      <w:r w:rsidRPr="00A34ABD">
        <w:t>Statistics</w:t>
      </w:r>
      <w:bookmarkEnd w:id="38"/>
      <w:bookmarkEnd w:id="39"/>
    </w:p>
    <w:p w14:paraId="6AC17CED" w14:textId="595B3E5F" w:rsidR="005A1D98" w:rsidRPr="00146570" w:rsidRDefault="005A1D98" w:rsidP="005A1D98">
      <w:pPr>
        <w:spacing w:line="480" w:lineRule="auto"/>
        <w:ind w:firstLine="720"/>
        <w:rPr>
          <w:rFonts w:cs="Times New Roman"/>
        </w:rPr>
      </w:pPr>
      <w:r w:rsidRPr="00943220">
        <w:rPr>
          <w:rFonts w:cs="Times New Roman"/>
        </w:rPr>
        <w:t xml:space="preserve">Statistical analyses were performed using SPSS (Version 22.0, IBM, Chicago, IL, USA). </w:t>
      </w:r>
      <w:r>
        <w:rPr>
          <w:rFonts w:cs="Times New Roman"/>
        </w:rPr>
        <w:t xml:space="preserve">AUC calculations were made using Prism 6 (GraphPad, CA, USA). </w:t>
      </w:r>
      <w:r w:rsidRPr="00943220">
        <w:rPr>
          <w:rFonts w:cs="Times New Roman"/>
        </w:rPr>
        <w:t>Statistical significance was set at p &lt; 0.05 and tested with Pearson correlations and separate one-way repeated measures analysis</w:t>
      </w:r>
      <w:r>
        <w:rPr>
          <w:rFonts w:cs="Times New Roman"/>
        </w:rPr>
        <w:t xml:space="preserve"> of variance (ANOVA)</w:t>
      </w:r>
      <w:r w:rsidRPr="005F6933">
        <w:rPr>
          <w:rFonts w:cs="Times New Roman"/>
        </w:rPr>
        <w:t xml:space="preserve">. </w:t>
      </w:r>
      <w:r>
        <w:rPr>
          <w:rFonts w:cs="Times New Roman"/>
        </w:rPr>
        <w:t xml:space="preserve">Simple planned contrasts were used to further examine the effects from the omnibus ANOVAs where appropriate. Power calculations were made with G*Power (v 3.1.9.2, </w:t>
      </w:r>
      <w:r>
        <w:rPr>
          <w:rFonts w:eastAsia="Times New Roman" w:cs="Times New Roman"/>
        </w:rPr>
        <w:t>University of Düsseldorf, Germany</w:t>
      </w:r>
      <w:r>
        <w:rPr>
          <w:rFonts w:cs="Times New Roman"/>
        </w:rPr>
        <w:t xml:space="preserve">; alpha, 0.05; power, 0.8; two tailed comparison of means) for the purposes of post-hoc analysis. </w:t>
      </w:r>
      <w:r w:rsidRPr="005F6933">
        <w:rPr>
          <w:rFonts w:cs="Times New Roman"/>
        </w:rPr>
        <w:t>Values are expressed</w:t>
      </w:r>
      <w:r>
        <w:rPr>
          <w:rFonts w:cs="Times New Roman"/>
        </w:rPr>
        <w:t xml:space="preserve"> as means±SD.</w:t>
      </w:r>
    </w:p>
    <w:p w14:paraId="3B3C7AE8" w14:textId="77777777" w:rsidR="00EB2F11" w:rsidRDefault="00EB2F11" w:rsidP="00875699">
      <w:pPr>
        <w:pStyle w:val="Heading1"/>
      </w:pPr>
      <w:bookmarkStart w:id="40" w:name="_Toc296814797"/>
    </w:p>
    <w:p w14:paraId="794CBFAB" w14:textId="2999D156" w:rsidR="00652245" w:rsidRDefault="00785141" w:rsidP="00875699">
      <w:pPr>
        <w:pStyle w:val="Heading1"/>
      </w:pPr>
      <w:r>
        <w:br w:type="column"/>
      </w:r>
      <w:bookmarkStart w:id="41" w:name="_Toc296932776"/>
      <w:r w:rsidR="00652245">
        <w:lastRenderedPageBreak/>
        <w:t>RESULTS</w:t>
      </w:r>
      <w:bookmarkEnd w:id="40"/>
      <w:bookmarkEnd w:id="41"/>
    </w:p>
    <w:p w14:paraId="12A33070" w14:textId="77777777" w:rsidR="002E042C" w:rsidRPr="002E042C" w:rsidRDefault="00652245" w:rsidP="002E042C">
      <w:pPr>
        <w:pStyle w:val="Heading3"/>
      </w:pPr>
      <w:bookmarkStart w:id="42" w:name="_Toc296814798"/>
      <w:bookmarkStart w:id="43" w:name="_Toc296932777"/>
      <w:r w:rsidRPr="002E042C">
        <w:t>Daily steps</w:t>
      </w:r>
      <w:bookmarkEnd w:id="42"/>
      <w:bookmarkEnd w:id="43"/>
    </w:p>
    <w:p w14:paraId="193ACEF1" w14:textId="04AE44B4" w:rsidR="00652245" w:rsidRDefault="00652245" w:rsidP="003274B7">
      <w:pPr>
        <w:spacing w:line="480" w:lineRule="auto"/>
        <w:ind w:firstLine="720"/>
      </w:pPr>
      <w:r>
        <w:t xml:space="preserve">From BL to SR there was a </w:t>
      </w:r>
      <w:r w:rsidR="00EB2F11">
        <w:t xml:space="preserve">drop of </w:t>
      </w:r>
      <w:r>
        <w:t xml:space="preserve">86 ± 9% in daily step count </w:t>
      </w:r>
      <w:r w:rsidR="00D576C1">
        <w:t xml:space="preserve">estimated using the pedometer located on the hip </w:t>
      </w:r>
      <w:r>
        <w:t xml:space="preserve">(8568 ± 3741 to 973 ± 76 steps per day; p &lt; 0.001; Figure 5). The estimation of daily steps as measured by </w:t>
      </w:r>
      <w:r w:rsidR="00EB2F11">
        <w:t xml:space="preserve">the SenseWear </w:t>
      </w:r>
      <w:r>
        <w:t xml:space="preserve">armband accelerometer showed </w:t>
      </w:r>
      <w:r w:rsidR="00EB2F11">
        <w:t xml:space="preserve">daily steps </w:t>
      </w:r>
      <w:proofErr w:type="gramStart"/>
      <w:r w:rsidR="00EB2F11">
        <w:t>were</w:t>
      </w:r>
      <w:proofErr w:type="gramEnd"/>
      <w:r>
        <w:t xml:space="preserve"> reduced by 81 ± 13% with SR (p = 0.002). </w:t>
      </w:r>
      <w:r w:rsidR="00851811">
        <w:t xml:space="preserve">PA </w:t>
      </w:r>
      <w:r>
        <w:t xml:space="preserve">level also changed in concert with step-count, with the number of active minutes per day (at or above three METs) </w:t>
      </w:r>
      <w:r w:rsidR="00EB2F11">
        <w:t xml:space="preserve">being </w:t>
      </w:r>
      <w:r>
        <w:t xml:space="preserve">reduced by </w:t>
      </w:r>
      <w:proofErr w:type="gramStart"/>
      <w:r>
        <w:t>79 ±</w:t>
      </w:r>
      <w:proofErr w:type="gramEnd"/>
      <w:r>
        <w:t xml:space="preserve"> 17% (p = 0.02) and daily energy expenditure</w:t>
      </w:r>
      <w:r w:rsidR="00521CBD">
        <w:t xml:space="preserve"> (DEE)</w:t>
      </w:r>
      <w:r>
        <w:t xml:space="preserve"> reduced by 20 ± 11% (p = 0.01). All measures of </w:t>
      </w:r>
      <w:r w:rsidR="00851834">
        <w:t>PA</w:t>
      </w:r>
      <w:r>
        <w:t xml:space="preserve"> were significantly greater at RC than SR (p &lt; 0.05) with no difference between BL and RC (p &gt; 0.05; Table 3).</w:t>
      </w:r>
      <w:r w:rsidR="00785141">
        <w:br/>
      </w:r>
      <w:r w:rsidR="00785141">
        <w:br/>
      </w:r>
      <w:r>
        <w:rPr>
          <w:noProof/>
          <w:lang w:val="en-US" w:eastAsia="en-US"/>
        </w:rPr>
        <w:drawing>
          <wp:inline distT="0" distB="0" distL="0" distR="0" wp14:anchorId="76E663B8" wp14:editId="6BC9E7C3">
            <wp:extent cx="4797425" cy="266987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 Steps Pedom.pdf"/>
                    <pic:cNvPicPr/>
                  </pic:nvPicPr>
                  <pic:blipFill>
                    <a:blip r:embed="rId18">
                      <a:extLst>
                        <a:ext uri="{28A0092B-C50C-407E-A947-70E740481C1C}">
                          <a14:useLocalDpi xmlns:a14="http://schemas.microsoft.com/office/drawing/2010/main" val="0"/>
                        </a:ext>
                      </a:extLst>
                    </a:blip>
                    <a:stretch>
                      <a:fillRect/>
                    </a:stretch>
                  </pic:blipFill>
                  <pic:spPr bwMode="auto">
                    <a:xfrm>
                      <a:off x="0" y="0"/>
                      <a:ext cx="4798291" cy="2670352"/>
                    </a:xfrm>
                    <a:prstGeom prst="rect">
                      <a:avLst/>
                    </a:prstGeom>
                    <a:ln>
                      <a:noFill/>
                    </a:ln>
                    <a:extLst>
                      <a:ext uri="{53640926-AAD7-44d8-BBD7-CCE9431645EC}">
                        <a14:shadowObscured xmlns:a14="http://schemas.microsoft.com/office/drawing/2010/main"/>
                      </a:ext>
                    </a:extLst>
                  </pic:spPr>
                </pic:pic>
              </a:graphicData>
            </a:graphic>
          </wp:inline>
        </w:drawing>
      </w:r>
    </w:p>
    <w:p w14:paraId="0021B4BE" w14:textId="448D5701" w:rsidR="00652245" w:rsidRPr="00742102" w:rsidRDefault="00652245" w:rsidP="00652245">
      <w:pPr>
        <w:pStyle w:val="Caption"/>
        <w:rPr>
          <w:b w:val="0"/>
          <w:color w:val="auto"/>
          <w:sz w:val="24"/>
          <w:szCs w:val="24"/>
        </w:rPr>
      </w:pPr>
      <w:r>
        <w:rPr>
          <w:color w:val="auto"/>
          <w:sz w:val="24"/>
          <w:szCs w:val="24"/>
        </w:rPr>
        <w:t>Figure 5</w:t>
      </w:r>
      <w:r w:rsidRPr="00742102">
        <w:rPr>
          <w:color w:val="auto"/>
          <w:sz w:val="24"/>
          <w:szCs w:val="24"/>
        </w:rPr>
        <w:t>.</w:t>
      </w:r>
      <w:r w:rsidRPr="00742102">
        <w:rPr>
          <w:b w:val="0"/>
          <w:color w:val="auto"/>
          <w:sz w:val="24"/>
          <w:szCs w:val="24"/>
        </w:rPr>
        <w:t xml:space="preserve"> Individual participant’s daily step-count means during each study phase</w:t>
      </w:r>
      <w:r>
        <w:rPr>
          <w:b w:val="0"/>
          <w:color w:val="auto"/>
          <w:sz w:val="24"/>
          <w:szCs w:val="24"/>
        </w:rPr>
        <w:t xml:space="preserve"> as measured by pedometer</w:t>
      </w:r>
      <w:r w:rsidRPr="00742102">
        <w:rPr>
          <w:b w:val="0"/>
          <w:color w:val="auto"/>
          <w:sz w:val="24"/>
          <w:szCs w:val="24"/>
        </w:rPr>
        <w:t>. Participants are each denoted by a unique sy</w:t>
      </w:r>
      <w:r>
        <w:rPr>
          <w:b w:val="0"/>
          <w:color w:val="auto"/>
          <w:sz w:val="24"/>
          <w:szCs w:val="24"/>
        </w:rPr>
        <w:t>mbol.</w:t>
      </w:r>
      <w:r w:rsidRPr="00742102">
        <w:rPr>
          <w:b w:val="0"/>
          <w:color w:val="auto"/>
          <w:sz w:val="24"/>
          <w:szCs w:val="24"/>
        </w:rPr>
        <w:t xml:space="preserve"> </w:t>
      </w:r>
      <w:r w:rsidR="002535FC">
        <w:rPr>
          <w:b w:val="0"/>
          <w:color w:val="auto"/>
          <w:sz w:val="24"/>
          <w:szCs w:val="24"/>
        </w:rPr>
        <w:br/>
      </w:r>
      <w:r>
        <w:rPr>
          <w:b w:val="0"/>
          <w:color w:val="auto"/>
          <w:sz w:val="24"/>
          <w:szCs w:val="24"/>
        </w:rPr>
        <w:t>* Significantly different from BL, p &lt; 0.001</w:t>
      </w:r>
      <w:r w:rsidRPr="00742102">
        <w:rPr>
          <w:b w:val="0"/>
          <w:color w:val="auto"/>
          <w:sz w:val="24"/>
          <w:szCs w:val="24"/>
        </w:rPr>
        <w:t>.</w:t>
      </w:r>
      <w:r w:rsidR="000D21F0">
        <w:rPr>
          <w:b w:val="0"/>
          <w:color w:val="auto"/>
          <w:sz w:val="24"/>
          <w:szCs w:val="24"/>
        </w:rPr>
        <w:t xml:space="preserve"> </w:t>
      </w:r>
      <w:proofErr w:type="gramStart"/>
      <w:r w:rsidR="00851811">
        <w:rPr>
          <w:b w:val="0"/>
          <w:color w:val="auto"/>
          <w:sz w:val="24"/>
          <w:szCs w:val="24"/>
        </w:rPr>
        <w:t>n</w:t>
      </w:r>
      <w:proofErr w:type="gramEnd"/>
      <w:r w:rsidR="000D21F0" w:rsidRPr="000D21F0">
        <w:rPr>
          <w:b w:val="0"/>
          <w:color w:val="auto"/>
          <w:sz w:val="24"/>
          <w:szCs w:val="24"/>
        </w:rPr>
        <w:t>=10 (6 men and 4 women).</w:t>
      </w:r>
    </w:p>
    <w:p w14:paraId="281F918D" w14:textId="204028E9" w:rsidR="00652245" w:rsidRPr="00A52C3C" w:rsidRDefault="00785141" w:rsidP="00652245">
      <w:r>
        <w:rPr>
          <w:b/>
        </w:rPr>
        <w:br w:type="column"/>
      </w:r>
      <w:r w:rsidR="00652245">
        <w:rPr>
          <w:b/>
        </w:rPr>
        <w:lastRenderedPageBreak/>
        <w:t>Table 3</w:t>
      </w:r>
      <w:r w:rsidR="00652245" w:rsidRPr="00A52C3C">
        <w:rPr>
          <w:b/>
        </w:rPr>
        <w:t xml:space="preserve">. </w:t>
      </w:r>
      <w:r w:rsidR="00652245" w:rsidRPr="00A52C3C">
        <w:t>Summary of participant characteristics</w:t>
      </w:r>
    </w:p>
    <w:tbl>
      <w:tblPr>
        <w:tblW w:w="7797" w:type="dxa"/>
        <w:tblInd w:w="108" w:type="dxa"/>
        <w:tblLook w:val="04A0" w:firstRow="1" w:lastRow="0" w:firstColumn="1" w:lastColumn="0" w:noHBand="0" w:noVBand="1"/>
      </w:tblPr>
      <w:tblGrid>
        <w:gridCol w:w="3119"/>
        <w:gridCol w:w="1559"/>
        <w:gridCol w:w="1559"/>
        <w:gridCol w:w="1560"/>
      </w:tblGrid>
      <w:tr w:rsidR="008D0825" w:rsidRPr="003B4F49" w14:paraId="568C4ADE" w14:textId="77777777" w:rsidTr="008D0825">
        <w:trPr>
          <w:trHeight w:val="416"/>
        </w:trPr>
        <w:tc>
          <w:tcPr>
            <w:tcW w:w="3119" w:type="dxa"/>
            <w:tcBorders>
              <w:top w:val="single" w:sz="8" w:space="0" w:color="auto"/>
              <w:bottom w:val="single" w:sz="18" w:space="0" w:color="auto"/>
            </w:tcBorders>
            <w:vAlign w:val="center"/>
          </w:tcPr>
          <w:p w14:paraId="5E1F8E5C" w14:textId="77777777" w:rsidR="00652245" w:rsidRPr="003B4F49" w:rsidRDefault="00652245" w:rsidP="00652245"/>
        </w:tc>
        <w:tc>
          <w:tcPr>
            <w:tcW w:w="1559" w:type="dxa"/>
            <w:tcBorders>
              <w:top w:val="single" w:sz="8" w:space="0" w:color="auto"/>
              <w:bottom w:val="single" w:sz="18" w:space="0" w:color="auto"/>
            </w:tcBorders>
            <w:vAlign w:val="center"/>
          </w:tcPr>
          <w:p w14:paraId="7BA55A3A" w14:textId="77777777" w:rsidR="00652245" w:rsidRPr="003B4F49" w:rsidRDefault="00652245" w:rsidP="00652245">
            <w:pPr>
              <w:jc w:val="center"/>
            </w:pPr>
            <w:r>
              <w:t>BL</w:t>
            </w:r>
          </w:p>
        </w:tc>
        <w:tc>
          <w:tcPr>
            <w:tcW w:w="1559" w:type="dxa"/>
            <w:tcBorders>
              <w:top w:val="single" w:sz="8" w:space="0" w:color="auto"/>
              <w:bottom w:val="single" w:sz="18" w:space="0" w:color="auto"/>
            </w:tcBorders>
            <w:vAlign w:val="center"/>
          </w:tcPr>
          <w:p w14:paraId="1183581D" w14:textId="77777777" w:rsidR="00652245" w:rsidRPr="003B4F49" w:rsidRDefault="00652245" w:rsidP="00652245">
            <w:pPr>
              <w:jc w:val="center"/>
            </w:pPr>
            <w:r>
              <w:t>SR</w:t>
            </w:r>
          </w:p>
        </w:tc>
        <w:tc>
          <w:tcPr>
            <w:tcW w:w="1560" w:type="dxa"/>
            <w:tcBorders>
              <w:top w:val="single" w:sz="8" w:space="0" w:color="auto"/>
              <w:bottom w:val="single" w:sz="18" w:space="0" w:color="auto"/>
            </w:tcBorders>
            <w:vAlign w:val="center"/>
          </w:tcPr>
          <w:p w14:paraId="76D7F985" w14:textId="77777777" w:rsidR="00652245" w:rsidRPr="003B4F49" w:rsidRDefault="00652245" w:rsidP="00652245">
            <w:pPr>
              <w:jc w:val="center"/>
            </w:pPr>
            <w:r>
              <w:t>RC</w:t>
            </w:r>
          </w:p>
        </w:tc>
      </w:tr>
      <w:tr w:rsidR="00652245" w14:paraId="439F634E" w14:textId="77777777" w:rsidTr="008D0825">
        <w:tc>
          <w:tcPr>
            <w:tcW w:w="3119" w:type="dxa"/>
            <w:vAlign w:val="center"/>
          </w:tcPr>
          <w:p w14:paraId="71FFE948" w14:textId="77777777" w:rsidR="00652245" w:rsidRDefault="00652245" w:rsidP="00652245">
            <w:pPr>
              <w:spacing w:line="276" w:lineRule="auto"/>
            </w:pPr>
            <w:r>
              <w:t>Age (years)</w:t>
            </w:r>
          </w:p>
        </w:tc>
        <w:tc>
          <w:tcPr>
            <w:tcW w:w="4678" w:type="dxa"/>
            <w:gridSpan w:val="3"/>
            <w:vAlign w:val="center"/>
          </w:tcPr>
          <w:p w14:paraId="01A575A8" w14:textId="77777777" w:rsidR="00652245" w:rsidRDefault="00652245" w:rsidP="00652245">
            <w:pPr>
              <w:spacing w:line="276" w:lineRule="auto"/>
              <w:jc w:val="center"/>
            </w:pPr>
            <w:r>
              <w:t>69 ± 3</w:t>
            </w:r>
          </w:p>
        </w:tc>
      </w:tr>
      <w:tr w:rsidR="00652245" w14:paraId="737D0437" w14:textId="77777777" w:rsidTr="008D0825">
        <w:tc>
          <w:tcPr>
            <w:tcW w:w="3119" w:type="dxa"/>
            <w:vAlign w:val="center"/>
          </w:tcPr>
          <w:p w14:paraId="54B186CB" w14:textId="77777777" w:rsidR="00652245" w:rsidRDefault="00652245" w:rsidP="00652245">
            <w:pPr>
              <w:spacing w:line="276" w:lineRule="auto"/>
            </w:pPr>
            <w:r>
              <w:t>Height (m)</w:t>
            </w:r>
          </w:p>
        </w:tc>
        <w:tc>
          <w:tcPr>
            <w:tcW w:w="4678" w:type="dxa"/>
            <w:gridSpan w:val="3"/>
            <w:vAlign w:val="center"/>
          </w:tcPr>
          <w:p w14:paraId="398D0EC9" w14:textId="7FDCA262" w:rsidR="00652245" w:rsidRDefault="00652245" w:rsidP="00652245">
            <w:pPr>
              <w:spacing w:line="276" w:lineRule="auto"/>
              <w:jc w:val="center"/>
            </w:pPr>
            <w:r w:rsidRPr="003274B7">
              <w:t>1.</w:t>
            </w:r>
            <w:r w:rsidR="00851811" w:rsidRPr="003274B7">
              <w:t>67</w:t>
            </w:r>
            <w:r w:rsidRPr="00851811">
              <w:t xml:space="preserve"> ± 0.</w:t>
            </w:r>
            <w:r w:rsidR="00851811" w:rsidRPr="003274B7">
              <w:t>08</w:t>
            </w:r>
            <w:r w:rsidR="00EB2F11" w:rsidRPr="00851811">
              <w:t>x</w:t>
            </w:r>
          </w:p>
        </w:tc>
      </w:tr>
      <w:tr w:rsidR="008D0825" w14:paraId="6BDB29F6" w14:textId="77777777" w:rsidTr="008D0825">
        <w:tc>
          <w:tcPr>
            <w:tcW w:w="3119" w:type="dxa"/>
            <w:vAlign w:val="center"/>
          </w:tcPr>
          <w:p w14:paraId="1E17B1F6" w14:textId="77777777" w:rsidR="00652245" w:rsidRDefault="00652245" w:rsidP="00652245">
            <w:pPr>
              <w:spacing w:line="276" w:lineRule="auto"/>
            </w:pPr>
            <w:r>
              <w:t>Body mass (kg)</w:t>
            </w:r>
          </w:p>
        </w:tc>
        <w:tc>
          <w:tcPr>
            <w:tcW w:w="1559" w:type="dxa"/>
            <w:vAlign w:val="center"/>
          </w:tcPr>
          <w:p w14:paraId="0E12E723" w14:textId="77777777" w:rsidR="00652245" w:rsidRDefault="00652245" w:rsidP="00652245">
            <w:pPr>
              <w:spacing w:line="276" w:lineRule="auto"/>
              <w:jc w:val="center"/>
            </w:pPr>
            <w:r>
              <w:t>75.8 ± 13.3</w:t>
            </w:r>
          </w:p>
        </w:tc>
        <w:tc>
          <w:tcPr>
            <w:tcW w:w="1559" w:type="dxa"/>
            <w:vAlign w:val="center"/>
          </w:tcPr>
          <w:p w14:paraId="0639E91C" w14:textId="77777777" w:rsidR="00652245" w:rsidRDefault="00652245" w:rsidP="00652245">
            <w:pPr>
              <w:spacing w:line="276" w:lineRule="auto"/>
              <w:jc w:val="center"/>
            </w:pPr>
            <w:r>
              <w:t>75.8 ± 13.6</w:t>
            </w:r>
          </w:p>
        </w:tc>
        <w:tc>
          <w:tcPr>
            <w:tcW w:w="1560" w:type="dxa"/>
            <w:vAlign w:val="center"/>
          </w:tcPr>
          <w:p w14:paraId="76B07DE8" w14:textId="77777777" w:rsidR="00652245" w:rsidRDefault="00652245" w:rsidP="00652245">
            <w:pPr>
              <w:spacing w:line="276" w:lineRule="auto"/>
              <w:jc w:val="center"/>
            </w:pPr>
            <w:r>
              <w:t>75.8 ± 13.6</w:t>
            </w:r>
          </w:p>
        </w:tc>
      </w:tr>
      <w:tr w:rsidR="008D0825" w14:paraId="4B7FE824" w14:textId="77777777" w:rsidTr="008D0825">
        <w:tc>
          <w:tcPr>
            <w:tcW w:w="3119" w:type="dxa"/>
            <w:vAlign w:val="center"/>
          </w:tcPr>
          <w:p w14:paraId="51E5A5CC" w14:textId="77777777" w:rsidR="00652245" w:rsidRPr="004945D3" w:rsidRDefault="00652245" w:rsidP="00652245">
            <w:pPr>
              <w:spacing w:line="276" w:lineRule="auto"/>
            </w:pPr>
            <w:r>
              <w:t xml:space="preserve">BMI (kg </w:t>
            </w:r>
            <w:r>
              <w:sym w:font="Symbol" w:char="F0B7"/>
            </w:r>
            <w:r>
              <w:t xml:space="preserve"> </w:t>
            </w:r>
            <w:r w:rsidRPr="00320B58">
              <w:t>m</w:t>
            </w:r>
            <w:r w:rsidRPr="00320B58">
              <w:rPr>
                <w:vertAlign w:val="superscript"/>
              </w:rPr>
              <w:t>-2</w:t>
            </w:r>
            <w:r>
              <w:t>)</w:t>
            </w:r>
          </w:p>
        </w:tc>
        <w:tc>
          <w:tcPr>
            <w:tcW w:w="1559" w:type="dxa"/>
            <w:vAlign w:val="center"/>
          </w:tcPr>
          <w:p w14:paraId="72165E72" w14:textId="77777777" w:rsidR="00652245" w:rsidRDefault="00652245" w:rsidP="00652245">
            <w:pPr>
              <w:spacing w:line="276" w:lineRule="auto"/>
              <w:jc w:val="center"/>
            </w:pPr>
            <w:r>
              <w:t>27.2 ± 4.7</w:t>
            </w:r>
          </w:p>
        </w:tc>
        <w:tc>
          <w:tcPr>
            <w:tcW w:w="1559" w:type="dxa"/>
            <w:vAlign w:val="center"/>
          </w:tcPr>
          <w:p w14:paraId="5F32255C" w14:textId="77777777" w:rsidR="00652245" w:rsidRDefault="00652245" w:rsidP="00652245">
            <w:pPr>
              <w:spacing w:line="276" w:lineRule="auto"/>
              <w:jc w:val="center"/>
            </w:pPr>
            <w:r>
              <w:t>27.4 ± 4.7</w:t>
            </w:r>
          </w:p>
        </w:tc>
        <w:tc>
          <w:tcPr>
            <w:tcW w:w="1560" w:type="dxa"/>
            <w:vAlign w:val="center"/>
          </w:tcPr>
          <w:p w14:paraId="21D034A2" w14:textId="77777777" w:rsidR="00652245" w:rsidRDefault="00652245" w:rsidP="00652245">
            <w:pPr>
              <w:spacing w:line="276" w:lineRule="auto"/>
              <w:jc w:val="center"/>
            </w:pPr>
            <w:r>
              <w:t>27.4 ± 4.7</w:t>
            </w:r>
          </w:p>
        </w:tc>
      </w:tr>
      <w:tr w:rsidR="008D0825" w14:paraId="27719563" w14:textId="77777777" w:rsidTr="008D0825">
        <w:tc>
          <w:tcPr>
            <w:tcW w:w="3119" w:type="dxa"/>
            <w:vAlign w:val="center"/>
          </w:tcPr>
          <w:p w14:paraId="04F99D40" w14:textId="77777777" w:rsidR="00652245" w:rsidRDefault="00652245" w:rsidP="00652245">
            <w:pPr>
              <w:spacing w:line="276" w:lineRule="auto"/>
            </w:pPr>
            <w:r>
              <w:t xml:space="preserve">Pedometer Steps (steps </w:t>
            </w:r>
            <w:r>
              <w:sym w:font="Symbol" w:char="F0B7"/>
            </w:r>
            <w:r>
              <w:t xml:space="preserve"> d</w:t>
            </w:r>
            <w:r>
              <w:rPr>
                <w:vertAlign w:val="superscript"/>
              </w:rPr>
              <w:t>-1</w:t>
            </w:r>
            <w:r>
              <w:t>)</w:t>
            </w:r>
          </w:p>
        </w:tc>
        <w:tc>
          <w:tcPr>
            <w:tcW w:w="1559" w:type="dxa"/>
            <w:vAlign w:val="center"/>
          </w:tcPr>
          <w:p w14:paraId="77125080" w14:textId="77777777" w:rsidR="00652245" w:rsidRDefault="00652245" w:rsidP="00652245">
            <w:pPr>
              <w:spacing w:line="276" w:lineRule="auto"/>
              <w:jc w:val="center"/>
            </w:pPr>
            <w:r>
              <w:t>8568 ± 3741</w:t>
            </w:r>
          </w:p>
        </w:tc>
        <w:tc>
          <w:tcPr>
            <w:tcW w:w="1559" w:type="dxa"/>
            <w:vAlign w:val="center"/>
          </w:tcPr>
          <w:p w14:paraId="14A73DCE" w14:textId="77777777" w:rsidR="00652245" w:rsidRDefault="00652245" w:rsidP="00652245">
            <w:pPr>
              <w:spacing w:line="276" w:lineRule="auto"/>
              <w:jc w:val="center"/>
            </w:pPr>
            <w:r>
              <w:t>973 ± 76*</w:t>
            </w:r>
          </w:p>
        </w:tc>
        <w:tc>
          <w:tcPr>
            <w:tcW w:w="1560" w:type="dxa"/>
            <w:vAlign w:val="center"/>
          </w:tcPr>
          <w:p w14:paraId="6EFAD2B0" w14:textId="77777777" w:rsidR="00652245" w:rsidRDefault="00652245" w:rsidP="00652245">
            <w:pPr>
              <w:spacing w:line="276" w:lineRule="auto"/>
              <w:jc w:val="center"/>
            </w:pPr>
            <w:r>
              <w:t>8383 ± 4513</w:t>
            </w:r>
          </w:p>
        </w:tc>
      </w:tr>
      <w:tr w:rsidR="008D0825" w14:paraId="599C31FC" w14:textId="77777777" w:rsidTr="008D0825">
        <w:tc>
          <w:tcPr>
            <w:tcW w:w="3119" w:type="dxa"/>
            <w:vAlign w:val="center"/>
          </w:tcPr>
          <w:p w14:paraId="4B7CBCB9" w14:textId="77777777" w:rsidR="00652245" w:rsidRDefault="00652245" w:rsidP="00652245">
            <w:pPr>
              <w:spacing w:line="276" w:lineRule="auto"/>
            </w:pPr>
            <w:r>
              <w:t xml:space="preserve">Armband Steps (steps </w:t>
            </w:r>
            <w:r>
              <w:sym w:font="Symbol" w:char="F0B7"/>
            </w:r>
            <w:r>
              <w:t xml:space="preserve"> d</w:t>
            </w:r>
            <w:r>
              <w:rPr>
                <w:vertAlign w:val="superscript"/>
              </w:rPr>
              <w:t>-1</w:t>
            </w:r>
            <w:r>
              <w:t>)</w:t>
            </w:r>
          </w:p>
        </w:tc>
        <w:tc>
          <w:tcPr>
            <w:tcW w:w="1559" w:type="dxa"/>
            <w:vAlign w:val="center"/>
          </w:tcPr>
          <w:p w14:paraId="0B60E32C" w14:textId="77777777" w:rsidR="00652245" w:rsidRDefault="00652245" w:rsidP="00652245">
            <w:pPr>
              <w:spacing w:line="276" w:lineRule="auto"/>
              <w:jc w:val="center"/>
            </w:pPr>
            <w:r>
              <w:t>7860 ± 4054</w:t>
            </w:r>
          </w:p>
        </w:tc>
        <w:tc>
          <w:tcPr>
            <w:tcW w:w="1559" w:type="dxa"/>
            <w:vAlign w:val="center"/>
          </w:tcPr>
          <w:p w14:paraId="1EF7B9EC" w14:textId="77777777" w:rsidR="00652245" w:rsidRDefault="00652245" w:rsidP="00652245">
            <w:pPr>
              <w:spacing w:line="276" w:lineRule="auto"/>
              <w:jc w:val="center"/>
            </w:pPr>
            <w:r>
              <w:t>1188 ± 608*</w:t>
            </w:r>
          </w:p>
        </w:tc>
        <w:tc>
          <w:tcPr>
            <w:tcW w:w="1560" w:type="dxa"/>
            <w:vAlign w:val="center"/>
          </w:tcPr>
          <w:p w14:paraId="20A44949" w14:textId="77777777" w:rsidR="00652245" w:rsidRDefault="00652245" w:rsidP="00652245">
            <w:pPr>
              <w:spacing w:line="276" w:lineRule="auto"/>
              <w:jc w:val="center"/>
            </w:pPr>
            <w:r>
              <w:t>6918 ± 4562</w:t>
            </w:r>
          </w:p>
        </w:tc>
      </w:tr>
      <w:tr w:rsidR="008D0825" w14:paraId="0D4A89DB" w14:textId="77777777" w:rsidTr="008D0825">
        <w:tc>
          <w:tcPr>
            <w:tcW w:w="3119" w:type="dxa"/>
            <w:vAlign w:val="center"/>
          </w:tcPr>
          <w:p w14:paraId="583680CA" w14:textId="393BDCD1" w:rsidR="00652245" w:rsidRDefault="00521CBD" w:rsidP="008D0825">
            <w:pPr>
              <w:spacing w:line="276" w:lineRule="auto"/>
            </w:pPr>
            <w:r>
              <w:t>DEE</w:t>
            </w:r>
            <w:r w:rsidR="00652245">
              <w:t xml:space="preserve"> (kcal </w:t>
            </w:r>
            <w:r w:rsidR="00652245">
              <w:sym w:font="Symbol" w:char="F0B7"/>
            </w:r>
            <w:r w:rsidR="00652245">
              <w:t xml:space="preserve"> d</w:t>
            </w:r>
            <w:r w:rsidR="00652245">
              <w:rPr>
                <w:vertAlign w:val="superscript"/>
              </w:rPr>
              <w:t>-1</w:t>
            </w:r>
            <w:r w:rsidR="00652245">
              <w:t>)</w:t>
            </w:r>
          </w:p>
        </w:tc>
        <w:tc>
          <w:tcPr>
            <w:tcW w:w="1559" w:type="dxa"/>
            <w:vAlign w:val="center"/>
          </w:tcPr>
          <w:p w14:paraId="3DF7A2F8" w14:textId="77777777" w:rsidR="00652245" w:rsidRDefault="00652245" w:rsidP="00652245">
            <w:pPr>
              <w:spacing w:line="276" w:lineRule="auto"/>
              <w:jc w:val="center"/>
            </w:pPr>
            <w:r>
              <w:t>2455 ± 693</w:t>
            </w:r>
          </w:p>
        </w:tc>
        <w:tc>
          <w:tcPr>
            <w:tcW w:w="1559" w:type="dxa"/>
            <w:vAlign w:val="center"/>
          </w:tcPr>
          <w:p w14:paraId="6033D8E9" w14:textId="77777777" w:rsidR="00652245" w:rsidRDefault="00652245" w:rsidP="00652245">
            <w:pPr>
              <w:spacing w:line="276" w:lineRule="auto"/>
              <w:jc w:val="center"/>
            </w:pPr>
            <w:r>
              <w:t>1908 ± 298*</w:t>
            </w:r>
          </w:p>
        </w:tc>
        <w:tc>
          <w:tcPr>
            <w:tcW w:w="1560" w:type="dxa"/>
            <w:vAlign w:val="center"/>
          </w:tcPr>
          <w:p w14:paraId="40155429" w14:textId="77777777" w:rsidR="00652245" w:rsidRDefault="00652245" w:rsidP="00652245">
            <w:pPr>
              <w:spacing w:line="276" w:lineRule="auto"/>
              <w:jc w:val="center"/>
            </w:pPr>
            <w:r>
              <w:t>2256 ± 484</w:t>
            </w:r>
          </w:p>
        </w:tc>
      </w:tr>
      <w:tr w:rsidR="008D0825" w14:paraId="5913E12A" w14:textId="77777777" w:rsidTr="008D0825">
        <w:tc>
          <w:tcPr>
            <w:tcW w:w="3119" w:type="dxa"/>
            <w:tcBorders>
              <w:bottom w:val="single" w:sz="18" w:space="0" w:color="auto"/>
            </w:tcBorders>
            <w:vAlign w:val="center"/>
          </w:tcPr>
          <w:p w14:paraId="7F974BAE" w14:textId="1EDDACD3" w:rsidR="00652245" w:rsidRDefault="00652245" w:rsidP="008D0825">
            <w:pPr>
              <w:spacing w:line="276" w:lineRule="auto"/>
            </w:pPr>
            <w:r>
              <w:t xml:space="preserve">PA &gt; 3MET (min </w:t>
            </w:r>
            <w:r>
              <w:sym w:font="Symbol" w:char="F0B7"/>
            </w:r>
            <w:r>
              <w:t xml:space="preserve"> d</w:t>
            </w:r>
            <w:r>
              <w:rPr>
                <w:vertAlign w:val="superscript"/>
              </w:rPr>
              <w:t>-1</w:t>
            </w:r>
            <w:r>
              <w:t>)</w:t>
            </w:r>
          </w:p>
        </w:tc>
        <w:tc>
          <w:tcPr>
            <w:tcW w:w="1559" w:type="dxa"/>
            <w:tcBorders>
              <w:bottom w:val="single" w:sz="18" w:space="0" w:color="auto"/>
            </w:tcBorders>
            <w:vAlign w:val="center"/>
          </w:tcPr>
          <w:p w14:paraId="6A3F4A18" w14:textId="77777777" w:rsidR="00652245" w:rsidRDefault="00652245" w:rsidP="00652245">
            <w:pPr>
              <w:spacing w:line="276" w:lineRule="auto"/>
              <w:jc w:val="center"/>
            </w:pPr>
            <w:r>
              <w:t>121 ± 105</w:t>
            </w:r>
          </w:p>
        </w:tc>
        <w:tc>
          <w:tcPr>
            <w:tcW w:w="1559" w:type="dxa"/>
            <w:tcBorders>
              <w:bottom w:val="single" w:sz="18" w:space="0" w:color="auto"/>
            </w:tcBorders>
            <w:vAlign w:val="center"/>
          </w:tcPr>
          <w:p w14:paraId="190A6C8A" w14:textId="77777777" w:rsidR="00652245" w:rsidRDefault="00652245" w:rsidP="00652245">
            <w:pPr>
              <w:spacing w:line="276" w:lineRule="auto"/>
              <w:jc w:val="center"/>
            </w:pPr>
            <w:r>
              <w:t>22 ± 21*</w:t>
            </w:r>
          </w:p>
        </w:tc>
        <w:tc>
          <w:tcPr>
            <w:tcW w:w="1560" w:type="dxa"/>
            <w:tcBorders>
              <w:bottom w:val="single" w:sz="18" w:space="0" w:color="auto"/>
            </w:tcBorders>
            <w:vAlign w:val="center"/>
          </w:tcPr>
          <w:p w14:paraId="3FF29A3D" w14:textId="77777777" w:rsidR="00652245" w:rsidRDefault="00652245" w:rsidP="00652245">
            <w:pPr>
              <w:keepNext/>
              <w:spacing w:line="276" w:lineRule="auto"/>
              <w:jc w:val="center"/>
            </w:pPr>
            <w:r>
              <w:t>97 ± 89</w:t>
            </w:r>
          </w:p>
        </w:tc>
      </w:tr>
    </w:tbl>
    <w:p w14:paraId="6AB1DB47" w14:textId="41A6FC1C" w:rsidR="00652245" w:rsidRPr="00785141" w:rsidRDefault="00652245" w:rsidP="00652245">
      <w:pPr>
        <w:pStyle w:val="Caption"/>
        <w:rPr>
          <w:b w:val="0"/>
          <w:color w:val="auto"/>
          <w:sz w:val="20"/>
          <w:szCs w:val="20"/>
        </w:rPr>
      </w:pPr>
      <w:r w:rsidRPr="00785141">
        <w:rPr>
          <w:b w:val="0"/>
          <w:color w:val="auto"/>
          <w:sz w:val="20"/>
          <w:szCs w:val="20"/>
        </w:rPr>
        <w:t xml:space="preserve">* </w:t>
      </w:r>
      <w:proofErr w:type="gramStart"/>
      <w:r w:rsidRPr="00785141">
        <w:rPr>
          <w:b w:val="0"/>
          <w:color w:val="auto"/>
          <w:sz w:val="20"/>
          <w:szCs w:val="20"/>
        </w:rPr>
        <w:t>significantly</w:t>
      </w:r>
      <w:proofErr w:type="gramEnd"/>
      <w:r w:rsidRPr="00785141">
        <w:rPr>
          <w:b w:val="0"/>
          <w:color w:val="auto"/>
          <w:sz w:val="20"/>
          <w:szCs w:val="20"/>
        </w:rPr>
        <w:t xml:space="preserve"> different from baseline, p &lt; 0.018; BMI, body mass index; PA, physical activity; MET, metabolic equivalent</w:t>
      </w:r>
      <w:r w:rsidR="00EB2F11" w:rsidRPr="00785141">
        <w:rPr>
          <w:b w:val="0"/>
          <w:color w:val="auto"/>
          <w:sz w:val="20"/>
          <w:szCs w:val="20"/>
        </w:rPr>
        <w:t xml:space="preserve">. </w:t>
      </w:r>
      <w:r w:rsidR="000D21F0" w:rsidRPr="00785141">
        <w:rPr>
          <w:b w:val="0"/>
          <w:color w:val="auto"/>
          <w:sz w:val="20"/>
          <w:szCs w:val="20"/>
        </w:rPr>
        <w:t>Values are means</w:t>
      </w:r>
      <w:r w:rsidR="000D21F0" w:rsidRPr="00785141">
        <w:rPr>
          <w:rFonts w:cs="Times New Roman"/>
          <w:b w:val="0"/>
          <w:color w:val="auto"/>
          <w:sz w:val="20"/>
          <w:szCs w:val="20"/>
        </w:rPr>
        <w:t>±</w:t>
      </w:r>
      <w:r w:rsidR="000D21F0" w:rsidRPr="00785141">
        <w:rPr>
          <w:b w:val="0"/>
          <w:color w:val="auto"/>
          <w:sz w:val="20"/>
          <w:szCs w:val="20"/>
        </w:rPr>
        <w:t>SD</w:t>
      </w:r>
      <w:proofErr w:type="gramStart"/>
      <w:r w:rsidR="000D21F0" w:rsidRPr="00785141">
        <w:rPr>
          <w:b w:val="0"/>
          <w:color w:val="auto"/>
          <w:sz w:val="20"/>
          <w:szCs w:val="20"/>
        </w:rPr>
        <w:t>;</w:t>
      </w:r>
      <w:proofErr w:type="gramEnd"/>
      <w:r w:rsidR="000D21F0" w:rsidRPr="00785141">
        <w:rPr>
          <w:b w:val="0"/>
          <w:color w:val="auto"/>
          <w:sz w:val="20"/>
          <w:szCs w:val="20"/>
        </w:rPr>
        <w:t xml:space="preserve"> </w:t>
      </w:r>
      <w:r w:rsidR="00851811" w:rsidRPr="003274B7">
        <w:rPr>
          <w:b w:val="0"/>
          <w:color w:val="auto"/>
          <w:sz w:val="20"/>
          <w:szCs w:val="20"/>
        </w:rPr>
        <w:t>n</w:t>
      </w:r>
      <w:r w:rsidR="00EB2F11" w:rsidRPr="00785141">
        <w:rPr>
          <w:b w:val="0"/>
          <w:color w:val="auto"/>
          <w:sz w:val="20"/>
          <w:szCs w:val="20"/>
        </w:rPr>
        <w:t>=10 (6 men and 4 women)</w:t>
      </w:r>
      <w:r w:rsidR="000D21F0" w:rsidRPr="00785141">
        <w:rPr>
          <w:b w:val="0"/>
          <w:color w:val="auto"/>
          <w:sz w:val="20"/>
          <w:szCs w:val="20"/>
        </w:rPr>
        <w:t>.</w:t>
      </w:r>
    </w:p>
    <w:p w14:paraId="2431C42C" w14:textId="77777777" w:rsidR="00EB2F11" w:rsidRDefault="00EB2F11" w:rsidP="002E042C">
      <w:pPr>
        <w:pStyle w:val="Heading3"/>
      </w:pPr>
      <w:bookmarkStart w:id="44" w:name="_Toc296814799"/>
    </w:p>
    <w:p w14:paraId="6828EE0F" w14:textId="77777777" w:rsidR="002E042C" w:rsidRPr="002E042C" w:rsidRDefault="002E042C" w:rsidP="002E042C">
      <w:pPr>
        <w:pStyle w:val="Heading3"/>
      </w:pPr>
      <w:bookmarkStart w:id="45" w:name="_Toc296932778"/>
      <w:r w:rsidRPr="002E042C">
        <w:t>Body composition</w:t>
      </w:r>
      <w:bookmarkEnd w:id="44"/>
      <w:bookmarkEnd w:id="45"/>
    </w:p>
    <w:p w14:paraId="6A0AE373" w14:textId="3E22917E" w:rsidR="00652245" w:rsidRDefault="00652245" w:rsidP="00652245">
      <w:pPr>
        <w:spacing w:line="480" w:lineRule="auto"/>
        <w:ind w:firstLine="720"/>
      </w:pPr>
      <w:r w:rsidRPr="005F1077">
        <w:t>There were no significant changes</w:t>
      </w:r>
      <w:r>
        <w:t xml:space="preserve"> in measures </w:t>
      </w:r>
      <w:r w:rsidR="00851811">
        <w:t xml:space="preserve">of </w:t>
      </w:r>
      <w:r>
        <w:t>body fat or LM</w:t>
      </w:r>
      <w:r w:rsidRPr="005F1077">
        <w:t xml:space="preserve"> from BL to SR to RC (Table 4). </w:t>
      </w:r>
      <w:r>
        <w:t xml:space="preserve">Total FM and leg FM both increased with SR and decreased with RC (NS). VAT increased by 3.1 ± 8.2% after SR </w:t>
      </w:r>
      <w:r w:rsidR="00851811">
        <w:t xml:space="preserve">(p = 0.454) </w:t>
      </w:r>
      <w:r>
        <w:t>and did not return to BL levels after RC. Leg LM was reduced by an average of ~73 g or 0.8 ± 0.2% (p = 0.139) and increased after RC</w:t>
      </w:r>
      <w:r w:rsidRPr="005F1077">
        <w:t xml:space="preserve"> (Figure 6</w:t>
      </w:r>
      <w:r>
        <w:t xml:space="preserve">). </w:t>
      </w:r>
    </w:p>
    <w:p w14:paraId="3EC4ABA3" w14:textId="77777777" w:rsidR="00652245" w:rsidRPr="00284DDE" w:rsidRDefault="00652245" w:rsidP="00652245">
      <w:pPr>
        <w:pStyle w:val="Caption"/>
        <w:keepNext/>
        <w:spacing w:after="0"/>
        <w:rPr>
          <w:b w:val="0"/>
          <w:color w:val="auto"/>
          <w:sz w:val="24"/>
          <w:szCs w:val="24"/>
        </w:rPr>
      </w:pPr>
      <w:r w:rsidRPr="00284DDE">
        <w:rPr>
          <w:color w:val="auto"/>
          <w:sz w:val="24"/>
          <w:szCs w:val="24"/>
        </w:rPr>
        <w:t xml:space="preserve">Table 4. </w:t>
      </w:r>
      <w:r w:rsidRPr="00284DDE">
        <w:rPr>
          <w:b w:val="0"/>
          <w:color w:val="auto"/>
          <w:sz w:val="24"/>
          <w:szCs w:val="24"/>
        </w:rPr>
        <w:t>Summary of body composition characteristics as measured by DXA</w:t>
      </w:r>
    </w:p>
    <w:tbl>
      <w:tblPr>
        <w:tblW w:w="7797" w:type="dxa"/>
        <w:tblInd w:w="108" w:type="dxa"/>
        <w:tblLook w:val="04A0" w:firstRow="1" w:lastRow="0" w:firstColumn="1" w:lastColumn="0" w:noHBand="0" w:noVBand="1"/>
      </w:tblPr>
      <w:tblGrid>
        <w:gridCol w:w="1843"/>
        <w:gridCol w:w="1984"/>
        <w:gridCol w:w="1985"/>
        <w:gridCol w:w="1985"/>
      </w:tblGrid>
      <w:tr w:rsidR="00652245" w:rsidRPr="003B4F49" w14:paraId="175A5E8C" w14:textId="77777777" w:rsidTr="00304343">
        <w:trPr>
          <w:trHeight w:val="416"/>
        </w:trPr>
        <w:tc>
          <w:tcPr>
            <w:tcW w:w="1843" w:type="dxa"/>
            <w:tcBorders>
              <w:top w:val="single" w:sz="8" w:space="0" w:color="auto"/>
              <w:bottom w:val="single" w:sz="18" w:space="0" w:color="auto"/>
            </w:tcBorders>
            <w:vAlign w:val="center"/>
          </w:tcPr>
          <w:p w14:paraId="19F96588" w14:textId="77777777" w:rsidR="00652245" w:rsidRPr="003B4F49" w:rsidRDefault="00652245" w:rsidP="00304343"/>
        </w:tc>
        <w:tc>
          <w:tcPr>
            <w:tcW w:w="1984" w:type="dxa"/>
            <w:tcBorders>
              <w:top w:val="single" w:sz="8" w:space="0" w:color="auto"/>
              <w:bottom w:val="single" w:sz="18" w:space="0" w:color="auto"/>
            </w:tcBorders>
            <w:vAlign w:val="center"/>
          </w:tcPr>
          <w:p w14:paraId="0FB8D9AB" w14:textId="77777777" w:rsidR="00652245" w:rsidRPr="003B4F49" w:rsidRDefault="00652245" w:rsidP="00304343">
            <w:pPr>
              <w:jc w:val="center"/>
            </w:pPr>
            <w:r>
              <w:t>BL</w:t>
            </w:r>
          </w:p>
        </w:tc>
        <w:tc>
          <w:tcPr>
            <w:tcW w:w="1985" w:type="dxa"/>
            <w:tcBorders>
              <w:top w:val="single" w:sz="8" w:space="0" w:color="auto"/>
              <w:bottom w:val="single" w:sz="18" w:space="0" w:color="auto"/>
            </w:tcBorders>
            <w:vAlign w:val="center"/>
          </w:tcPr>
          <w:p w14:paraId="41831EA2" w14:textId="77777777" w:rsidR="00652245" w:rsidRPr="003B4F49" w:rsidRDefault="00652245" w:rsidP="00304343">
            <w:pPr>
              <w:jc w:val="center"/>
            </w:pPr>
            <w:r>
              <w:t>SR</w:t>
            </w:r>
          </w:p>
        </w:tc>
        <w:tc>
          <w:tcPr>
            <w:tcW w:w="1985" w:type="dxa"/>
            <w:tcBorders>
              <w:top w:val="single" w:sz="8" w:space="0" w:color="auto"/>
              <w:bottom w:val="single" w:sz="18" w:space="0" w:color="auto"/>
            </w:tcBorders>
            <w:vAlign w:val="center"/>
          </w:tcPr>
          <w:p w14:paraId="5E3AF874" w14:textId="77777777" w:rsidR="00652245" w:rsidRPr="003B4F49" w:rsidRDefault="00652245" w:rsidP="00304343">
            <w:pPr>
              <w:jc w:val="center"/>
            </w:pPr>
            <w:r>
              <w:t>RC</w:t>
            </w:r>
          </w:p>
        </w:tc>
      </w:tr>
      <w:tr w:rsidR="00652245" w14:paraId="034E1E56" w14:textId="77777777" w:rsidTr="00304343">
        <w:tc>
          <w:tcPr>
            <w:tcW w:w="1843" w:type="dxa"/>
            <w:tcBorders>
              <w:top w:val="single" w:sz="18" w:space="0" w:color="auto"/>
            </w:tcBorders>
            <w:vAlign w:val="center"/>
          </w:tcPr>
          <w:p w14:paraId="00E9E3A0" w14:textId="77777777" w:rsidR="00652245" w:rsidRDefault="00652245" w:rsidP="00304343">
            <w:pPr>
              <w:spacing w:line="276" w:lineRule="auto"/>
            </w:pPr>
            <w:r>
              <w:t>Body Fat (%)</w:t>
            </w:r>
          </w:p>
        </w:tc>
        <w:tc>
          <w:tcPr>
            <w:tcW w:w="1984" w:type="dxa"/>
            <w:tcBorders>
              <w:top w:val="single" w:sz="18" w:space="0" w:color="auto"/>
            </w:tcBorders>
            <w:vAlign w:val="center"/>
          </w:tcPr>
          <w:p w14:paraId="27CE1E89" w14:textId="77777777" w:rsidR="00652245" w:rsidRDefault="00652245" w:rsidP="00304343">
            <w:pPr>
              <w:spacing w:line="276" w:lineRule="auto"/>
              <w:jc w:val="center"/>
            </w:pPr>
            <w:r>
              <w:t>32.0 ± 12.7</w:t>
            </w:r>
          </w:p>
        </w:tc>
        <w:tc>
          <w:tcPr>
            <w:tcW w:w="1985" w:type="dxa"/>
            <w:tcBorders>
              <w:top w:val="single" w:sz="18" w:space="0" w:color="auto"/>
            </w:tcBorders>
            <w:vAlign w:val="center"/>
          </w:tcPr>
          <w:p w14:paraId="29762418" w14:textId="77777777" w:rsidR="00652245" w:rsidRDefault="00652245" w:rsidP="00304343">
            <w:pPr>
              <w:spacing w:line="276" w:lineRule="auto"/>
              <w:jc w:val="center"/>
            </w:pPr>
            <w:r>
              <w:t>32.0 ± 12.9</w:t>
            </w:r>
          </w:p>
        </w:tc>
        <w:tc>
          <w:tcPr>
            <w:tcW w:w="1985" w:type="dxa"/>
            <w:tcBorders>
              <w:top w:val="single" w:sz="18" w:space="0" w:color="auto"/>
            </w:tcBorders>
            <w:vAlign w:val="center"/>
          </w:tcPr>
          <w:p w14:paraId="34538626" w14:textId="77777777" w:rsidR="00652245" w:rsidRDefault="00652245" w:rsidP="00304343">
            <w:pPr>
              <w:spacing w:line="276" w:lineRule="auto"/>
              <w:jc w:val="center"/>
            </w:pPr>
            <w:r>
              <w:t>31.8 ± 12.6</w:t>
            </w:r>
          </w:p>
        </w:tc>
      </w:tr>
      <w:tr w:rsidR="00652245" w14:paraId="63F602D9" w14:textId="77777777" w:rsidTr="00304343">
        <w:tc>
          <w:tcPr>
            <w:tcW w:w="1843" w:type="dxa"/>
            <w:vAlign w:val="center"/>
          </w:tcPr>
          <w:p w14:paraId="66EE7FC0" w14:textId="77777777" w:rsidR="00652245" w:rsidRDefault="00652245" w:rsidP="00304343">
            <w:pPr>
              <w:spacing w:line="276" w:lineRule="auto"/>
            </w:pPr>
            <w:r>
              <w:t>Total FM (kg)</w:t>
            </w:r>
          </w:p>
        </w:tc>
        <w:tc>
          <w:tcPr>
            <w:tcW w:w="1984" w:type="dxa"/>
            <w:vAlign w:val="center"/>
          </w:tcPr>
          <w:p w14:paraId="66A7DB47" w14:textId="77777777" w:rsidR="00652245" w:rsidRDefault="00652245" w:rsidP="00304343">
            <w:pPr>
              <w:spacing w:line="276" w:lineRule="auto"/>
              <w:jc w:val="center"/>
            </w:pPr>
            <w:r>
              <w:t>24.3 ± 12.1</w:t>
            </w:r>
          </w:p>
        </w:tc>
        <w:tc>
          <w:tcPr>
            <w:tcW w:w="1985" w:type="dxa"/>
            <w:vAlign w:val="center"/>
          </w:tcPr>
          <w:p w14:paraId="509428E1" w14:textId="77777777" w:rsidR="00652245" w:rsidRDefault="00652245" w:rsidP="00304343">
            <w:pPr>
              <w:spacing w:line="276" w:lineRule="auto"/>
              <w:jc w:val="center"/>
            </w:pPr>
            <w:r>
              <w:t>24.4 ± 12.2</w:t>
            </w:r>
          </w:p>
        </w:tc>
        <w:tc>
          <w:tcPr>
            <w:tcW w:w="1985" w:type="dxa"/>
            <w:vAlign w:val="center"/>
          </w:tcPr>
          <w:p w14:paraId="5EF123C4" w14:textId="77777777" w:rsidR="00652245" w:rsidRDefault="00652245" w:rsidP="00304343">
            <w:pPr>
              <w:spacing w:line="276" w:lineRule="auto"/>
              <w:jc w:val="center"/>
            </w:pPr>
            <w:r>
              <w:t>24.2 ± 12.0</w:t>
            </w:r>
          </w:p>
        </w:tc>
      </w:tr>
      <w:tr w:rsidR="00652245" w14:paraId="7310DCB4" w14:textId="77777777" w:rsidTr="00304343">
        <w:tc>
          <w:tcPr>
            <w:tcW w:w="1843" w:type="dxa"/>
            <w:vAlign w:val="center"/>
          </w:tcPr>
          <w:p w14:paraId="6FD82734" w14:textId="77777777" w:rsidR="00652245" w:rsidRDefault="00652245" w:rsidP="00304343">
            <w:pPr>
              <w:spacing w:line="276" w:lineRule="auto"/>
            </w:pPr>
            <w:r>
              <w:t>Arm FM (g)</w:t>
            </w:r>
          </w:p>
        </w:tc>
        <w:tc>
          <w:tcPr>
            <w:tcW w:w="1984" w:type="dxa"/>
            <w:vAlign w:val="center"/>
          </w:tcPr>
          <w:p w14:paraId="5264F711" w14:textId="77777777" w:rsidR="00652245" w:rsidRDefault="00652245" w:rsidP="00304343">
            <w:pPr>
              <w:spacing w:line="276" w:lineRule="auto"/>
              <w:jc w:val="center"/>
            </w:pPr>
            <w:r>
              <w:t>2696 ± 1337</w:t>
            </w:r>
          </w:p>
        </w:tc>
        <w:tc>
          <w:tcPr>
            <w:tcW w:w="1985" w:type="dxa"/>
            <w:vAlign w:val="center"/>
          </w:tcPr>
          <w:p w14:paraId="066726B7" w14:textId="77777777" w:rsidR="00652245" w:rsidRDefault="00652245" w:rsidP="00304343">
            <w:pPr>
              <w:spacing w:line="276" w:lineRule="auto"/>
              <w:jc w:val="center"/>
            </w:pPr>
            <w:r>
              <w:t>2649 ± 1287</w:t>
            </w:r>
          </w:p>
        </w:tc>
        <w:tc>
          <w:tcPr>
            <w:tcW w:w="1985" w:type="dxa"/>
            <w:vAlign w:val="center"/>
          </w:tcPr>
          <w:p w14:paraId="3E44DE4C" w14:textId="77777777" w:rsidR="00652245" w:rsidRDefault="00652245" w:rsidP="00304343">
            <w:pPr>
              <w:spacing w:line="276" w:lineRule="auto"/>
              <w:jc w:val="center"/>
            </w:pPr>
            <w:r>
              <w:t>2649 ± 1287</w:t>
            </w:r>
          </w:p>
        </w:tc>
      </w:tr>
      <w:tr w:rsidR="00652245" w14:paraId="223D74F8" w14:textId="77777777" w:rsidTr="00304343">
        <w:tc>
          <w:tcPr>
            <w:tcW w:w="1843" w:type="dxa"/>
            <w:vAlign w:val="center"/>
          </w:tcPr>
          <w:p w14:paraId="68EFD016" w14:textId="77777777" w:rsidR="00652245" w:rsidRDefault="00652245" w:rsidP="00304343">
            <w:pPr>
              <w:spacing w:line="276" w:lineRule="auto"/>
            </w:pPr>
            <w:r>
              <w:t>Leg FM (g)</w:t>
            </w:r>
          </w:p>
        </w:tc>
        <w:tc>
          <w:tcPr>
            <w:tcW w:w="1984" w:type="dxa"/>
            <w:vAlign w:val="center"/>
          </w:tcPr>
          <w:p w14:paraId="530ECF02" w14:textId="77777777" w:rsidR="00652245" w:rsidRDefault="00652245" w:rsidP="00304343">
            <w:pPr>
              <w:spacing w:line="276" w:lineRule="auto"/>
              <w:jc w:val="center"/>
            </w:pPr>
            <w:r>
              <w:t>7075 ± 3842</w:t>
            </w:r>
          </w:p>
        </w:tc>
        <w:tc>
          <w:tcPr>
            <w:tcW w:w="1985" w:type="dxa"/>
            <w:vAlign w:val="center"/>
          </w:tcPr>
          <w:p w14:paraId="7A285298" w14:textId="77777777" w:rsidR="00652245" w:rsidRDefault="00652245" w:rsidP="00304343">
            <w:pPr>
              <w:spacing w:line="276" w:lineRule="auto"/>
              <w:jc w:val="center"/>
            </w:pPr>
            <w:r>
              <w:t>7162 ± 3909</w:t>
            </w:r>
          </w:p>
        </w:tc>
        <w:tc>
          <w:tcPr>
            <w:tcW w:w="1985" w:type="dxa"/>
            <w:vAlign w:val="center"/>
          </w:tcPr>
          <w:p w14:paraId="77F58D5F" w14:textId="77777777" w:rsidR="00652245" w:rsidRDefault="00652245" w:rsidP="00304343">
            <w:pPr>
              <w:spacing w:line="276" w:lineRule="auto"/>
              <w:jc w:val="center"/>
            </w:pPr>
            <w:r>
              <w:t>7097 ± 3902</w:t>
            </w:r>
          </w:p>
        </w:tc>
      </w:tr>
      <w:tr w:rsidR="00652245" w14:paraId="5EB88DE0" w14:textId="77777777" w:rsidTr="00304343">
        <w:tc>
          <w:tcPr>
            <w:tcW w:w="1843" w:type="dxa"/>
            <w:vAlign w:val="center"/>
          </w:tcPr>
          <w:p w14:paraId="2ABD0086" w14:textId="77777777" w:rsidR="00652245" w:rsidRPr="00D15959" w:rsidRDefault="00652245" w:rsidP="00304343">
            <w:pPr>
              <w:spacing w:line="276" w:lineRule="auto"/>
            </w:pPr>
            <w:r>
              <w:t>VAT (cm</w:t>
            </w:r>
            <w:r>
              <w:rPr>
                <w:vertAlign w:val="superscript"/>
              </w:rPr>
              <w:t>3</w:t>
            </w:r>
            <w:r>
              <w:t>)</w:t>
            </w:r>
          </w:p>
        </w:tc>
        <w:tc>
          <w:tcPr>
            <w:tcW w:w="1984" w:type="dxa"/>
            <w:vAlign w:val="center"/>
          </w:tcPr>
          <w:p w14:paraId="2FC9D186" w14:textId="77777777" w:rsidR="00652245" w:rsidRDefault="00652245" w:rsidP="00304343">
            <w:pPr>
              <w:spacing w:line="276" w:lineRule="auto"/>
              <w:jc w:val="center"/>
            </w:pPr>
            <w:r>
              <w:t>1261 ± 832</w:t>
            </w:r>
          </w:p>
        </w:tc>
        <w:tc>
          <w:tcPr>
            <w:tcW w:w="1985" w:type="dxa"/>
            <w:vAlign w:val="center"/>
          </w:tcPr>
          <w:p w14:paraId="6C77C809" w14:textId="77777777" w:rsidR="00652245" w:rsidRDefault="00652245" w:rsidP="00304343">
            <w:pPr>
              <w:spacing w:line="276" w:lineRule="auto"/>
              <w:jc w:val="center"/>
            </w:pPr>
            <w:r>
              <w:t>1392 ± 925</w:t>
            </w:r>
          </w:p>
        </w:tc>
        <w:tc>
          <w:tcPr>
            <w:tcW w:w="1985" w:type="dxa"/>
            <w:vAlign w:val="center"/>
          </w:tcPr>
          <w:p w14:paraId="4A41F09D" w14:textId="77777777" w:rsidR="00652245" w:rsidRDefault="00652245" w:rsidP="00304343">
            <w:pPr>
              <w:spacing w:line="276" w:lineRule="auto"/>
              <w:jc w:val="center"/>
            </w:pPr>
            <w:r>
              <w:t>1365 ± 789</w:t>
            </w:r>
          </w:p>
        </w:tc>
      </w:tr>
      <w:tr w:rsidR="00652245" w14:paraId="20E42020" w14:textId="77777777" w:rsidTr="00304343">
        <w:tc>
          <w:tcPr>
            <w:tcW w:w="1843" w:type="dxa"/>
            <w:vAlign w:val="center"/>
          </w:tcPr>
          <w:p w14:paraId="6927B838" w14:textId="77777777" w:rsidR="00652245" w:rsidRDefault="00652245" w:rsidP="00304343">
            <w:pPr>
              <w:spacing w:line="276" w:lineRule="auto"/>
            </w:pPr>
            <w:r>
              <w:t>Total LM (kg)</w:t>
            </w:r>
          </w:p>
        </w:tc>
        <w:tc>
          <w:tcPr>
            <w:tcW w:w="1984" w:type="dxa"/>
            <w:vAlign w:val="center"/>
          </w:tcPr>
          <w:p w14:paraId="33D32120" w14:textId="77777777" w:rsidR="00652245" w:rsidRDefault="00652245" w:rsidP="00304343">
            <w:pPr>
              <w:spacing w:line="276" w:lineRule="auto"/>
              <w:jc w:val="center"/>
            </w:pPr>
            <w:r>
              <w:t>48.7 ± 7.8</w:t>
            </w:r>
          </w:p>
        </w:tc>
        <w:tc>
          <w:tcPr>
            <w:tcW w:w="1985" w:type="dxa"/>
            <w:vAlign w:val="center"/>
          </w:tcPr>
          <w:p w14:paraId="45AA87DD" w14:textId="77777777" w:rsidR="00652245" w:rsidRDefault="00652245" w:rsidP="00304343">
            <w:pPr>
              <w:spacing w:line="276" w:lineRule="auto"/>
              <w:jc w:val="center"/>
            </w:pPr>
            <w:r>
              <w:t>48.6 ± 8.0</w:t>
            </w:r>
          </w:p>
        </w:tc>
        <w:tc>
          <w:tcPr>
            <w:tcW w:w="1985" w:type="dxa"/>
            <w:vAlign w:val="center"/>
          </w:tcPr>
          <w:p w14:paraId="3A2B0ED0" w14:textId="77777777" w:rsidR="00652245" w:rsidRDefault="00652245" w:rsidP="00304343">
            <w:pPr>
              <w:spacing w:line="276" w:lineRule="auto"/>
              <w:jc w:val="center"/>
            </w:pPr>
            <w:r>
              <w:t>45.5 ± 16.2</w:t>
            </w:r>
          </w:p>
        </w:tc>
      </w:tr>
      <w:tr w:rsidR="00652245" w14:paraId="6CD56E77" w14:textId="77777777" w:rsidTr="00304343">
        <w:tc>
          <w:tcPr>
            <w:tcW w:w="1843" w:type="dxa"/>
            <w:vAlign w:val="center"/>
          </w:tcPr>
          <w:p w14:paraId="6AB127F1" w14:textId="77777777" w:rsidR="00652245" w:rsidRDefault="00652245" w:rsidP="00304343">
            <w:pPr>
              <w:spacing w:line="276" w:lineRule="auto"/>
            </w:pPr>
            <w:r>
              <w:t>Arm LM (g)</w:t>
            </w:r>
          </w:p>
        </w:tc>
        <w:tc>
          <w:tcPr>
            <w:tcW w:w="1984" w:type="dxa"/>
            <w:vAlign w:val="center"/>
          </w:tcPr>
          <w:p w14:paraId="29562ADC" w14:textId="77777777" w:rsidR="00652245" w:rsidRDefault="00652245" w:rsidP="00304343">
            <w:pPr>
              <w:spacing w:line="276" w:lineRule="auto"/>
              <w:jc w:val="center"/>
            </w:pPr>
            <w:r>
              <w:t>5617 ± 1213</w:t>
            </w:r>
          </w:p>
        </w:tc>
        <w:tc>
          <w:tcPr>
            <w:tcW w:w="1985" w:type="dxa"/>
            <w:vAlign w:val="center"/>
          </w:tcPr>
          <w:p w14:paraId="69B6F962" w14:textId="77777777" w:rsidR="00652245" w:rsidRDefault="00652245" w:rsidP="00304343">
            <w:pPr>
              <w:spacing w:line="276" w:lineRule="auto"/>
              <w:jc w:val="center"/>
            </w:pPr>
            <w:r>
              <w:t>5544 ± 1147</w:t>
            </w:r>
          </w:p>
        </w:tc>
        <w:tc>
          <w:tcPr>
            <w:tcW w:w="1985" w:type="dxa"/>
            <w:vAlign w:val="center"/>
          </w:tcPr>
          <w:p w14:paraId="2B8A1F09" w14:textId="77777777" w:rsidR="00652245" w:rsidRDefault="00652245" w:rsidP="00304343">
            <w:pPr>
              <w:spacing w:line="276" w:lineRule="auto"/>
              <w:jc w:val="center"/>
            </w:pPr>
            <w:r>
              <w:t>5579 ± 1154</w:t>
            </w:r>
          </w:p>
        </w:tc>
      </w:tr>
      <w:tr w:rsidR="00652245" w14:paraId="6C003478" w14:textId="77777777" w:rsidTr="00304343">
        <w:tc>
          <w:tcPr>
            <w:tcW w:w="1843" w:type="dxa"/>
            <w:vAlign w:val="center"/>
          </w:tcPr>
          <w:p w14:paraId="52FBAF09" w14:textId="77777777" w:rsidR="00652245" w:rsidRPr="004945D3" w:rsidRDefault="00652245" w:rsidP="00304343">
            <w:pPr>
              <w:spacing w:line="276" w:lineRule="auto"/>
            </w:pPr>
            <w:r>
              <w:t>Leg LM (g)</w:t>
            </w:r>
          </w:p>
        </w:tc>
        <w:tc>
          <w:tcPr>
            <w:tcW w:w="1984" w:type="dxa"/>
            <w:vAlign w:val="center"/>
          </w:tcPr>
          <w:p w14:paraId="1C76C403" w14:textId="77777777" w:rsidR="00652245" w:rsidRDefault="00652245" w:rsidP="00304343">
            <w:pPr>
              <w:spacing w:line="276" w:lineRule="auto"/>
              <w:jc w:val="center"/>
            </w:pPr>
            <w:r>
              <w:t>16 286 ± 3103</w:t>
            </w:r>
          </w:p>
        </w:tc>
        <w:tc>
          <w:tcPr>
            <w:tcW w:w="1985" w:type="dxa"/>
            <w:vAlign w:val="center"/>
          </w:tcPr>
          <w:p w14:paraId="134A7578" w14:textId="77777777" w:rsidR="00652245" w:rsidRDefault="00652245" w:rsidP="00304343">
            <w:pPr>
              <w:spacing w:line="276" w:lineRule="auto"/>
              <w:jc w:val="center"/>
            </w:pPr>
            <w:r>
              <w:t>16 174 ± 3160</w:t>
            </w:r>
          </w:p>
        </w:tc>
        <w:tc>
          <w:tcPr>
            <w:tcW w:w="1985" w:type="dxa"/>
            <w:vAlign w:val="center"/>
          </w:tcPr>
          <w:p w14:paraId="2A892FEC" w14:textId="77777777" w:rsidR="00652245" w:rsidRDefault="00652245" w:rsidP="00304343">
            <w:pPr>
              <w:spacing w:line="276" w:lineRule="auto"/>
              <w:jc w:val="center"/>
            </w:pPr>
            <w:r>
              <w:t>16 410 ± 3239</w:t>
            </w:r>
          </w:p>
        </w:tc>
      </w:tr>
      <w:tr w:rsidR="00652245" w14:paraId="28C429E6" w14:textId="77777777" w:rsidTr="00304343">
        <w:tc>
          <w:tcPr>
            <w:tcW w:w="1843" w:type="dxa"/>
            <w:tcBorders>
              <w:bottom w:val="single" w:sz="18" w:space="0" w:color="auto"/>
            </w:tcBorders>
            <w:vAlign w:val="center"/>
          </w:tcPr>
          <w:p w14:paraId="5EE9C139" w14:textId="77777777" w:rsidR="00652245" w:rsidRPr="00B9720E" w:rsidRDefault="00652245" w:rsidP="00304343">
            <w:pPr>
              <w:spacing w:line="276" w:lineRule="auto"/>
            </w:pPr>
            <w:r>
              <w:t xml:space="preserve">ALM (kg </w:t>
            </w:r>
            <w:r>
              <w:sym w:font="Symbol" w:char="F0B7"/>
            </w:r>
            <w:r>
              <w:t xml:space="preserve"> m</w:t>
            </w:r>
            <w:r>
              <w:rPr>
                <w:vertAlign w:val="superscript"/>
              </w:rPr>
              <w:t>-2</w:t>
            </w:r>
            <w:r>
              <w:t>)</w:t>
            </w:r>
          </w:p>
        </w:tc>
        <w:tc>
          <w:tcPr>
            <w:tcW w:w="1984" w:type="dxa"/>
            <w:tcBorders>
              <w:bottom w:val="single" w:sz="18" w:space="0" w:color="auto"/>
            </w:tcBorders>
            <w:vAlign w:val="center"/>
          </w:tcPr>
          <w:p w14:paraId="48A69B9F" w14:textId="77777777" w:rsidR="00652245" w:rsidRDefault="00652245" w:rsidP="00304343">
            <w:pPr>
              <w:spacing w:line="276" w:lineRule="auto"/>
              <w:jc w:val="center"/>
            </w:pPr>
            <w:r>
              <w:t>7.8 ± 1.0</w:t>
            </w:r>
          </w:p>
        </w:tc>
        <w:tc>
          <w:tcPr>
            <w:tcW w:w="1985" w:type="dxa"/>
            <w:tcBorders>
              <w:bottom w:val="single" w:sz="18" w:space="0" w:color="auto"/>
            </w:tcBorders>
            <w:vAlign w:val="center"/>
          </w:tcPr>
          <w:p w14:paraId="3AACFC87" w14:textId="77777777" w:rsidR="00652245" w:rsidRDefault="00652245" w:rsidP="00304343">
            <w:pPr>
              <w:spacing w:line="276" w:lineRule="auto"/>
              <w:jc w:val="center"/>
            </w:pPr>
            <w:r>
              <w:t>7.8 ± 1.0</w:t>
            </w:r>
          </w:p>
        </w:tc>
        <w:tc>
          <w:tcPr>
            <w:tcW w:w="1985" w:type="dxa"/>
            <w:tcBorders>
              <w:bottom w:val="single" w:sz="18" w:space="0" w:color="auto"/>
            </w:tcBorders>
            <w:vAlign w:val="center"/>
          </w:tcPr>
          <w:p w14:paraId="196091C0" w14:textId="77777777" w:rsidR="00652245" w:rsidRDefault="00652245" w:rsidP="00304343">
            <w:pPr>
              <w:keepNext/>
              <w:spacing w:line="276" w:lineRule="auto"/>
              <w:jc w:val="center"/>
            </w:pPr>
            <w:r>
              <w:t>7.9 ± 1.0</w:t>
            </w:r>
          </w:p>
        </w:tc>
      </w:tr>
    </w:tbl>
    <w:p w14:paraId="08882A69" w14:textId="63264A04" w:rsidR="00652245" w:rsidRPr="00785141" w:rsidRDefault="00652245" w:rsidP="00652245">
      <w:pPr>
        <w:pStyle w:val="Caption"/>
        <w:rPr>
          <w:b w:val="0"/>
          <w:color w:val="auto"/>
          <w:sz w:val="20"/>
          <w:szCs w:val="20"/>
        </w:rPr>
      </w:pPr>
      <w:r w:rsidRPr="00785141">
        <w:rPr>
          <w:b w:val="0"/>
          <w:color w:val="auto"/>
          <w:sz w:val="20"/>
          <w:szCs w:val="20"/>
        </w:rPr>
        <w:t xml:space="preserve">FM, fat mass; VAT, visceral adipose tissue; </w:t>
      </w:r>
      <w:r w:rsidR="002E042C" w:rsidRPr="00785141">
        <w:rPr>
          <w:b w:val="0"/>
          <w:color w:val="auto"/>
          <w:sz w:val="20"/>
          <w:szCs w:val="20"/>
        </w:rPr>
        <w:t>LM</w:t>
      </w:r>
      <w:r w:rsidRPr="00785141">
        <w:rPr>
          <w:b w:val="0"/>
          <w:color w:val="auto"/>
          <w:sz w:val="20"/>
          <w:szCs w:val="20"/>
        </w:rPr>
        <w:t xml:space="preserve">, </w:t>
      </w:r>
      <w:r w:rsidR="002E042C" w:rsidRPr="00785141">
        <w:rPr>
          <w:b w:val="0"/>
          <w:color w:val="auto"/>
          <w:sz w:val="20"/>
          <w:szCs w:val="20"/>
        </w:rPr>
        <w:t>lean tissue</w:t>
      </w:r>
      <w:r w:rsidRPr="00785141">
        <w:rPr>
          <w:b w:val="0"/>
          <w:color w:val="auto"/>
          <w:sz w:val="20"/>
          <w:szCs w:val="20"/>
        </w:rPr>
        <w:t xml:space="preserve"> mass; ALM, appendicular lean mass.</w:t>
      </w:r>
      <w:r w:rsidR="000D21F0" w:rsidRPr="00785141">
        <w:rPr>
          <w:b w:val="0"/>
          <w:color w:val="auto"/>
          <w:sz w:val="20"/>
          <w:szCs w:val="20"/>
        </w:rPr>
        <w:t xml:space="preserve"> Values are means</w:t>
      </w:r>
      <w:r w:rsidR="000D21F0" w:rsidRPr="00785141">
        <w:rPr>
          <w:rFonts w:cs="Times New Roman"/>
          <w:b w:val="0"/>
          <w:color w:val="auto"/>
          <w:sz w:val="20"/>
          <w:szCs w:val="20"/>
        </w:rPr>
        <w:t>±</w:t>
      </w:r>
      <w:r w:rsidR="000D21F0" w:rsidRPr="00785141">
        <w:rPr>
          <w:b w:val="0"/>
          <w:color w:val="auto"/>
          <w:sz w:val="20"/>
          <w:szCs w:val="20"/>
        </w:rPr>
        <w:t>SD</w:t>
      </w:r>
      <w:proofErr w:type="gramStart"/>
      <w:r w:rsidR="000D21F0" w:rsidRPr="00785141">
        <w:rPr>
          <w:b w:val="0"/>
          <w:color w:val="auto"/>
          <w:sz w:val="20"/>
          <w:szCs w:val="20"/>
        </w:rPr>
        <w:t>;</w:t>
      </w:r>
      <w:proofErr w:type="gramEnd"/>
      <w:r w:rsidR="000D21F0" w:rsidRPr="00785141">
        <w:rPr>
          <w:b w:val="0"/>
          <w:color w:val="auto"/>
          <w:sz w:val="20"/>
          <w:szCs w:val="20"/>
        </w:rPr>
        <w:t xml:space="preserve"> </w:t>
      </w:r>
      <w:r w:rsidR="00851811" w:rsidRPr="003274B7">
        <w:rPr>
          <w:b w:val="0"/>
          <w:color w:val="auto"/>
          <w:sz w:val="20"/>
          <w:szCs w:val="20"/>
        </w:rPr>
        <w:t>n</w:t>
      </w:r>
      <w:r w:rsidR="000D21F0" w:rsidRPr="00785141">
        <w:rPr>
          <w:b w:val="0"/>
          <w:color w:val="auto"/>
          <w:sz w:val="20"/>
          <w:szCs w:val="20"/>
        </w:rPr>
        <w:t>=10 (6 men and 4 women).</w:t>
      </w:r>
    </w:p>
    <w:p w14:paraId="3B48A4AB" w14:textId="25B86270" w:rsidR="00652245" w:rsidRDefault="00652245" w:rsidP="006C36C2">
      <w:pPr>
        <w:keepNext/>
        <w:spacing w:line="480" w:lineRule="auto"/>
      </w:pPr>
      <w:r>
        <w:rPr>
          <w:noProof/>
          <w:lang w:val="en-US" w:eastAsia="en-US"/>
        </w:rPr>
        <w:lastRenderedPageBreak/>
        <w:drawing>
          <wp:inline distT="0" distB="0" distL="0" distR="0" wp14:anchorId="4E1A1A36" wp14:editId="1CCED031">
            <wp:extent cx="5039007" cy="3240000"/>
            <wp:effectExtent l="0" t="0" r="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 Leg FFM .pdf"/>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39007" cy="3240000"/>
                    </a:xfrm>
                    <a:prstGeom prst="rect">
                      <a:avLst/>
                    </a:prstGeom>
                    <a:ln>
                      <a:noFill/>
                    </a:ln>
                    <a:extLst>
                      <a:ext uri="{53640926-AAD7-44d8-BBD7-CCE9431645EC}">
                        <a14:shadowObscured xmlns:a14="http://schemas.microsoft.com/office/drawing/2010/main"/>
                      </a:ext>
                    </a:extLst>
                  </pic:spPr>
                </pic:pic>
              </a:graphicData>
            </a:graphic>
          </wp:inline>
        </w:drawing>
      </w:r>
    </w:p>
    <w:p w14:paraId="26F988D1" w14:textId="454E26EC" w:rsidR="00A241EF" w:rsidRDefault="00652245" w:rsidP="00A241EF">
      <w:pPr>
        <w:pStyle w:val="Caption"/>
        <w:rPr>
          <w:b w:val="0"/>
          <w:color w:val="auto"/>
          <w:sz w:val="24"/>
          <w:szCs w:val="24"/>
        </w:rPr>
      </w:pPr>
      <w:r w:rsidRPr="00D36817">
        <w:rPr>
          <w:color w:val="auto"/>
          <w:sz w:val="24"/>
          <w:szCs w:val="24"/>
        </w:rPr>
        <w:t xml:space="preserve">Figure </w:t>
      </w:r>
      <w:r>
        <w:rPr>
          <w:color w:val="auto"/>
          <w:sz w:val="24"/>
          <w:szCs w:val="24"/>
        </w:rPr>
        <w:t>6</w:t>
      </w:r>
      <w:r w:rsidRPr="00D36817">
        <w:rPr>
          <w:color w:val="auto"/>
          <w:sz w:val="24"/>
          <w:szCs w:val="24"/>
        </w:rPr>
        <w:t xml:space="preserve">. </w:t>
      </w:r>
      <w:r>
        <w:rPr>
          <w:b w:val="0"/>
          <w:color w:val="auto"/>
          <w:sz w:val="24"/>
          <w:szCs w:val="24"/>
        </w:rPr>
        <w:t xml:space="preserve">Leg </w:t>
      </w:r>
      <w:r w:rsidR="00E53C2D">
        <w:rPr>
          <w:b w:val="0"/>
          <w:color w:val="auto"/>
          <w:sz w:val="24"/>
          <w:szCs w:val="24"/>
        </w:rPr>
        <w:t>lean mass</w:t>
      </w:r>
      <w:r>
        <w:rPr>
          <w:b w:val="0"/>
          <w:color w:val="auto"/>
          <w:sz w:val="24"/>
          <w:szCs w:val="24"/>
        </w:rPr>
        <w:t xml:space="preserve"> as measured by DXA. </w:t>
      </w:r>
      <w:r w:rsidRPr="00D36817">
        <w:rPr>
          <w:b w:val="0"/>
          <w:color w:val="auto"/>
          <w:sz w:val="24"/>
          <w:szCs w:val="24"/>
        </w:rPr>
        <w:t>Boxes represent 25-75</w:t>
      </w:r>
      <w:r w:rsidRPr="00D36817">
        <w:rPr>
          <w:b w:val="0"/>
          <w:color w:val="auto"/>
          <w:sz w:val="24"/>
          <w:szCs w:val="24"/>
          <w:vertAlign w:val="superscript"/>
        </w:rPr>
        <w:t>th</w:t>
      </w:r>
      <w:r w:rsidRPr="00D36817">
        <w:rPr>
          <w:b w:val="0"/>
          <w:color w:val="auto"/>
          <w:sz w:val="24"/>
          <w:szCs w:val="24"/>
        </w:rPr>
        <w:t xml:space="preserve"> quartiles, whiskers represent minimum and maximum, horizontal line represents median, cross represents mean</w:t>
      </w:r>
      <w:r w:rsidR="00225DB1">
        <w:rPr>
          <w:b w:val="0"/>
          <w:color w:val="auto"/>
          <w:sz w:val="24"/>
          <w:szCs w:val="24"/>
        </w:rPr>
        <w:t xml:space="preserve">. </w:t>
      </w:r>
      <w:proofErr w:type="gramStart"/>
      <w:r w:rsidR="000D21F0">
        <w:rPr>
          <w:b w:val="0"/>
          <w:color w:val="auto"/>
          <w:sz w:val="24"/>
          <w:szCs w:val="24"/>
        </w:rPr>
        <w:t>n</w:t>
      </w:r>
      <w:proofErr w:type="gramEnd"/>
      <w:r w:rsidR="000D21F0">
        <w:rPr>
          <w:b w:val="0"/>
          <w:color w:val="auto"/>
          <w:sz w:val="24"/>
          <w:szCs w:val="24"/>
        </w:rPr>
        <w:t>=10</w:t>
      </w:r>
      <w:r w:rsidR="00225DB1">
        <w:rPr>
          <w:b w:val="0"/>
          <w:color w:val="auto"/>
          <w:sz w:val="24"/>
          <w:szCs w:val="24"/>
        </w:rPr>
        <w:t xml:space="preserve"> (</w:t>
      </w:r>
      <w:r w:rsidR="000D21F0">
        <w:rPr>
          <w:b w:val="0"/>
          <w:color w:val="auto"/>
          <w:sz w:val="24"/>
          <w:szCs w:val="24"/>
        </w:rPr>
        <w:t>6 men and 4 women)</w:t>
      </w:r>
      <w:r w:rsidRPr="00D36817">
        <w:rPr>
          <w:b w:val="0"/>
          <w:color w:val="auto"/>
          <w:sz w:val="24"/>
          <w:szCs w:val="24"/>
        </w:rPr>
        <w:t>.</w:t>
      </w:r>
      <w:bookmarkStart w:id="46" w:name="_Toc296814800"/>
    </w:p>
    <w:p w14:paraId="106C7FFB" w14:textId="77777777" w:rsidR="00A241EF" w:rsidRPr="00A241EF" w:rsidRDefault="00652245" w:rsidP="00A241EF">
      <w:pPr>
        <w:pStyle w:val="Heading3"/>
      </w:pPr>
      <w:bookmarkStart w:id="47" w:name="_Toc296932779"/>
      <w:r w:rsidRPr="00A241EF">
        <w:t>Strength</w:t>
      </w:r>
      <w:bookmarkEnd w:id="46"/>
      <w:bookmarkEnd w:id="47"/>
    </w:p>
    <w:p w14:paraId="38079EFD" w14:textId="62380319" w:rsidR="00652245" w:rsidRPr="00A241EF" w:rsidRDefault="00652245" w:rsidP="00A241EF">
      <w:pPr>
        <w:pStyle w:val="Caption"/>
        <w:spacing w:line="480" w:lineRule="auto"/>
        <w:ind w:firstLine="720"/>
        <w:rPr>
          <w:rFonts w:cs="Times New Roman"/>
          <w:b w:val="0"/>
          <w:color w:val="auto"/>
          <w:sz w:val="24"/>
          <w:szCs w:val="24"/>
        </w:rPr>
      </w:pPr>
      <w:r w:rsidRPr="00A241EF">
        <w:rPr>
          <w:rFonts w:cs="Times New Roman"/>
          <w:b w:val="0"/>
          <w:color w:val="auto"/>
          <w:sz w:val="24"/>
          <w:szCs w:val="24"/>
        </w:rPr>
        <w:t>There were no significant changes in peak</w:t>
      </w:r>
      <w:r w:rsidR="00851811">
        <w:rPr>
          <w:rFonts w:cs="Times New Roman"/>
          <w:b w:val="0"/>
          <w:color w:val="auto"/>
          <w:sz w:val="24"/>
          <w:szCs w:val="24"/>
        </w:rPr>
        <w:t xml:space="preserve"> </w:t>
      </w:r>
      <w:r w:rsidR="00851811" w:rsidRPr="00A241EF">
        <w:rPr>
          <w:rFonts w:cs="Times New Roman"/>
          <w:b w:val="0"/>
          <w:color w:val="auto"/>
          <w:sz w:val="24"/>
          <w:szCs w:val="24"/>
        </w:rPr>
        <w:t>(Figure 7)</w:t>
      </w:r>
      <w:r w:rsidRPr="00A241EF">
        <w:rPr>
          <w:rFonts w:cs="Times New Roman"/>
          <w:b w:val="0"/>
          <w:color w:val="auto"/>
          <w:sz w:val="24"/>
          <w:szCs w:val="24"/>
        </w:rPr>
        <w:t xml:space="preserve"> or mean absolute or relative torque production for ISO-MVC from BL to SR or SR to RC (Table 5). Relative RTD exhibited no change between study phases for RTD</w:t>
      </w:r>
      <w:r w:rsidRPr="00A241EF">
        <w:rPr>
          <w:rFonts w:cs="Times New Roman"/>
          <w:b w:val="0"/>
          <w:color w:val="auto"/>
          <w:sz w:val="24"/>
          <w:szCs w:val="24"/>
          <w:vertAlign w:val="subscript"/>
        </w:rPr>
        <w:t>25%</w:t>
      </w:r>
      <w:r w:rsidRPr="00A241EF">
        <w:rPr>
          <w:rFonts w:cs="Times New Roman"/>
          <w:b w:val="0"/>
          <w:color w:val="auto"/>
          <w:sz w:val="24"/>
          <w:szCs w:val="24"/>
        </w:rPr>
        <w:t>, RTD</w:t>
      </w:r>
      <w:r w:rsidRPr="00A241EF">
        <w:rPr>
          <w:rFonts w:cs="Times New Roman"/>
          <w:b w:val="0"/>
          <w:color w:val="auto"/>
          <w:sz w:val="24"/>
          <w:szCs w:val="24"/>
          <w:vertAlign w:val="subscript"/>
        </w:rPr>
        <w:t>75%</w:t>
      </w:r>
      <w:r w:rsidRPr="00A241EF">
        <w:rPr>
          <w:rFonts w:cs="Times New Roman"/>
          <w:b w:val="0"/>
          <w:color w:val="auto"/>
          <w:sz w:val="24"/>
          <w:szCs w:val="24"/>
        </w:rPr>
        <w:t xml:space="preserve">, </w:t>
      </w:r>
      <w:proofErr w:type="gramStart"/>
      <w:r w:rsidRPr="00A241EF">
        <w:rPr>
          <w:rFonts w:cs="Times New Roman"/>
          <w:b w:val="0"/>
          <w:color w:val="auto"/>
          <w:sz w:val="24"/>
          <w:szCs w:val="24"/>
        </w:rPr>
        <w:t>RTD</w:t>
      </w:r>
      <w:r w:rsidRPr="00A241EF">
        <w:rPr>
          <w:rFonts w:cs="Times New Roman"/>
          <w:b w:val="0"/>
          <w:color w:val="auto"/>
          <w:sz w:val="24"/>
          <w:szCs w:val="24"/>
          <w:vertAlign w:val="subscript"/>
        </w:rPr>
        <w:t>100%</w:t>
      </w:r>
      <w:r w:rsidRPr="00A241EF">
        <w:rPr>
          <w:rFonts w:cs="Times New Roman"/>
          <w:b w:val="0"/>
          <w:color w:val="auto"/>
          <w:sz w:val="24"/>
          <w:szCs w:val="24"/>
        </w:rPr>
        <w:t>, RTD</w:t>
      </w:r>
      <w:r w:rsidRPr="00A241EF">
        <w:rPr>
          <w:rFonts w:cs="Times New Roman"/>
          <w:b w:val="0"/>
          <w:color w:val="auto"/>
          <w:sz w:val="24"/>
          <w:szCs w:val="24"/>
          <w:vertAlign w:val="subscript"/>
        </w:rPr>
        <w:t>50ms</w:t>
      </w:r>
      <w:r w:rsidRPr="00A241EF">
        <w:rPr>
          <w:rFonts w:cs="Times New Roman"/>
          <w:b w:val="0"/>
          <w:color w:val="auto"/>
          <w:sz w:val="24"/>
          <w:szCs w:val="24"/>
        </w:rPr>
        <w:t>, RTD</w:t>
      </w:r>
      <w:r w:rsidRPr="00A241EF">
        <w:rPr>
          <w:rFonts w:cs="Times New Roman"/>
          <w:b w:val="0"/>
          <w:color w:val="auto"/>
          <w:sz w:val="24"/>
          <w:szCs w:val="24"/>
          <w:vertAlign w:val="subscript"/>
        </w:rPr>
        <w:t>100ms</w:t>
      </w:r>
      <w:r w:rsidRPr="00A241EF">
        <w:rPr>
          <w:rFonts w:cs="Times New Roman"/>
          <w:b w:val="0"/>
          <w:color w:val="auto"/>
          <w:sz w:val="24"/>
          <w:szCs w:val="24"/>
        </w:rPr>
        <w:t>, RTD</w:t>
      </w:r>
      <w:r w:rsidRPr="00A241EF">
        <w:rPr>
          <w:rFonts w:cs="Times New Roman"/>
          <w:b w:val="0"/>
          <w:color w:val="auto"/>
          <w:sz w:val="24"/>
          <w:szCs w:val="24"/>
          <w:vertAlign w:val="subscript"/>
        </w:rPr>
        <w:t>150ms</w:t>
      </w:r>
      <w:r w:rsidRPr="00A241EF">
        <w:rPr>
          <w:rFonts w:cs="Times New Roman"/>
          <w:b w:val="0"/>
          <w:color w:val="auto"/>
          <w:sz w:val="24"/>
          <w:szCs w:val="24"/>
        </w:rPr>
        <w:t xml:space="preserve"> (p=0.19) or RTD</w:t>
      </w:r>
      <w:r w:rsidRPr="00A241EF">
        <w:rPr>
          <w:rFonts w:cs="Times New Roman"/>
          <w:b w:val="0"/>
          <w:color w:val="auto"/>
          <w:sz w:val="24"/>
          <w:szCs w:val="24"/>
          <w:vertAlign w:val="subscript"/>
        </w:rPr>
        <w:t>200ms</w:t>
      </w:r>
      <w:proofErr w:type="gramEnd"/>
      <w:r w:rsidRPr="00A241EF">
        <w:rPr>
          <w:rFonts w:cs="Times New Roman"/>
          <w:b w:val="0"/>
          <w:color w:val="auto"/>
          <w:sz w:val="24"/>
          <w:szCs w:val="24"/>
          <w:vertAlign w:val="subscript"/>
        </w:rPr>
        <w:t xml:space="preserve"> </w:t>
      </w:r>
      <w:r w:rsidRPr="00A241EF">
        <w:rPr>
          <w:rFonts w:cs="Times New Roman"/>
          <w:b w:val="0"/>
          <w:color w:val="auto"/>
          <w:sz w:val="24"/>
          <w:szCs w:val="24"/>
        </w:rPr>
        <w:t>(Table 5). No differences were detected between study phases for absolute RTD, regardless of the measurement partition (ie. torque percentage or epochs; Table 5).</w:t>
      </w:r>
    </w:p>
    <w:p w14:paraId="176B155F" w14:textId="3488DD84" w:rsidR="00652245" w:rsidRDefault="00652245" w:rsidP="006C36C2">
      <w:pPr>
        <w:keepNext/>
        <w:spacing w:line="480" w:lineRule="auto"/>
      </w:pPr>
      <w:r>
        <w:rPr>
          <w:noProof/>
          <w:lang w:val="en-US" w:eastAsia="en-US"/>
        </w:rPr>
        <w:lastRenderedPageBreak/>
        <w:drawing>
          <wp:inline distT="0" distB="0" distL="0" distR="0" wp14:anchorId="0C1646D5" wp14:editId="4DA81BFD">
            <wp:extent cx="4876800" cy="3239769"/>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 Peak Torque.pdf"/>
                    <pic:cNvPicPr/>
                  </pic:nvPicPr>
                  <pic:blipFill rotWithShape="1">
                    <a:blip r:embed="rId20">
                      <a:extLst>
                        <a:ext uri="{28A0092B-C50C-407E-A947-70E740481C1C}">
                          <a14:useLocalDpi xmlns:a14="http://schemas.microsoft.com/office/drawing/2010/main" val="0"/>
                        </a:ext>
                      </a:extLst>
                    </a:blip>
                    <a:srcRect r="8669"/>
                    <a:stretch/>
                  </pic:blipFill>
                  <pic:spPr bwMode="auto">
                    <a:xfrm>
                      <a:off x="0" y="0"/>
                      <a:ext cx="4877147" cy="3240000"/>
                    </a:xfrm>
                    <a:prstGeom prst="rect">
                      <a:avLst/>
                    </a:prstGeom>
                    <a:ln>
                      <a:noFill/>
                    </a:ln>
                    <a:extLst>
                      <a:ext uri="{53640926-AAD7-44d8-BBD7-CCE9431645EC}">
                        <a14:shadowObscured xmlns:a14="http://schemas.microsoft.com/office/drawing/2010/main"/>
                      </a:ext>
                    </a:extLst>
                  </pic:spPr>
                </pic:pic>
              </a:graphicData>
            </a:graphic>
          </wp:inline>
        </w:drawing>
      </w:r>
    </w:p>
    <w:p w14:paraId="021F9F9A" w14:textId="1D61004A" w:rsidR="00652245" w:rsidRPr="00B43FBD" w:rsidRDefault="00652245" w:rsidP="00652245">
      <w:pPr>
        <w:pStyle w:val="Caption"/>
        <w:rPr>
          <w:b w:val="0"/>
          <w:color w:val="auto"/>
          <w:sz w:val="24"/>
          <w:szCs w:val="24"/>
        </w:rPr>
      </w:pPr>
      <w:r w:rsidRPr="00B43FBD">
        <w:rPr>
          <w:color w:val="auto"/>
          <w:sz w:val="24"/>
          <w:szCs w:val="24"/>
        </w:rPr>
        <w:t xml:space="preserve">Figure 7. </w:t>
      </w:r>
      <w:r w:rsidRPr="00B43FBD">
        <w:rPr>
          <w:b w:val="0"/>
          <w:color w:val="auto"/>
          <w:sz w:val="24"/>
          <w:szCs w:val="24"/>
        </w:rPr>
        <w:t xml:space="preserve">Knee extensor peak torque production during ISO-MVC measured by Biodex dynamometer. </w:t>
      </w:r>
      <w:r w:rsidRPr="00D36817">
        <w:rPr>
          <w:b w:val="0"/>
          <w:color w:val="auto"/>
          <w:sz w:val="24"/>
          <w:szCs w:val="24"/>
        </w:rPr>
        <w:t>Boxes represent 25-75</w:t>
      </w:r>
      <w:r w:rsidRPr="00D36817">
        <w:rPr>
          <w:b w:val="0"/>
          <w:color w:val="auto"/>
          <w:sz w:val="24"/>
          <w:szCs w:val="24"/>
          <w:vertAlign w:val="superscript"/>
        </w:rPr>
        <w:t>th</w:t>
      </w:r>
      <w:r w:rsidRPr="00D36817">
        <w:rPr>
          <w:b w:val="0"/>
          <w:color w:val="auto"/>
          <w:sz w:val="24"/>
          <w:szCs w:val="24"/>
        </w:rPr>
        <w:t xml:space="preserve"> quartiles, whiskers represent minimum and maximum, horizontal line represents median, cross represents mean</w:t>
      </w:r>
      <w:r w:rsidR="00D124CC">
        <w:rPr>
          <w:b w:val="0"/>
          <w:color w:val="auto"/>
          <w:sz w:val="24"/>
          <w:szCs w:val="24"/>
        </w:rPr>
        <w:t>.</w:t>
      </w:r>
      <w:r w:rsidR="000D21F0">
        <w:rPr>
          <w:b w:val="0"/>
          <w:color w:val="auto"/>
          <w:sz w:val="24"/>
          <w:szCs w:val="24"/>
        </w:rPr>
        <w:t xml:space="preserve"> </w:t>
      </w:r>
      <w:proofErr w:type="gramStart"/>
      <w:r w:rsidR="00225DB1">
        <w:rPr>
          <w:b w:val="0"/>
          <w:color w:val="auto"/>
          <w:sz w:val="24"/>
          <w:szCs w:val="24"/>
        </w:rPr>
        <w:t>n</w:t>
      </w:r>
      <w:proofErr w:type="gramEnd"/>
      <w:r w:rsidR="00225DB1">
        <w:rPr>
          <w:b w:val="0"/>
          <w:color w:val="auto"/>
          <w:sz w:val="24"/>
          <w:szCs w:val="24"/>
        </w:rPr>
        <w:t>=10 (6 men and 4 women)</w:t>
      </w:r>
      <w:r w:rsidR="00225DB1" w:rsidRPr="00D36817">
        <w:rPr>
          <w:b w:val="0"/>
          <w:color w:val="auto"/>
          <w:sz w:val="24"/>
          <w:szCs w:val="24"/>
        </w:rPr>
        <w:t>.</w:t>
      </w:r>
      <w:r>
        <w:rPr>
          <w:b w:val="0"/>
          <w:color w:val="auto"/>
          <w:sz w:val="24"/>
          <w:szCs w:val="24"/>
        </w:rPr>
        <w:br/>
      </w:r>
    </w:p>
    <w:p w14:paraId="78911210" w14:textId="6B81B532" w:rsidR="002E042C" w:rsidRPr="002E042C" w:rsidRDefault="00652245" w:rsidP="002E042C">
      <w:pPr>
        <w:pStyle w:val="Heading3"/>
      </w:pPr>
      <w:bookmarkStart w:id="48" w:name="_Toc296814801"/>
      <w:bookmarkStart w:id="49" w:name="_Toc296932780"/>
      <w:r w:rsidRPr="002E042C">
        <w:t>Physical function</w:t>
      </w:r>
      <w:bookmarkEnd w:id="48"/>
      <w:bookmarkEnd w:id="49"/>
    </w:p>
    <w:p w14:paraId="0725C85A" w14:textId="77777777" w:rsidR="000D21F0" w:rsidRDefault="00652245" w:rsidP="000D21F0">
      <w:pPr>
        <w:spacing w:line="480" w:lineRule="auto"/>
        <w:ind w:firstLine="720"/>
      </w:pPr>
      <w:r>
        <w:t xml:space="preserve">There was no difference in max 30CS, mean 30CS or mean TUG performance from BL to SR (Table 5), however performance was slightly enhanced in the RC phase compared to BL and SR (NS). The time necessary to complete the TUG was increased by 0.4 seconds and was 0.2 seconds faster in RC than BL (NS, p=0.21). No differences from BL to SR to RC were seen for 6MWT, however a trend was evident for an increase in distance travelled at RC compared to BL and SR (p=0.06, Table 5). Estimated </w:t>
      </w:r>
      <w:r w:rsidRPr="000A0FE4">
        <w:rPr>
          <w:rFonts w:cs="Times New Roman"/>
          <w:lang w:val="en-US"/>
        </w:rPr>
        <w:t>V̇</w:t>
      </w:r>
      <w:r>
        <w:t>O</w:t>
      </w:r>
      <w:r>
        <w:rPr>
          <w:vertAlign w:val="subscript"/>
        </w:rPr>
        <w:t>2peak</w:t>
      </w:r>
      <w:r>
        <w:t xml:space="preserve"> was decreased by 4.7 ± 10.5% from BL to SR and returned to near BL values with a 3.8% increase from BL to RC (p = 0.12, Table 5). </w:t>
      </w:r>
    </w:p>
    <w:p w14:paraId="6C0DD533" w14:textId="43733D88" w:rsidR="00652245" w:rsidRPr="00B43FBD" w:rsidRDefault="00652245" w:rsidP="003274B7">
      <w:r w:rsidRPr="00B43FBD">
        <w:rPr>
          <w:b/>
        </w:rPr>
        <w:lastRenderedPageBreak/>
        <w:t>Table 5.</w:t>
      </w:r>
      <w:r w:rsidRPr="00B43FBD">
        <w:t xml:space="preserve"> Summary of physical performance measures</w:t>
      </w:r>
    </w:p>
    <w:tbl>
      <w:tblPr>
        <w:tblW w:w="10437" w:type="dxa"/>
        <w:tblInd w:w="108" w:type="dxa"/>
        <w:tblLook w:val="04A0" w:firstRow="1" w:lastRow="0" w:firstColumn="1" w:lastColumn="0" w:noHBand="0" w:noVBand="1"/>
      </w:tblPr>
      <w:tblGrid>
        <w:gridCol w:w="3746"/>
        <w:gridCol w:w="1397"/>
        <w:gridCol w:w="1397"/>
        <w:gridCol w:w="1398"/>
        <w:gridCol w:w="2499"/>
      </w:tblGrid>
      <w:tr w:rsidR="00521CBD" w:rsidRPr="003B4F49" w14:paraId="6E368397" w14:textId="77777777" w:rsidTr="007867B0">
        <w:trPr>
          <w:gridAfter w:val="1"/>
          <w:wAfter w:w="2499" w:type="dxa"/>
          <w:trHeight w:val="297"/>
        </w:trPr>
        <w:tc>
          <w:tcPr>
            <w:tcW w:w="3746" w:type="dxa"/>
            <w:tcBorders>
              <w:top w:val="single" w:sz="18" w:space="0" w:color="auto"/>
              <w:bottom w:val="single" w:sz="8" w:space="0" w:color="auto"/>
            </w:tcBorders>
            <w:vAlign w:val="center"/>
          </w:tcPr>
          <w:p w14:paraId="69B8E715" w14:textId="77777777" w:rsidR="00652245" w:rsidRPr="003B4F49" w:rsidRDefault="00652245" w:rsidP="00652245">
            <w:pPr>
              <w:spacing w:line="276" w:lineRule="auto"/>
            </w:pPr>
          </w:p>
        </w:tc>
        <w:tc>
          <w:tcPr>
            <w:tcW w:w="1397" w:type="dxa"/>
            <w:tcBorders>
              <w:top w:val="single" w:sz="18" w:space="0" w:color="auto"/>
              <w:bottom w:val="single" w:sz="8" w:space="0" w:color="auto"/>
            </w:tcBorders>
            <w:vAlign w:val="center"/>
          </w:tcPr>
          <w:p w14:paraId="7585FDA6" w14:textId="77777777" w:rsidR="00652245" w:rsidRPr="003B4F49" w:rsidRDefault="00652245" w:rsidP="00652245">
            <w:pPr>
              <w:spacing w:line="276" w:lineRule="auto"/>
              <w:ind w:left="150" w:hanging="150"/>
              <w:jc w:val="center"/>
            </w:pPr>
            <w:r>
              <w:t>BL</w:t>
            </w:r>
          </w:p>
        </w:tc>
        <w:tc>
          <w:tcPr>
            <w:tcW w:w="1397" w:type="dxa"/>
            <w:tcBorders>
              <w:top w:val="single" w:sz="18" w:space="0" w:color="auto"/>
              <w:bottom w:val="single" w:sz="8" w:space="0" w:color="auto"/>
            </w:tcBorders>
            <w:vAlign w:val="center"/>
          </w:tcPr>
          <w:p w14:paraId="3060AE29" w14:textId="77777777" w:rsidR="00652245" w:rsidRPr="003B4F49" w:rsidRDefault="00652245" w:rsidP="00652245">
            <w:pPr>
              <w:spacing w:line="276" w:lineRule="auto"/>
              <w:ind w:left="150" w:hanging="150"/>
              <w:jc w:val="center"/>
            </w:pPr>
            <w:r>
              <w:t>SR</w:t>
            </w:r>
          </w:p>
        </w:tc>
        <w:tc>
          <w:tcPr>
            <w:tcW w:w="1398" w:type="dxa"/>
            <w:tcBorders>
              <w:top w:val="single" w:sz="18" w:space="0" w:color="auto"/>
              <w:bottom w:val="single" w:sz="8" w:space="0" w:color="auto"/>
            </w:tcBorders>
            <w:vAlign w:val="center"/>
          </w:tcPr>
          <w:p w14:paraId="08062142" w14:textId="77777777" w:rsidR="00652245" w:rsidRPr="003B4F49" w:rsidRDefault="00652245" w:rsidP="00652245">
            <w:pPr>
              <w:spacing w:line="276" w:lineRule="auto"/>
              <w:ind w:left="57"/>
              <w:jc w:val="center"/>
            </w:pPr>
            <w:r>
              <w:t>RC</w:t>
            </w:r>
          </w:p>
        </w:tc>
      </w:tr>
      <w:tr w:rsidR="00521CBD" w:rsidRPr="003B4F49" w14:paraId="372C16A6" w14:textId="77777777" w:rsidTr="007867B0">
        <w:trPr>
          <w:gridAfter w:val="1"/>
          <w:wAfter w:w="2499" w:type="dxa"/>
          <w:trHeight w:val="277"/>
        </w:trPr>
        <w:tc>
          <w:tcPr>
            <w:tcW w:w="3746" w:type="dxa"/>
            <w:tcBorders>
              <w:top w:val="single" w:sz="8" w:space="0" w:color="auto"/>
            </w:tcBorders>
            <w:vAlign w:val="center"/>
          </w:tcPr>
          <w:p w14:paraId="3C6334E9" w14:textId="77777777" w:rsidR="00652245" w:rsidRPr="003B4F49" w:rsidRDefault="00652245" w:rsidP="00652245">
            <w:pPr>
              <w:spacing w:line="276" w:lineRule="auto"/>
            </w:pPr>
            <w:r>
              <w:t>Torque</w:t>
            </w:r>
          </w:p>
        </w:tc>
        <w:tc>
          <w:tcPr>
            <w:tcW w:w="1397" w:type="dxa"/>
            <w:tcBorders>
              <w:top w:val="single" w:sz="8" w:space="0" w:color="auto"/>
            </w:tcBorders>
            <w:vAlign w:val="center"/>
          </w:tcPr>
          <w:p w14:paraId="44F1AEA1" w14:textId="77777777" w:rsidR="00652245" w:rsidRPr="003B4F49" w:rsidRDefault="00652245" w:rsidP="00652245">
            <w:pPr>
              <w:spacing w:line="276" w:lineRule="auto"/>
              <w:ind w:left="150" w:hanging="150"/>
              <w:jc w:val="center"/>
            </w:pPr>
          </w:p>
        </w:tc>
        <w:tc>
          <w:tcPr>
            <w:tcW w:w="1397" w:type="dxa"/>
            <w:tcBorders>
              <w:top w:val="single" w:sz="8" w:space="0" w:color="auto"/>
            </w:tcBorders>
            <w:vAlign w:val="center"/>
          </w:tcPr>
          <w:p w14:paraId="06C5241E" w14:textId="77777777" w:rsidR="00652245" w:rsidRPr="003B4F49" w:rsidRDefault="00652245" w:rsidP="00652245">
            <w:pPr>
              <w:spacing w:line="276" w:lineRule="auto"/>
              <w:ind w:left="150" w:hanging="150"/>
              <w:jc w:val="center"/>
            </w:pPr>
          </w:p>
        </w:tc>
        <w:tc>
          <w:tcPr>
            <w:tcW w:w="1398" w:type="dxa"/>
            <w:tcBorders>
              <w:top w:val="single" w:sz="8" w:space="0" w:color="auto"/>
            </w:tcBorders>
            <w:vAlign w:val="center"/>
          </w:tcPr>
          <w:p w14:paraId="54074D44" w14:textId="77777777" w:rsidR="00652245" w:rsidRPr="003B4F49" w:rsidRDefault="00652245" w:rsidP="00652245">
            <w:pPr>
              <w:spacing w:line="276" w:lineRule="auto"/>
              <w:ind w:left="57"/>
              <w:jc w:val="center"/>
            </w:pPr>
          </w:p>
        </w:tc>
      </w:tr>
      <w:tr w:rsidR="00521CBD" w14:paraId="150BF5D5" w14:textId="77777777" w:rsidTr="007867B0">
        <w:trPr>
          <w:gridAfter w:val="1"/>
          <w:wAfter w:w="2499" w:type="dxa"/>
          <w:trHeight w:val="277"/>
        </w:trPr>
        <w:tc>
          <w:tcPr>
            <w:tcW w:w="3746" w:type="dxa"/>
            <w:vAlign w:val="center"/>
          </w:tcPr>
          <w:p w14:paraId="316DBC31" w14:textId="77777777" w:rsidR="00652245" w:rsidRDefault="00652245" w:rsidP="00652245">
            <w:pPr>
              <w:spacing w:line="276" w:lineRule="auto"/>
              <w:ind w:left="-108" w:firstLine="108"/>
            </w:pPr>
            <w:r>
              <w:t xml:space="preserve">     ISO-MVC</w:t>
            </w:r>
            <w:r>
              <w:rPr>
                <w:vertAlign w:val="subscript"/>
              </w:rPr>
              <w:t>p</w:t>
            </w:r>
            <w:r w:rsidRPr="00327775">
              <w:rPr>
                <w:vertAlign w:val="subscript"/>
              </w:rPr>
              <w:t>eak</w:t>
            </w:r>
            <w:r>
              <w:t xml:space="preserve"> (Nm)</w:t>
            </w:r>
          </w:p>
        </w:tc>
        <w:tc>
          <w:tcPr>
            <w:tcW w:w="1397" w:type="dxa"/>
            <w:vAlign w:val="center"/>
          </w:tcPr>
          <w:p w14:paraId="59D96E21" w14:textId="77777777" w:rsidR="00652245" w:rsidRDefault="00652245" w:rsidP="00652245">
            <w:pPr>
              <w:spacing w:line="276" w:lineRule="auto"/>
              <w:ind w:left="150" w:hanging="150"/>
              <w:jc w:val="center"/>
            </w:pPr>
            <w:r>
              <w:t>147 ± 29</w:t>
            </w:r>
          </w:p>
        </w:tc>
        <w:tc>
          <w:tcPr>
            <w:tcW w:w="1397" w:type="dxa"/>
            <w:vAlign w:val="center"/>
          </w:tcPr>
          <w:p w14:paraId="0562C906" w14:textId="77777777" w:rsidR="00652245" w:rsidRDefault="00652245" w:rsidP="00652245">
            <w:pPr>
              <w:spacing w:line="276" w:lineRule="auto"/>
              <w:ind w:left="150" w:hanging="150"/>
              <w:jc w:val="center"/>
            </w:pPr>
            <w:r>
              <w:t>147 ± 32</w:t>
            </w:r>
          </w:p>
        </w:tc>
        <w:tc>
          <w:tcPr>
            <w:tcW w:w="1398" w:type="dxa"/>
            <w:vAlign w:val="center"/>
          </w:tcPr>
          <w:p w14:paraId="39C6A746" w14:textId="77777777" w:rsidR="00652245" w:rsidRDefault="00652245" w:rsidP="00652245">
            <w:pPr>
              <w:spacing w:line="276" w:lineRule="auto"/>
              <w:ind w:left="57"/>
              <w:jc w:val="center"/>
            </w:pPr>
            <w:r>
              <w:t>144 ± 31</w:t>
            </w:r>
          </w:p>
        </w:tc>
      </w:tr>
      <w:tr w:rsidR="00521CBD" w14:paraId="48BB586A" w14:textId="77777777" w:rsidTr="007867B0">
        <w:trPr>
          <w:gridAfter w:val="1"/>
          <w:wAfter w:w="2499" w:type="dxa"/>
          <w:trHeight w:val="277"/>
        </w:trPr>
        <w:tc>
          <w:tcPr>
            <w:tcW w:w="3746" w:type="dxa"/>
            <w:vAlign w:val="center"/>
          </w:tcPr>
          <w:p w14:paraId="06E2B836" w14:textId="77777777" w:rsidR="00652245" w:rsidRDefault="00652245" w:rsidP="00652245">
            <w:pPr>
              <w:spacing w:line="276" w:lineRule="auto"/>
            </w:pPr>
            <w:r>
              <w:t xml:space="preserve">     ISO-MVC</w:t>
            </w:r>
            <w:r>
              <w:rPr>
                <w:vertAlign w:val="subscript"/>
              </w:rPr>
              <w:t>m</w:t>
            </w:r>
            <w:r w:rsidRPr="00327775">
              <w:rPr>
                <w:vertAlign w:val="subscript"/>
              </w:rPr>
              <w:t>ean</w:t>
            </w:r>
            <w:r>
              <w:t xml:space="preserve"> (Nm)</w:t>
            </w:r>
          </w:p>
        </w:tc>
        <w:tc>
          <w:tcPr>
            <w:tcW w:w="1397" w:type="dxa"/>
            <w:vAlign w:val="center"/>
          </w:tcPr>
          <w:p w14:paraId="42C19C33" w14:textId="77777777" w:rsidR="00652245" w:rsidRDefault="00652245" w:rsidP="00652245">
            <w:pPr>
              <w:spacing w:line="276" w:lineRule="auto"/>
              <w:ind w:left="150" w:hanging="150"/>
              <w:jc w:val="center"/>
            </w:pPr>
            <w:r>
              <w:t>142 ± 26</w:t>
            </w:r>
          </w:p>
        </w:tc>
        <w:tc>
          <w:tcPr>
            <w:tcW w:w="1397" w:type="dxa"/>
            <w:vAlign w:val="center"/>
          </w:tcPr>
          <w:p w14:paraId="18922D4B" w14:textId="77777777" w:rsidR="00652245" w:rsidRDefault="00652245" w:rsidP="00652245">
            <w:pPr>
              <w:spacing w:line="276" w:lineRule="auto"/>
              <w:ind w:left="150" w:hanging="150"/>
              <w:jc w:val="center"/>
            </w:pPr>
            <w:r>
              <w:t>140 ± 33</w:t>
            </w:r>
          </w:p>
        </w:tc>
        <w:tc>
          <w:tcPr>
            <w:tcW w:w="1398" w:type="dxa"/>
            <w:vAlign w:val="center"/>
          </w:tcPr>
          <w:p w14:paraId="3AE044C7" w14:textId="77777777" w:rsidR="00652245" w:rsidRDefault="00652245" w:rsidP="00652245">
            <w:pPr>
              <w:spacing w:line="276" w:lineRule="auto"/>
              <w:ind w:left="57"/>
              <w:jc w:val="center"/>
            </w:pPr>
            <w:r>
              <w:t>138 ± 30</w:t>
            </w:r>
          </w:p>
        </w:tc>
      </w:tr>
      <w:tr w:rsidR="00521CBD" w14:paraId="2564011F" w14:textId="77777777" w:rsidTr="007867B0">
        <w:trPr>
          <w:gridAfter w:val="1"/>
          <w:wAfter w:w="2499" w:type="dxa"/>
          <w:trHeight w:val="277"/>
        </w:trPr>
        <w:tc>
          <w:tcPr>
            <w:tcW w:w="3746" w:type="dxa"/>
            <w:vAlign w:val="center"/>
          </w:tcPr>
          <w:p w14:paraId="563BB758" w14:textId="0FF9F375" w:rsidR="00652245" w:rsidRPr="003155D8" w:rsidRDefault="00652245" w:rsidP="00652245">
            <w:pPr>
              <w:spacing w:line="276" w:lineRule="auto"/>
            </w:pPr>
            <w:r>
              <w:t xml:space="preserve">     Rel. ISO-MVC</w:t>
            </w:r>
            <w:r>
              <w:rPr>
                <w:vertAlign w:val="subscript"/>
              </w:rPr>
              <w:t>p</w:t>
            </w:r>
            <w:r w:rsidRPr="00327775">
              <w:rPr>
                <w:vertAlign w:val="subscript"/>
              </w:rPr>
              <w:t>eak</w:t>
            </w:r>
            <w:r>
              <w:t xml:space="preserve"> (Nm </w:t>
            </w:r>
            <w:r>
              <w:sym w:font="Symbol" w:char="F0B7"/>
            </w:r>
            <w:r>
              <w:t xml:space="preserve"> kg</w:t>
            </w:r>
            <w:r>
              <w:rPr>
                <w:vertAlign w:val="superscript"/>
              </w:rPr>
              <w:t>-1</w:t>
            </w:r>
            <w:r>
              <w:t>)</w:t>
            </w:r>
          </w:p>
        </w:tc>
        <w:tc>
          <w:tcPr>
            <w:tcW w:w="1397" w:type="dxa"/>
            <w:vAlign w:val="center"/>
          </w:tcPr>
          <w:p w14:paraId="4BF586D5" w14:textId="77777777" w:rsidR="00652245" w:rsidRDefault="00652245" w:rsidP="00652245">
            <w:pPr>
              <w:spacing w:line="276" w:lineRule="auto"/>
              <w:ind w:left="150" w:hanging="150"/>
              <w:jc w:val="center"/>
            </w:pPr>
            <w:r>
              <w:t>2.0 ± 0.3</w:t>
            </w:r>
          </w:p>
        </w:tc>
        <w:tc>
          <w:tcPr>
            <w:tcW w:w="1397" w:type="dxa"/>
            <w:vAlign w:val="center"/>
          </w:tcPr>
          <w:p w14:paraId="25426762" w14:textId="77777777" w:rsidR="00652245" w:rsidRDefault="00652245" w:rsidP="00652245">
            <w:pPr>
              <w:spacing w:line="276" w:lineRule="auto"/>
              <w:ind w:left="150" w:hanging="150"/>
              <w:jc w:val="center"/>
            </w:pPr>
            <w:r>
              <w:t>2.0 ± 0.4</w:t>
            </w:r>
          </w:p>
        </w:tc>
        <w:tc>
          <w:tcPr>
            <w:tcW w:w="1398" w:type="dxa"/>
            <w:vAlign w:val="center"/>
          </w:tcPr>
          <w:p w14:paraId="7F84D172" w14:textId="77777777" w:rsidR="00652245" w:rsidRDefault="00652245" w:rsidP="00652245">
            <w:pPr>
              <w:spacing w:line="276" w:lineRule="auto"/>
              <w:ind w:left="57"/>
              <w:jc w:val="center"/>
            </w:pPr>
            <w:r>
              <w:t>1.9 ± 0.4</w:t>
            </w:r>
          </w:p>
        </w:tc>
      </w:tr>
      <w:tr w:rsidR="00521CBD" w14:paraId="30E8E677" w14:textId="77777777" w:rsidTr="007867B0">
        <w:trPr>
          <w:gridAfter w:val="1"/>
          <w:wAfter w:w="2499" w:type="dxa"/>
          <w:trHeight w:val="277"/>
        </w:trPr>
        <w:tc>
          <w:tcPr>
            <w:tcW w:w="3746" w:type="dxa"/>
            <w:vAlign w:val="center"/>
          </w:tcPr>
          <w:p w14:paraId="088BBBBC" w14:textId="677E2DB6" w:rsidR="00652245" w:rsidRDefault="00652245" w:rsidP="007867B0">
            <w:pPr>
              <w:spacing w:line="276" w:lineRule="auto"/>
            </w:pPr>
            <w:r>
              <w:t xml:space="preserve">     Rel. ISO-MVC</w:t>
            </w:r>
            <w:r>
              <w:rPr>
                <w:vertAlign w:val="subscript"/>
              </w:rPr>
              <w:t>m</w:t>
            </w:r>
            <w:r w:rsidRPr="00327775">
              <w:rPr>
                <w:vertAlign w:val="subscript"/>
              </w:rPr>
              <w:t>ean</w:t>
            </w:r>
            <w:r>
              <w:rPr>
                <w:vertAlign w:val="subscript"/>
              </w:rPr>
              <w:t xml:space="preserve"> </w:t>
            </w:r>
            <w:r>
              <w:t xml:space="preserve">(Nm </w:t>
            </w:r>
            <w:r>
              <w:sym w:font="Symbol" w:char="F0B7"/>
            </w:r>
            <w:r>
              <w:t xml:space="preserve"> kg</w:t>
            </w:r>
            <w:r>
              <w:rPr>
                <w:vertAlign w:val="superscript"/>
              </w:rPr>
              <w:t>-1</w:t>
            </w:r>
            <w:r>
              <w:t>)</w:t>
            </w:r>
          </w:p>
        </w:tc>
        <w:tc>
          <w:tcPr>
            <w:tcW w:w="1397" w:type="dxa"/>
            <w:vAlign w:val="center"/>
          </w:tcPr>
          <w:p w14:paraId="73ADDAFC" w14:textId="77777777" w:rsidR="00652245" w:rsidRDefault="00652245" w:rsidP="00652245">
            <w:pPr>
              <w:spacing w:line="276" w:lineRule="auto"/>
              <w:ind w:left="150" w:hanging="150"/>
              <w:jc w:val="center"/>
            </w:pPr>
            <w:r>
              <w:t>1.9 ± 0.3</w:t>
            </w:r>
          </w:p>
        </w:tc>
        <w:tc>
          <w:tcPr>
            <w:tcW w:w="1397" w:type="dxa"/>
            <w:vAlign w:val="center"/>
          </w:tcPr>
          <w:p w14:paraId="6FB6DE85" w14:textId="77777777" w:rsidR="00652245" w:rsidRDefault="00652245" w:rsidP="00652245">
            <w:pPr>
              <w:spacing w:line="276" w:lineRule="auto"/>
              <w:ind w:left="150" w:hanging="150"/>
              <w:jc w:val="center"/>
            </w:pPr>
            <w:r>
              <w:t>1.9 ± 0.3</w:t>
            </w:r>
          </w:p>
        </w:tc>
        <w:tc>
          <w:tcPr>
            <w:tcW w:w="1398" w:type="dxa"/>
            <w:vAlign w:val="center"/>
          </w:tcPr>
          <w:p w14:paraId="55838096" w14:textId="77777777" w:rsidR="00652245" w:rsidRDefault="00652245" w:rsidP="00652245">
            <w:pPr>
              <w:spacing w:line="276" w:lineRule="auto"/>
              <w:ind w:left="57"/>
              <w:jc w:val="center"/>
            </w:pPr>
            <w:r>
              <w:t>1.9 ± 0.4</w:t>
            </w:r>
          </w:p>
        </w:tc>
      </w:tr>
      <w:tr w:rsidR="00521CBD" w14:paraId="66917CD0" w14:textId="77777777" w:rsidTr="007867B0">
        <w:trPr>
          <w:gridAfter w:val="1"/>
          <w:wAfter w:w="2499" w:type="dxa"/>
          <w:trHeight w:val="277"/>
        </w:trPr>
        <w:tc>
          <w:tcPr>
            <w:tcW w:w="3746" w:type="dxa"/>
            <w:vAlign w:val="center"/>
          </w:tcPr>
          <w:p w14:paraId="71DE3340" w14:textId="6EAC9A72" w:rsidR="00652245" w:rsidRPr="00304343" w:rsidRDefault="00652245" w:rsidP="007867B0">
            <w:pPr>
              <w:spacing w:line="276" w:lineRule="auto"/>
            </w:pPr>
            <w:r>
              <w:t>RTD/ISO-MVC</w:t>
            </w:r>
            <w:r w:rsidR="00521CBD">
              <w:t xml:space="preserve"> (NM </w:t>
            </w:r>
            <w:r w:rsidR="00521CBD">
              <w:sym w:font="Symbol" w:char="F0B7"/>
            </w:r>
            <w:r w:rsidR="00521CBD">
              <w:t xml:space="preserve"> s</w:t>
            </w:r>
            <w:r w:rsidR="00521CBD">
              <w:rPr>
                <w:vertAlign w:val="superscript"/>
              </w:rPr>
              <w:t xml:space="preserve">-1 </w:t>
            </w:r>
            <w:r w:rsidR="00521CBD">
              <w:sym w:font="Symbol" w:char="F0B7"/>
            </w:r>
            <w:r w:rsidR="00521CBD">
              <w:t xml:space="preserve"> Nm</w:t>
            </w:r>
            <w:r w:rsidR="00521CBD">
              <w:rPr>
                <w:vertAlign w:val="superscript"/>
              </w:rPr>
              <w:t>-1</w:t>
            </w:r>
            <w:r w:rsidR="00304343">
              <w:t>)</w:t>
            </w:r>
          </w:p>
        </w:tc>
        <w:tc>
          <w:tcPr>
            <w:tcW w:w="1397" w:type="dxa"/>
            <w:vAlign w:val="center"/>
          </w:tcPr>
          <w:p w14:paraId="74611E26" w14:textId="77777777" w:rsidR="00652245" w:rsidRDefault="00652245" w:rsidP="00652245">
            <w:pPr>
              <w:spacing w:line="276" w:lineRule="auto"/>
              <w:ind w:left="150" w:hanging="150"/>
              <w:jc w:val="center"/>
            </w:pPr>
          </w:p>
        </w:tc>
        <w:tc>
          <w:tcPr>
            <w:tcW w:w="1397" w:type="dxa"/>
            <w:vAlign w:val="center"/>
          </w:tcPr>
          <w:p w14:paraId="4CCE9A67" w14:textId="77777777" w:rsidR="00652245" w:rsidRDefault="00652245" w:rsidP="00652245">
            <w:pPr>
              <w:spacing w:line="276" w:lineRule="auto"/>
              <w:ind w:left="150" w:hanging="150"/>
              <w:jc w:val="center"/>
            </w:pPr>
          </w:p>
        </w:tc>
        <w:tc>
          <w:tcPr>
            <w:tcW w:w="1398" w:type="dxa"/>
            <w:vAlign w:val="center"/>
          </w:tcPr>
          <w:p w14:paraId="2D065256" w14:textId="77777777" w:rsidR="00652245" w:rsidRDefault="00652245" w:rsidP="00652245">
            <w:pPr>
              <w:spacing w:line="276" w:lineRule="auto"/>
              <w:ind w:left="57"/>
              <w:jc w:val="center"/>
            </w:pPr>
          </w:p>
        </w:tc>
      </w:tr>
      <w:tr w:rsidR="00521CBD" w14:paraId="17D88123" w14:textId="77777777" w:rsidTr="007867B0">
        <w:trPr>
          <w:gridAfter w:val="1"/>
          <w:wAfter w:w="2499" w:type="dxa"/>
          <w:trHeight w:val="277"/>
        </w:trPr>
        <w:tc>
          <w:tcPr>
            <w:tcW w:w="3746" w:type="dxa"/>
            <w:vAlign w:val="center"/>
          </w:tcPr>
          <w:p w14:paraId="766E3404" w14:textId="58F847D6" w:rsidR="00652245" w:rsidRDefault="00652245" w:rsidP="00521CBD">
            <w:pPr>
              <w:spacing w:line="276" w:lineRule="auto"/>
            </w:pPr>
            <w:r>
              <w:t xml:space="preserve">     RTD</w:t>
            </w:r>
            <w:r>
              <w:rPr>
                <w:vertAlign w:val="subscript"/>
              </w:rPr>
              <w:t>peak</w:t>
            </w:r>
            <w:r>
              <w:t xml:space="preserve"> </w:t>
            </w:r>
          </w:p>
        </w:tc>
        <w:tc>
          <w:tcPr>
            <w:tcW w:w="1397" w:type="dxa"/>
            <w:vAlign w:val="center"/>
          </w:tcPr>
          <w:p w14:paraId="7CCE7256" w14:textId="77777777" w:rsidR="00652245" w:rsidRPr="00B85326" w:rsidRDefault="00652245" w:rsidP="00652245">
            <w:pPr>
              <w:spacing w:line="276" w:lineRule="auto"/>
              <w:ind w:left="150" w:hanging="150"/>
              <w:jc w:val="center"/>
            </w:pPr>
            <w:r w:rsidRPr="00B85326">
              <w:t>10.6 ± 5.8</w:t>
            </w:r>
          </w:p>
        </w:tc>
        <w:tc>
          <w:tcPr>
            <w:tcW w:w="1397" w:type="dxa"/>
            <w:vAlign w:val="center"/>
          </w:tcPr>
          <w:p w14:paraId="17055B3C" w14:textId="77777777" w:rsidR="00652245" w:rsidRPr="00B85326" w:rsidRDefault="00652245" w:rsidP="00652245">
            <w:pPr>
              <w:spacing w:line="276" w:lineRule="auto"/>
              <w:ind w:left="150" w:hanging="150"/>
              <w:jc w:val="center"/>
            </w:pPr>
            <w:r w:rsidRPr="00B85326">
              <w:t>11.1 ± 4.6</w:t>
            </w:r>
          </w:p>
        </w:tc>
        <w:tc>
          <w:tcPr>
            <w:tcW w:w="1398" w:type="dxa"/>
            <w:vAlign w:val="center"/>
          </w:tcPr>
          <w:p w14:paraId="4389C85D" w14:textId="77777777" w:rsidR="00652245" w:rsidRPr="00B85326" w:rsidRDefault="00652245" w:rsidP="00652245">
            <w:pPr>
              <w:spacing w:line="276" w:lineRule="auto"/>
              <w:ind w:left="57"/>
              <w:jc w:val="center"/>
            </w:pPr>
            <w:r w:rsidRPr="00B85326">
              <w:t>10.7 ± 7.3</w:t>
            </w:r>
          </w:p>
        </w:tc>
      </w:tr>
      <w:tr w:rsidR="00521CBD" w14:paraId="49A19FA2" w14:textId="77777777" w:rsidTr="007867B0">
        <w:trPr>
          <w:gridAfter w:val="1"/>
          <w:wAfter w:w="2499" w:type="dxa"/>
          <w:trHeight w:val="277"/>
        </w:trPr>
        <w:tc>
          <w:tcPr>
            <w:tcW w:w="3746" w:type="dxa"/>
            <w:vAlign w:val="center"/>
          </w:tcPr>
          <w:p w14:paraId="67DEDE06" w14:textId="47E8C558" w:rsidR="00652245" w:rsidRPr="00A90049" w:rsidRDefault="00652245" w:rsidP="00521CBD">
            <w:pPr>
              <w:spacing w:line="276" w:lineRule="auto"/>
            </w:pPr>
            <w:r>
              <w:t xml:space="preserve">     RTD</w:t>
            </w:r>
            <w:r>
              <w:rPr>
                <w:vertAlign w:val="subscript"/>
              </w:rPr>
              <w:t>25%</w:t>
            </w:r>
            <w:r>
              <w:t xml:space="preserve"> </w:t>
            </w:r>
          </w:p>
        </w:tc>
        <w:tc>
          <w:tcPr>
            <w:tcW w:w="1397" w:type="dxa"/>
            <w:vAlign w:val="center"/>
          </w:tcPr>
          <w:p w14:paraId="6BF882DD" w14:textId="77777777" w:rsidR="00652245" w:rsidRDefault="00652245" w:rsidP="00652245">
            <w:pPr>
              <w:spacing w:line="276" w:lineRule="auto"/>
              <w:ind w:left="150" w:hanging="150"/>
              <w:jc w:val="center"/>
            </w:pPr>
            <w:r>
              <w:t>6.8 ± 3.8</w:t>
            </w:r>
          </w:p>
        </w:tc>
        <w:tc>
          <w:tcPr>
            <w:tcW w:w="1397" w:type="dxa"/>
            <w:vAlign w:val="center"/>
          </w:tcPr>
          <w:p w14:paraId="37C14DB3" w14:textId="77777777" w:rsidR="00652245" w:rsidRDefault="00652245" w:rsidP="00652245">
            <w:pPr>
              <w:spacing w:line="276" w:lineRule="auto"/>
              <w:ind w:left="150" w:hanging="150"/>
              <w:jc w:val="center"/>
            </w:pPr>
            <w:r>
              <w:t>7.1 ± 3.4</w:t>
            </w:r>
          </w:p>
        </w:tc>
        <w:tc>
          <w:tcPr>
            <w:tcW w:w="1398" w:type="dxa"/>
            <w:vAlign w:val="center"/>
          </w:tcPr>
          <w:p w14:paraId="0DCE97C9" w14:textId="77777777" w:rsidR="00652245" w:rsidRDefault="00652245" w:rsidP="00652245">
            <w:pPr>
              <w:spacing w:line="276" w:lineRule="auto"/>
              <w:ind w:left="57"/>
              <w:jc w:val="center"/>
            </w:pPr>
            <w:r>
              <w:t>6.0 ± 4.3</w:t>
            </w:r>
          </w:p>
        </w:tc>
      </w:tr>
      <w:tr w:rsidR="00521CBD" w14:paraId="1CDE7DE4" w14:textId="77777777" w:rsidTr="007867B0">
        <w:trPr>
          <w:gridAfter w:val="1"/>
          <w:wAfter w:w="2499" w:type="dxa"/>
          <w:trHeight w:val="277"/>
        </w:trPr>
        <w:tc>
          <w:tcPr>
            <w:tcW w:w="3746" w:type="dxa"/>
            <w:vAlign w:val="center"/>
          </w:tcPr>
          <w:p w14:paraId="5875EABC" w14:textId="47E78A53" w:rsidR="00652245" w:rsidRPr="004945D3" w:rsidRDefault="00652245" w:rsidP="00521CBD">
            <w:pPr>
              <w:spacing w:line="276" w:lineRule="auto"/>
            </w:pPr>
            <w:r>
              <w:t xml:space="preserve">     RTD</w:t>
            </w:r>
            <w:r>
              <w:rPr>
                <w:vertAlign w:val="subscript"/>
              </w:rPr>
              <w:t>75%</w:t>
            </w:r>
            <w:r>
              <w:t xml:space="preserve"> </w:t>
            </w:r>
          </w:p>
        </w:tc>
        <w:tc>
          <w:tcPr>
            <w:tcW w:w="1397" w:type="dxa"/>
            <w:vAlign w:val="center"/>
          </w:tcPr>
          <w:p w14:paraId="3EBB02D1" w14:textId="77777777" w:rsidR="00652245" w:rsidRDefault="00652245" w:rsidP="00652245">
            <w:pPr>
              <w:spacing w:line="276" w:lineRule="auto"/>
              <w:ind w:left="150" w:hanging="150"/>
              <w:jc w:val="center"/>
            </w:pPr>
            <w:r>
              <w:t>2.7 ± 0.9</w:t>
            </w:r>
          </w:p>
        </w:tc>
        <w:tc>
          <w:tcPr>
            <w:tcW w:w="1397" w:type="dxa"/>
            <w:vAlign w:val="center"/>
          </w:tcPr>
          <w:p w14:paraId="2767E192" w14:textId="77777777" w:rsidR="00652245" w:rsidRDefault="00652245" w:rsidP="00652245">
            <w:pPr>
              <w:spacing w:line="276" w:lineRule="auto"/>
              <w:ind w:left="150" w:hanging="150"/>
              <w:jc w:val="center"/>
            </w:pPr>
            <w:r>
              <w:t>2.2 ± 1.1</w:t>
            </w:r>
          </w:p>
        </w:tc>
        <w:tc>
          <w:tcPr>
            <w:tcW w:w="1398" w:type="dxa"/>
            <w:vAlign w:val="center"/>
          </w:tcPr>
          <w:p w14:paraId="5745691E" w14:textId="77777777" w:rsidR="00652245" w:rsidRDefault="00652245" w:rsidP="00652245">
            <w:pPr>
              <w:spacing w:line="276" w:lineRule="auto"/>
              <w:ind w:left="57"/>
              <w:jc w:val="center"/>
            </w:pPr>
            <w:r>
              <w:t>2.5 ± 1.3</w:t>
            </w:r>
          </w:p>
        </w:tc>
      </w:tr>
      <w:tr w:rsidR="00521CBD" w14:paraId="7FEFAEC9" w14:textId="77777777" w:rsidTr="007867B0">
        <w:trPr>
          <w:gridAfter w:val="1"/>
          <w:wAfter w:w="2499" w:type="dxa"/>
          <w:trHeight w:val="277"/>
        </w:trPr>
        <w:tc>
          <w:tcPr>
            <w:tcW w:w="3746" w:type="dxa"/>
            <w:vAlign w:val="center"/>
          </w:tcPr>
          <w:p w14:paraId="1E904D13" w14:textId="18B26553" w:rsidR="00652245" w:rsidRDefault="00652245" w:rsidP="00521CBD">
            <w:pPr>
              <w:spacing w:line="276" w:lineRule="auto"/>
            </w:pPr>
            <w:r>
              <w:t xml:space="preserve">     RTD</w:t>
            </w:r>
            <w:r>
              <w:rPr>
                <w:vertAlign w:val="subscript"/>
              </w:rPr>
              <w:t>100%</w:t>
            </w:r>
            <w:r>
              <w:t xml:space="preserve"> </w:t>
            </w:r>
          </w:p>
        </w:tc>
        <w:tc>
          <w:tcPr>
            <w:tcW w:w="1397" w:type="dxa"/>
            <w:vAlign w:val="center"/>
          </w:tcPr>
          <w:p w14:paraId="20E9A30D" w14:textId="77777777" w:rsidR="00652245" w:rsidRDefault="00652245" w:rsidP="00652245">
            <w:pPr>
              <w:spacing w:line="276" w:lineRule="auto"/>
              <w:ind w:left="150" w:hanging="150"/>
              <w:jc w:val="center"/>
            </w:pPr>
            <w:r>
              <w:t>0.3 ± 0.2</w:t>
            </w:r>
          </w:p>
        </w:tc>
        <w:tc>
          <w:tcPr>
            <w:tcW w:w="1397" w:type="dxa"/>
            <w:vAlign w:val="center"/>
          </w:tcPr>
          <w:p w14:paraId="3E20F8B3" w14:textId="77777777" w:rsidR="00652245" w:rsidRDefault="00652245" w:rsidP="00652245">
            <w:pPr>
              <w:spacing w:line="276" w:lineRule="auto"/>
              <w:ind w:left="150" w:hanging="150"/>
              <w:jc w:val="center"/>
            </w:pPr>
            <w:r>
              <w:t>0.4 ± 0.3</w:t>
            </w:r>
          </w:p>
        </w:tc>
        <w:tc>
          <w:tcPr>
            <w:tcW w:w="1398" w:type="dxa"/>
            <w:vAlign w:val="center"/>
          </w:tcPr>
          <w:p w14:paraId="11F1AFBD" w14:textId="77777777" w:rsidR="00652245" w:rsidRDefault="00652245" w:rsidP="00652245">
            <w:pPr>
              <w:spacing w:line="276" w:lineRule="auto"/>
              <w:ind w:left="57"/>
              <w:jc w:val="center"/>
            </w:pPr>
            <w:r>
              <w:t>0.4 ± 0.6</w:t>
            </w:r>
          </w:p>
        </w:tc>
      </w:tr>
      <w:tr w:rsidR="00521CBD" w14:paraId="7A2A4691" w14:textId="77777777" w:rsidTr="007867B0">
        <w:trPr>
          <w:gridAfter w:val="1"/>
          <w:wAfter w:w="2499" w:type="dxa"/>
          <w:trHeight w:val="277"/>
        </w:trPr>
        <w:tc>
          <w:tcPr>
            <w:tcW w:w="3746" w:type="dxa"/>
            <w:vAlign w:val="center"/>
          </w:tcPr>
          <w:p w14:paraId="29116003" w14:textId="0EE5EC75" w:rsidR="00652245" w:rsidRPr="002C5626" w:rsidRDefault="00652245" w:rsidP="00521CBD">
            <w:pPr>
              <w:spacing w:line="276" w:lineRule="auto"/>
              <w:rPr>
                <w:vertAlign w:val="subscript"/>
              </w:rPr>
            </w:pPr>
            <w:r>
              <w:t xml:space="preserve">     RTD</w:t>
            </w:r>
            <w:r>
              <w:rPr>
                <w:vertAlign w:val="subscript"/>
              </w:rPr>
              <w:t xml:space="preserve">50 </w:t>
            </w:r>
          </w:p>
        </w:tc>
        <w:tc>
          <w:tcPr>
            <w:tcW w:w="1397" w:type="dxa"/>
            <w:vAlign w:val="center"/>
          </w:tcPr>
          <w:p w14:paraId="1A9D2AD5" w14:textId="77777777" w:rsidR="00652245" w:rsidRDefault="00652245" w:rsidP="00652245">
            <w:pPr>
              <w:spacing w:line="276" w:lineRule="auto"/>
              <w:ind w:left="150" w:hanging="150"/>
              <w:jc w:val="center"/>
            </w:pPr>
            <w:r>
              <w:t>5.6 ± 1.6</w:t>
            </w:r>
          </w:p>
        </w:tc>
        <w:tc>
          <w:tcPr>
            <w:tcW w:w="1397" w:type="dxa"/>
            <w:vAlign w:val="center"/>
          </w:tcPr>
          <w:p w14:paraId="1A80FBC2" w14:textId="77777777" w:rsidR="00652245" w:rsidRDefault="00652245" w:rsidP="00652245">
            <w:pPr>
              <w:spacing w:line="276" w:lineRule="auto"/>
              <w:ind w:left="150" w:hanging="150"/>
              <w:jc w:val="center"/>
            </w:pPr>
            <w:r>
              <w:t>5.5 ± 1.6</w:t>
            </w:r>
          </w:p>
        </w:tc>
        <w:tc>
          <w:tcPr>
            <w:tcW w:w="1398" w:type="dxa"/>
            <w:vAlign w:val="center"/>
          </w:tcPr>
          <w:p w14:paraId="6146F4CD" w14:textId="77777777" w:rsidR="00652245" w:rsidRDefault="00652245" w:rsidP="00652245">
            <w:pPr>
              <w:spacing w:line="276" w:lineRule="auto"/>
              <w:ind w:left="57"/>
              <w:jc w:val="center"/>
            </w:pPr>
            <w:r>
              <w:t>5.1 ± 2.9</w:t>
            </w:r>
          </w:p>
        </w:tc>
      </w:tr>
      <w:tr w:rsidR="00521CBD" w14:paraId="12B3C3B7" w14:textId="77777777" w:rsidTr="007867B0">
        <w:trPr>
          <w:gridAfter w:val="1"/>
          <w:wAfter w:w="2499" w:type="dxa"/>
          <w:trHeight w:val="277"/>
        </w:trPr>
        <w:tc>
          <w:tcPr>
            <w:tcW w:w="3746" w:type="dxa"/>
            <w:vAlign w:val="center"/>
          </w:tcPr>
          <w:p w14:paraId="42E230AC" w14:textId="25AD0D09" w:rsidR="00652245" w:rsidRDefault="00652245" w:rsidP="00521CBD">
            <w:pPr>
              <w:spacing w:line="276" w:lineRule="auto"/>
            </w:pPr>
            <w:r>
              <w:t xml:space="preserve">     RTD</w:t>
            </w:r>
            <w:r>
              <w:rPr>
                <w:vertAlign w:val="subscript"/>
              </w:rPr>
              <w:t xml:space="preserve">100 </w:t>
            </w:r>
          </w:p>
        </w:tc>
        <w:tc>
          <w:tcPr>
            <w:tcW w:w="1397" w:type="dxa"/>
            <w:vAlign w:val="center"/>
          </w:tcPr>
          <w:p w14:paraId="7A720408" w14:textId="77777777" w:rsidR="00652245" w:rsidRPr="00901937" w:rsidRDefault="00652245" w:rsidP="00652245">
            <w:pPr>
              <w:spacing w:line="276" w:lineRule="auto"/>
              <w:ind w:left="150" w:hanging="150"/>
              <w:jc w:val="center"/>
            </w:pPr>
            <w:r>
              <w:t>3.5 ± 0.7</w:t>
            </w:r>
          </w:p>
        </w:tc>
        <w:tc>
          <w:tcPr>
            <w:tcW w:w="1397" w:type="dxa"/>
            <w:vAlign w:val="center"/>
          </w:tcPr>
          <w:p w14:paraId="0311A70A" w14:textId="77777777" w:rsidR="00652245" w:rsidRDefault="00652245" w:rsidP="00652245">
            <w:pPr>
              <w:spacing w:line="276" w:lineRule="auto"/>
              <w:ind w:left="150" w:hanging="150"/>
              <w:jc w:val="center"/>
            </w:pPr>
            <w:r>
              <w:t>3.1 ± 0.9</w:t>
            </w:r>
          </w:p>
        </w:tc>
        <w:tc>
          <w:tcPr>
            <w:tcW w:w="1398" w:type="dxa"/>
            <w:vAlign w:val="center"/>
          </w:tcPr>
          <w:p w14:paraId="5741CF1F" w14:textId="77777777" w:rsidR="00652245" w:rsidRDefault="00652245" w:rsidP="00652245">
            <w:pPr>
              <w:spacing w:line="276" w:lineRule="auto"/>
              <w:ind w:left="57"/>
              <w:jc w:val="center"/>
            </w:pPr>
            <w:r>
              <w:t>3.6 ± 1.7</w:t>
            </w:r>
          </w:p>
        </w:tc>
      </w:tr>
      <w:tr w:rsidR="00521CBD" w14:paraId="34F0A05F" w14:textId="77777777" w:rsidTr="007867B0">
        <w:trPr>
          <w:gridAfter w:val="1"/>
          <w:wAfter w:w="2499" w:type="dxa"/>
          <w:trHeight w:val="277"/>
        </w:trPr>
        <w:tc>
          <w:tcPr>
            <w:tcW w:w="3746" w:type="dxa"/>
            <w:vAlign w:val="center"/>
          </w:tcPr>
          <w:p w14:paraId="1567F9BB" w14:textId="7AD9E583" w:rsidR="00652245" w:rsidRDefault="00652245" w:rsidP="00521CBD">
            <w:pPr>
              <w:spacing w:line="276" w:lineRule="auto"/>
            </w:pPr>
            <w:r>
              <w:t xml:space="preserve">     RTD</w:t>
            </w:r>
            <w:r w:rsidRPr="002C5626">
              <w:rPr>
                <w:vertAlign w:val="subscript"/>
              </w:rPr>
              <w:t>1</w:t>
            </w:r>
            <w:r>
              <w:rPr>
                <w:vertAlign w:val="subscript"/>
              </w:rPr>
              <w:t xml:space="preserve">50 </w:t>
            </w:r>
          </w:p>
        </w:tc>
        <w:tc>
          <w:tcPr>
            <w:tcW w:w="1397" w:type="dxa"/>
            <w:vAlign w:val="center"/>
          </w:tcPr>
          <w:p w14:paraId="50E441E4" w14:textId="77777777" w:rsidR="00652245" w:rsidRPr="00726FA6" w:rsidRDefault="00652245" w:rsidP="00652245">
            <w:pPr>
              <w:spacing w:line="276" w:lineRule="auto"/>
              <w:ind w:left="150" w:hanging="150"/>
              <w:jc w:val="center"/>
            </w:pPr>
            <w:r>
              <w:t>2.2 ± 0.9</w:t>
            </w:r>
          </w:p>
        </w:tc>
        <w:tc>
          <w:tcPr>
            <w:tcW w:w="1397" w:type="dxa"/>
            <w:vAlign w:val="center"/>
          </w:tcPr>
          <w:p w14:paraId="5FC0A231" w14:textId="77777777" w:rsidR="00652245" w:rsidRDefault="00652245" w:rsidP="00652245">
            <w:pPr>
              <w:spacing w:line="276" w:lineRule="auto"/>
              <w:ind w:left="150" w:hanging="150"/>
              <w:jc w:val="center"/>
            </w:pPr>
            <w:r>
              <w:t>2.2 ± 1.1</w:t>
            </w:r>
          </w:p>
        </w:tc>
        <w:tc>
          <w:tcPr>
            <w:tcW w:w="1398" w:type="dxa"/>
            <w:vAlign w:val="center"/>
          </w:tcPr>
          <w:p w14:paraId="7C1B0DE2" w14:textId="77777777" w:rsidR="00652245" w:rsidRDefault="00652245" w:rsidP="00652245">
            <w:pPr>
              <w:spacing w:line="276" w:lineRule="auto"/>
              <w:ind w:left="57"/>
              <w:jc w:val="center"/>
            </w:pPr>
            <w:r>
              <w:t>1.6 ± 1.3</w:t>
            </w:r>
          </w:p>
        </w:tc>
      </w:tr>
      <w:tr w:rsidR="00521CBD" w14:paraId="6C8EEFE4" w14:textId="77777777" w:rsidTr="007867B0">
        <w:trPr>
          <w:gridAfter w:val="1"/>
          <w:wAfter w:w="2499" w:type="dxa"/>
          <w:trHeight w:val="277"/>
        </w:trPr>
        <w:tc>
          <w:tcPr>
            <w:tcW w:w="3746" w:type="dxa"/>
            <w:vAlign w:val="center"/>
          </w:tcPr>
          <w:p w14:paraId="0E452D5D" w14:textId="1446CB3A" w:rsidR="00652245" w:rsidRDefault="00652245" w:rsidP="00521CBD">
            <w:pPr>
              <w:spacing w:line="276" w:lineRule="auto"/>
            </w:pPr>
            <w:r>
              <w:t xml:space="preserve">     RTD</w:t>
            </w:r>
            <w:r>
              <w:rPr>
                <w:vertAlign w:val="subscript"/>
              </w:rPr>
              <w:t xml:space="preserve">200 </w:t>
            </w:r>
          </w:p>
        </w:tc>
        <w:tc>
          <w:tcPr>
            <w:tcW w:w="1397" w:type="dxa"/>
            <w:vAlign w:val="center"/>
          </w:tcPr>
          <w:p w14:paraId="0EE9FBE4" w14:textId="77777777" w:rsidR="00652245" w:rsidRDefault="00652245" w:rsidP="00652245">
            <w:pPr>
              <w:spacing w:line="276" w:lineRule="auto"/>
              <w:ind w:left="150" w:hanging="150"/>
              <w:jc w:val="center"/>
            </w:pPr>
            <w:r>
              <w:t>2.2 ± 0.5</w:t>
            </w:r>
          </w:p>
        </w:tc>
        <w:tc>
          <w:tcPr>
            <w:tcW w:w="1397" w:type="dxa"/>
            <w:vAlign w:val="center"/>
          </w:tcPr>
          <w:p w14:paraId="417108A9" w14:textId="77777777" w:rsidR="00652245" w:rsidRDefault="00652245" w:rsidP="00652245">
            <w:pPr>
              <w:spacing w:line="276" w:lineRule="auto"/>
              <w:ind w:left="150" w:hanging="150"/>
              <w:jc w:val="center"/>
            </w:pPr>
            <w:r>
              <w:t>2.0 ± 0.7</w:t>
            </w:r>
          </w:p>
        </w:tc>
        <w:tc>
          <w:tcPr>
            <w:tcW w:w="1398" w:type="dxa"/>
            <w:vAlign w:val="center"/>
          </w:tcPr>
          <w:p w14:paraId="28660307" w14:textId="77777777" w:rsidR="00652245" w:rsidRDefault="00652245" w:rsidP="00652245">
            <w:pPr>
              <w:spacing w:line="276" w:lineRule="auto"/>
              <w:ind w:left="57"/>
              <w:jc w:val="center"/>
            </w:pPr>
            <w:r>
              <w:t>2.1 ± 0.9</w:t>
            </w:r>
          </w:p>
        </w:tc>
      </w:tr>
      <w:tr w:rsidR="00521CBD" w14:paraId="191E15FB" w14:textId="77777777" w:rsidTr="007867B0">
        <w:trPr>
          <w:gridAfter w:val="1"/>
          <w:wAfter w:w="2499" w:type="dxa"/>
          <w:trHeight w:val="277"/>
        </w:trPr>
        <w:tc>
          <w:tcPr>
            <w:tcW w:w="3746" w:type="dxa"/>
            <w:vAlign w:val="center"/>
          </w:tcPr>
          <w:p w14:paraId="4296018D" w14:textId="502A4BE8" w:rsidR="00652245" w:rsidRDefault="00652245" w:rsidP="00652245">
            <w:pPr>
              <w:spacing w:line="276" w:lineRule="auto"/>
            </w:pPr>
            <w:r>
              <w:t>RTD</w:t>
            </w:r>
            <w:r w:rsidR="00521CBD">
              <w:t xml:space="preserve"> (Nm</w:t>
            </w:r>
            <w:r w:rsidR="00521CBD">
              <w:sym w:font="Symbol" w:char="F0B7"/>
            </w:r>
            <w:r w:rsidR="00521CBD">
              <w:t xml:space="preserve"> s</w:t>
            </w:r>
            <w:r w:rsidR="00521CBD">
              <w:rPr>
                <w:vertAlign w:val="superscript"/>
              </w:rPr>
              <w:t>-1</w:t>
            </w:r>
            <w:r w:rsidR="00521CBD">
              <w:t>)</w:t>
            </w:r>
          </w:p>
        </w:tc>
        <w:tc>
          <w:tcPr>
            <w:tcW w:w="1397" w:type="dxa"/>
            <w:vAlign w:val="center"/>
          </w:tcPr>
          <w:p w14:paraId="0FC664A7" w14:textId="77777777" w:rsidR="00652245" w:rsidRDefault="00652245" w:rsidP="00652245">
            <w:pPr>
              <w:spacing w:line="276" w:lineRule="auto"/>
              <w:ind w:left="150" w:hanging="150"/>
              <w:jc w:val="center"/>
            </w:pPr>
          </w:p>
        </w:tc>
        <w:tc>
          <w:tcPr>
            <w:tcW w:w="1397" w:type="dxa"/>
            <w:vAlign w:val="center"/>
          </w:tcPr>
          <w:p w14:paraId="491019C2" w14:textId="77777777" w:rsidR="00652245" w:rsidRDefault="00652245" w:rsidP="00652245">
            <w:pPr>
              <w:spacing w:line="276" w:lineRule="auto"/>
              <w:ind w:left="150" w:hanging="150"/>
              <w:jc w:val="center"/>
            </w:pPr>
          </w:p>
        </w:tc>
        <w:tc>
          <w:tcPr>
            <w:tcW w:w="1398" w:type="dxa"/>
            <w:vAlign w:val="center"/>
          </w:tcPr>
          <w:p w14:paraId="09B8FF12" w14:textId="77777777" w:rsidR="00652245" w:rsidRDefault="00652245" w:rsidP="00652245">
            <w:pPr>
              <w:spacing w:line="276" w:lineRule="auto"/>
              <w:ind w:left="57"/>
              <w:jc w:val="center"/>
            </w:pPr>
          </w:p>
        </w:tc>
      </w:tr>
      <w:tr w:rsidR="00521CBD" w14:paraId="3E9C7486" w14:textId="77777777" w:rsidTr="007867B0">
        <w:trPr>
          <w:gridAfter w:val="1"/>
          <w:wAfter w:w="2499" w:type="dxa"/>
          <w:trHeight w:val="277"/>
        </w:trPr>
        <w:tc>
          <w:tcPr>
            <w:tcW w:w="3746" w:type="dxa"/>
            <w:vAlign w:val="center"/>
          </w:tcPr>
          <w:p w14:paraId="323DF9C1" w14:textId="01AEE4B1" w:rsidR="00652245" w:rsidRPr="00195A9A" w:rsidRDefault="00652245" w:rsidP="00521CBD">
            <w:pPr>
              <w:spacing w:line="276" w:lineRule="auto"/>
            </w:pPr>
            <w:r>
              <w:t xml:space="preserve">     RTD</w:t>
            </w:r>
            <w:r>
              <w:rPr>
                <w:vertAlign w:val="subscript"/>
              </w:rPr>
              <w:t>peak</w:t>
            </w:r>
            <w:r>
              <w:t xml:space="preserve"> </w:t>
            </w:r>
          </w:p>
        </w:tc>
        <w:tc>
          <w:tcPr>
            <w:tcW w:w="1397" w:type="dxa"/>
            <w:vAlign w:val="center"/>
          </w:tcPr>
          <w:p w14:paraId="0EA3241A" w14:textId="77777777" w:rsidR="00652245" w:rsidRDefault="00652245" w:rsidP="00652245">
            <w:pPr>
              <w:spacing w:line="276" w:lineRule="auto"/>
              <w:ind w:left="150" w:hanging="150"/>
              <w:jc w:val="center"/>
            </w:pPr>
            <w:r>
              <w:t>1529  ± 865</w:t>
            </w:r>
          </w:p>
        </w:tc>
        <w:tc>
          <w:tcPr>
            <w:tcW w:w="1397" w:type="dxa"/>
            <w:vAlign w:val="center"/>
          </w:tcPr>
          <w:p w14:paraId="23ACBBC2" w14:textId="77777777" w:rsidR="00652245" w:rsidRDefault="00652245" w:rsidP="00652245">
            <w:pPr>
              <w:spacing w:line="276" w:lineRule="auto"/>
              <w:ind w:left="150" w:hanging="150"/>
              <w:jc w:val="center"/>
            </w:pPr>
            <w:r>
              <w:t>1605 ± 686</w:t>
            </w:r>
          </w:p>
        </w:tc>
        <w:tc>
          <w:tcPr>
            <w:tcW w:w="1398" w:type="dxa"/>
            <w:vAlign w:val="center"/>
          </w:tcPr>
          <w:p w14:paraId="34ABD1CD" w14:textId="77777777" w:rsidR="00652245" w:rsidRDefault="00652245" w:rsidP="00652245">
            <w:pPr>
              <w:spacing w:line="276" w:lineRule="auto"/>
              <w:ind w:left="57"/>
              <w:jc w:val="center"/>
            </w:pPr>
            <w:r>
              <w:t>1439 ± 796</w:t>
            </w:r>
          </w:p>
        </w:tc>
      </w:tr>
      <w:tr w:rsidR="00521CBD" w14:paraId="6096EF8A" w14:textId="77777777" w:rsidTr="007867B0">
        <w:trPr>
          <w:gridAfter w:val="1"/>
          <w:wAfter w:w="2499" w:type="dxa"/>
          <w:trHeight w:val="277"/>
        </w:trPr>
        <w:tc>
          <w:tcPr>
            <w:tcW w:w="3746" w:type="dxa"/>
            <w:vAlign w:val="center"/>
          </w:tcPr>
          <w:p w14:paraId="132F045C" w14:textId="2D8812E0" w:rsidR="00652245" w:rsidRDefault="00652245" w:rsidP="00521CBD">
            <w:pPr>
              <w:spacing w:line="276" w:lineRule="auto"/>
            </w:pPr>
            <w:r>
              <w:t xml:space="preserve">     RTD</w:t>
            </w:r>
            <w:r>
              <w:rPr>
                <w:vertAlign w:val="subscript"/>
              </w:rPr>
              <w:t>25%</w:t>
            </w:r>
            <w:r>
              <w:t xml:space="preserve"> </w:t>
            </w:r>
          </w:p>
        </w:tc>
        <w:tc>
          <w:tcPr>
            <w:tcW w:w="1397" w:type="dxa"/>
            <w:vAlign w:val="center"/>
          </w:tcPr>
          <w:p w14:paraId="0DC7026F" w14:textId="77777777" w:rsidR="00652245" w:rsidRDefault="00652245" w:rsidP="00652245">
            <w:pPr>
              <w:spacing w:line="276" w:lineRule="auto"/>
              <w:ind w:left="150" w:hanging="150"/>
              <w:jc w:val="center"/>
            </w:pPr>
            <w:r>
              <w:t>621 ± 1102</w:t>
            </w:r>
          </w:p>
        </w:tc>
        <w:tc>
          <w:tcPr>
            <w:tcW w:w="1397" w:type="dxa"/>
            <w:vAlign w:val="center"/>
          </w:tcPr>
          <w:p w14:paraId="26B51AF7" w14:textId="77777777" w:rsidR="00652245" w:rsidRDefault="00652245" w:rsidP="00652245">
            <w:pPr>
              <w:spacing w:line="276" w:lineRule="auto"/>
              <w:ind w:left="150" w:hanging="150"/>
              <w:jc w:val="center"/>
            </w:pPr>
            <w:r>
              <w:t>844 ± 883</w:t>
            </w:r>
          </w:p>
        </w:tc>
        <w:tc>
          <w:tcPr>
            <w:tcW w:w="1398" w:type="dxa"/>
            <w:vAlign w:val="center"/>
          </w:tcPr>
          <w:p w14:paraId="0CD849E1" w14:textId="77777777" w:rsidR="00652245" w:rsidRDefault="00652245" w:rsidP="00652245">
            <w:pPr>
              <w:spacing w:line="276" w:lineRule="auto"/>
              <w:ind w:left="57"/>
              <w:jc w:val="center"/>
            </w:pPr>
            <w:r>
              <w:t>514 ± 912</w:t>
            </w:r>
          </w:p>
        </w:tc>
      </w:tr>
      <w:tr w:rsidR="00521CBD" w14:paraId="524A61C4" w14:textId="77777777" w:rsidTr="007867B0">
        <w:trPr>
          <w:gridAfter w:val="1"/>
          <w:wAfter w:w="2499" w:type="dxa"/>
          <w:trHeight w:val="277"/>
        </w:trPr>
        <w:tc>
          <w:tcPr>
            <w:tcW w:w="3746" w:type="dxa"/>
            <w:vAlign w:val="center"/>
          </w:tcPr>
          <w:p w14:paraId="197060D2" w14:textId="5848D42C" w:rsidR="00652245" w:rsidRDefault="00652245" w:rsidP="00521CBD">
            <w:pPr>
              <w:spacing w:line="276" w:lineRule="auto"/>
            </w:pPr>
            <w:r>
              <w:t xml:space="preserve">     RTD</w:t>
            </w:r>
            <w:r>
              <w:rPr>
                <w:vertAlign w:val="subscript"/>
              </w:rPr>
              <w:t>75%</w:t>
            </w:r>
            <w:r>
              <w:t xml:space="preserve"> </w:t>
            </w:r>
          </w:p>
        </w:tc>
        <w:tc>
          <w:tcPr>
            <w:tcW w:w="1397" w:type="dxa"/>
            <w:vAlign w:val="center"/>
          </w:tcPr>
          <w:p w14:paraId="073F0A0C" w14:textId="77777777" w:rsidR="00652245" w:rsidRDefault="00652245" w:rsidP="00652245">
            <w:pPr>
              <w:spacing w:line="276" w:lineRule="auto"/>
              <w:ind w:left="150" w:hanging="150"/>
              <w:jc w:val="center"/>
            </w:pPr>
            <w:r>
              <w:t>223 ± 370</w:t>
            </w:r>
          </w:p>
        </w:tc>
        <w:tc>
          <w:tcPr>
            <w:tcW w:w="1397" w:type="dxa"/>
            <w:vAlign w:val="center"/>
          </w:tcPr>
          <w:p w14:paraId="187112DA" w14:textId="77777777" w:rsidR="00652245" w:rsidRDefault="00652245" w:rsidP="00652245">
            <w:pPr>
              <w:spacing w:line="276" w:lineRule="auto"/>
              <w:ind w:left="150" w:hanging="150"/>
              <w:jc w:val="center"/>
            </w:pPr>
            <w:r>
              <w:t>226 ± 298</w:t>
            </w:r>
          </w:p>
        </w:tc>
        <w:tc>
          <w:tcPr>
            <w:tcW w:w="1398" w:type="dxa"/>
            <w:vAlign w:val="center"/>
          </w:tcPr>
          <w:p w14:paraId="44ECFA47" w14:textId="77777777" w:rsidR="00652245" w:rsidRDefault="00652245" w:rsidP="00652245">
            <w:pPr>
              <w:spacing w:line="276" w:lineRule="auto"/>
              <w:ind w:left="57"/>
              <w:jc w:val="center"/>
            </w:pPr>
            <w:r>
              <w:t>196 ± 323</w:t>
            </w:r>
          </w:p>
        </w:tc>
      </w:tr>
      <w:tr w:rsidR="00521CBD" w14:paraId="5169E557" w14:textId="77777777" w:rsidTr="007867B0">
        <w:trPr>
          <w:gridAfter w:val="1"/>
          <w:wAfter w:w="2499" w:type="dxa"/>
          <w:trHeight w:val="277"/>
        </w:trPr>
        <w:tc>
          <w:tcPr>
            <w:tcW w:w="3746" w:type="dxa"/>
            <w:vAlign w:val="center"/>
          </w:tcPr>
          <w:p w14:paraId="0A956C3B" w14:textId="7D0080AF" w:rsidR="00652245" w:rsidRDefault="00652245" w:rsidP="00521CBD">
            <w:pPr>
              <w:spacing w:line="276" w:lineRule="auto"/>
            </w:pPr>
            <w:r>
              <w:t xml:space="preserve">     RTD</w:t>
            </w:r>
            <w:r>
              <w:rPr>
                <w:vertAlign w:val="subscript"/>
              </w:rPr>
              <w:t>100%</w:t>
            </w:r>
          </w:p>
        </w:tc>
        <w:tc>
          <w:tcPr>
            <w:tcW w:w="1397" w:type="dxa"/>
            <w:vAlign w:val="center"/>
          </w:tcPr>
          <w:p w14:paraId="2165C69D" w14:textId="77777777" w:rsidR="00652245" w:rsidRDefault="00652245" w:rsidP="00652245">
            <w:pPr>
              <w:spacing w:line="276" w:lineRule="auto"/>
              <w:ind w:left="150" w:hanging="150"/>
              <w:jc w:val="center"/>
            </w:pPr>
            <w:r>
              <w:t>30 ± 50</w:t>
            </w:r>
          </w:p>
        </w:tc>
        <w:tc>
          <w:tcPr>
            <w:tcW w:w="1397" w:type="dxa"/>
            <w:vAlign w:val="center"/>
          </w:tcPr>
          <w:p w14:paraId="58812AD5" w14:textId="77777777" w:rsidR="00652245" w:rsidRDefault="00652245" w:rsidP="00652245">
            <w:pPr>
              <w:spacing w:line="276" w:lineRule="auto"/>
              <w:ind w:left="150" w:hanging="150"/>
              <w:jc w:val="center"/>
            </w:pPr>
            <w:r>
              <w:t>43 ± 76</w:t>
            </w:r>
          </w:p>
        </w:tc>
        <w:tc>
          <w:tcPr>
            <w:tcW w:w="1398" w:type="dxa"/>
            <w:vAlign w:val="center"/>
          </w:tcPr>
          <w:p w14:paraId="6E551740" w14:textId="77777777" w:rsidR="00652245" w:rsidRDefault="00652245" w:rsidP="00652245">
            <w:pPr>
              <w:spacing w:line="276" w:lineRule="auto"/>
              <w:ind w:left="57"/>
              <w:jc w:val="center"/>
            </w:pPr>
            <w:r>
              <w:t>54 ± 96</w:t>
            </w:r>
          </w:p>
        </w:tc>
      </w:tr>
      <w:tr w:rsidR="00521CBD" w14:paraId="4B6EDDC5" w14:textId="77777777" w:rsidTr="007867B0">
        <w:trPr>
          <w:gridAfter w:val="1"/>
          <w:wAfter w:w="2499" w:type="dxa"/>
          <w:trHeight w:val="277"/>
        </w:trPr>
        <w:tc>
          <w:tcPr>
            <w:tcW w:w="3746" w:type="dxa"/>
            <w:vAlign w:val="center"/>
          </w:tcPr>
          <w:p w14:paraId="66901471" w14:textId="21E854B9" w:rsidR="00652245" w:rsidRDefault="00652245" w:rsidP="00521CBD">
            <w:pPr>
              <w:spacing w:line="276" w:lineRule="auto"/>
            </w:pPr>
            <w:r>
              <w:t xml:space="preserve">     RTD</w:t>
            </w:r>
            <w:r>
              <w:rPr>
                <w:vertAlign w:val="subscript"/>
              </w:rPr>
              <w:t xml:space="preserve">50 </w:t>
            </w:r>
          </w:p>
        </w:tc>
        <w:tc>
          <w:tcPr>
            <w:tcW w:w="1397" w:type="dxa"/>
            <w:vAlign w:val="center"/>
          </w:tcPr>
          <w:p w14:paraId="406D2B16" w14:textId="77777777" w:rsidR="00652245" w:rsidRDefault="00652245" w:rsidP="00652245">
            <w:pPr>
              <w:spacing w:line="276" w:lineRule="auto"/>
              <w:ind w:left="150" w:hanging="150"/>
              <w:jc w:val="center"/>
            </w:pPr>
            <w:r>
              <w:t>819 ± 303</w:t>
            </w:r>
          </w:p>
        </w:tc>
        <w:tc>
          <w:tcPr>
            <w:tcW w:w="1397" w:type="dxa"/>
            <w:vAlign w:val="center"/>
          </w:tcPr>
          <w:p w14:paraId="371AC462" w14:textId="77777777" w:rsidR="00652245" w:rsidRDefault="00652245" w:rsidP="00652245">
            <w:pPr>
              <w:spacing w:line="276" w:lineRule="auto"/>
              <w:ind w:left="150" w:hanging="150"/>
              <w:jc w:val="center"/>
            </w:pPr>
            <w:r>
              <w:t>823 ± 343</w:t>
            </w:r>
          </w:p>
        </w:tc>
        <w:tc>
          <w:tcPr>
            <w:tcW w:w="1398" w:type="dxa"/>
            <w:vAlign w:val="center"/>
          </w:tcPr>
          <w:p w14:paraId="18ECB1D4" w14:textId="77777777" w:rsidR="00652245" w:rsidRDefault="00652245" w:rsidP="00652245">
            <w:pPr>
              <w:spacing w:line="276" w:lineRule="auto"/>
              <w:ind w:left="57"/>
              <w:jc w:val="center"/>
            </w:pPr>
            <w:r>
              <w:t>695 ± 344</w:t>
            </w:r>
          </w:p>
        </w:tc>
      </w:tr>
      <w:tr w:rsidR="00521CBD" w14:paraId="55486A3B" w14:textId="77777777" w:rsidTr="007867B0">
        <w:trPr>
          <w:gridAfter w:val="1"/>
          <w:wAfter w:w="2499" w:type="dxa"/>
          <w:trHeight w:val="277"/>
        </w:trPr>
        <w:tc>
          <w:tcPr>
            <w:tcW w:w="3746" w:type="dxa"/>
            <w:vAlign w:val="center"/>
          </w:tcPr>
          <w:p w14:paraId="773E9A8A" w14:textId="7B2464CF" w:rsidR="00652245" w:rsidRDefault="00652245" w:rsidP="00521CBD">
            <w:pPr>
              <w:spacing w:line="276" w:lineRule="auto"/>
            </w:pPr>
            <w:r>
              <w:t xml:space="preserve">     RTD</w:t>
            </w:r>
            <w:r>
              <w:rPr>
                <w:vertAlign w:val="subscript"/>
              </w:rPr>
              <w:t xml:space="preserve">100 </w:t>
            </w:r>
          </w:p>
        </w:tc>
        <w:tc>
          <w:tcPr>
            <w:tcW w:w="1397" w:type="dxa"/>
            <w:vAlign w:val="center"/>
          </w:tcPr>
          <w:p w14:paraId="37BBA761" w14:textId="77777777" w:rsidR="00652245" w:rsidRDefault="00652245" w:rsidP="00652245">
            <w:pPr>
              <w:spacing w:line="276" w:lineRule="auto"/>
              <w:ind w:left="150" w:hanging="150"/>
              <w:jc w:val="center"/>
            </w:pPr>
            <w:r>
              <w:t>509 ± 84</w:t>
            </w:r>
          </w:p>
        </w:tc>
        <w:tc>
          <w:tcPr>
            <w:tcW w:w="1397" w:type="dxa"/>
            <w:vAlign w:val="center"/>
          </w:tcPr>
          <w:p w14:paraId="351108D5" w14:textId="77777777" w:rsidR="00652245" w:rsidRDefault="00652245" w:rsidP="00652245">
            <w:pPr>
              <w:spacing w:line="276" w:lineRule="auto"/>
              <w:ind w:left="150" w:hanging="150"/>
              <w:jc w:val="center"/>
            </w:pPr>
            <w:r>
              <w:t>456 ± 172</w:t>
            </w:r>
          </w:p>
        </w:tc>
        <w:tc>
          <w:tcPr>
            <w:tcW w:w="1398" w:type="dxa"/>
            <w:vAlign w:val="center"/>
          </w:tcPr>
          <w:p w14:paraId="698CAFFD" w14:textId="77777777" w:rsidR="00652245" w:rsidRDefault="00652245" w:rsidP="00652245">
            <w:pPr>
              <w:spacing w:line="276" w:lineRule="auto"/>
              <w:ind w:left="57"/>
              <w:jc w:val="center"/>
            </w:pPr>
            <w:r>
              <w:t>509 ± 263</w:t>
            </w:r>
          </w:p>
        </w:tc>
      </w:tr>
      <w:tr w:rsidR="00521CBD" w14:paraId="2F65386E" w14:textId="77777777" w:rsidTr="007867B0">
        <w:trPr>
          <w:gridAfter w:val="1"/>
          <w:wAfter w:w="2499" w:type="dxa"/>
          <w:trHeight w:val="277"/>
        </w:trPr>
        <w:tc>
          <w:tcPr>
            <w:tcW w:w="3746" w:type="dxa"/>
            <w:vAlign w:val="center"/>
          </w:tcPr>
          <w:p w14:paraId="562033CC" w14:textId="17C21179" w:rsidR="00652245" w:rsidRDefault="00652245" w:rsidP="00521CBD">
            <w:pPr>
              <w:spacing w:line="276" w:lineRule="auto"/>
            </w:pPr>
            <w:r>
              <w:t xml:space="preserve">     RTD</w:t>
            </w:r>
            <w:r w:rsidRPr="002C5626">
              <w:rPr>
                <w:vertAlign w:val="subscript"/>
              </w:rPr>
              <w:t>1</w:t>
            </w:r>
            <w:r>
              <w:rPr>
                <w:vertAlign w:val="subscript"/>
              </w:rPr>
              <w:t xml:space="preserve">50 </w:t>
            </w:r>
          </w:p>
        </w:tc>
        <w:tc>
          <w:tcPr>
            <w:tcW w:w="1397" w:type="dxa"/>
            <w:vAlign w:val="center"/>
          </w:tcPr>
          <w:p w14:paraId="2C6FF533" w14:textId="77777777" w:rsidR="00652245" w:rsidRDefault="00652245" w:rsidP="00652245">
            <w:pPr>
              <w:spacing w:line="276" w:lineRule="auto"/>
              <w:ind w:left="150" w:hanging="150"/>
              <w:jc w:val="center"/>
            </w:pPr>
            <w:r>
              <w:t>320 ± 134</w:t>
            </w:r>
          </w:p>
        </w:tc>
        <w:tc>
          <w:tcPr>
            <w:tcW w:w="1397" w:type="dxa"/>
            <w:vAlign w:val="center"/>
          </w:tcPr>
          <w:p w14:paraId="5E1E6211" w14:textId="77777777" w:rsidR="00652245" w:rsidRDefault="00652245" w:rsidP="00652245">
            <w:pPr>
              <w:spacing w:line="276" w:lineRule="auto"/>
              <w:ind w:left="150" w:hanging="150"/>
              <w:jc w:val="center"/>
            </w:pPr>
            <w:r>
              <w:t>308 ± 159</w:t>
            </w:r>
          </w:p>
        </w:tc>
        <w:tc>
          <w:tcPr>
            <w:tcW w:w="1398" w:type="dxa"/>
            <w:vAlign w:val="center"/>
          </w:tcPr>
          <w:p w14:paraId="4EA51D63" w14:textId="77777777" w:rsidR="00652245" w:rsidRDefault="00652245" w:rsidP="00652245">
            <w:pPr>
              <w:spacing w:line="276" w:lineRule="auto"/>
              <w:ind w:left="57"/>
              <w:jc w:val="center"/>
            </w:pPr>
            <w:r>
              <w:t>224 ± 205</w:t>
            </w:r>
          </w:p>
        </w:tc>
      </w:tr>
      <w:tr w:rsidR="00521CBD" w14:paraId="13CD8530" w14:textId="77777777" w:rsidTr="007867B0">
        <w:trPr>
          <w:gridAfter w:val="1"/>
          <w:wAfter w:w="2499" w:type="dxa"/>
          <w:trHeight w:val="277"/>
        </w:trPr>
        <w:tc>
          <w:tcPr>
            <w:tcW w:w="3746" w:type="dxa"/>
            <w:vAlign w:val="center"/>
          </w:tcPr>
          <w:p w14:paraId="5932A927" w14:textId="7350C6D2" w:rsidR="00652245" w:rsidRDefault="00652245" w:rsidP="00521CBD">
            <w:pPr>
              <w:spacing w:line="276" w:lineRule="auto"/>
            </w:pPr>
            <w:r>
              <w:t xml:space="preserve">     RTD</w:t>
            </w:r>
            <w:r>
              <w:rPr>
                <w:vertAlign w:val="subscript"/>
              </w:rPr>
              <w:t xml:space="preserve">200 </w:t>
            </w:r>
          </w:p>
        </w:tc>
        <w:tc>
          <w:tcPr>
            <w:tcW w:w="1397" w:type="dxa"/>
            <w:vAlign w:val="center"/>
          </w:tcPr>
          <w:p w14:paraId="07902B2B" w14:textId="77777777" w:rsidR="00652245" w:rsidRDefault="00652245" w:rsidP="00652245">
            <w:pPr>
              <w:spacing w:line="276" w:lineRule="auto"/>
              <w:ind w:left="150" w:hanging="150"/>
              <w:jc w:val="center"/>
            </w:pPr>
            <w:r>
              <w:t>324 ± 99</w:t>
            </w:r>
          </w:p>
        </w:tc>
        <w:tc>
          <w:tcPr>
            <w:tcW w:w="1397" w:type="dxa"/>
            <w:vAlign w:val="center"/>
          </w:tcPr>
          <w:p w14:paraId="40D4B69C" w14:textId="77777777" w:rsidR="00652245" w:rsidRDefault="00652245" w:rsidP="00652245">
            <w:pPr>
              <w:spacing w:line="276" w:lineRule="auto"/>
              <w:ind w:left="150" w:hanging="150"/>
              <w:jc w:val="center"/>
            </w:pPr>
            <w:r>
              <w:t>312 ± 148</w:t>
            </w:r>
          </w:p>
        </w:tc>
        <w:tc>
          <w:tcPr>
            <w:tcW w:w="1398" w:type="dxa"/>
            <w:vAlign w:val="center"/>
          </w:tcPr>
          <w:p w14:paraId="3B6E5C08" w14:textId="77777777" w:rsidR="00652245" w:rsidRDefault="00652245" w:rsidP="00652245">
            <w:pPr>
              <w:spacing w:line="276" w:lineRule="auto"/>
              <w:ind w:left="57"/>
              <w:jc w:val="center"/>
            </w:pPr>
            <w:r>
              <w:t>318 ± 167</w:t>
            </w:r>
          </w:p>
        </w:tc>
      </w:tr>
      <w:tr w:rsidR="00521CBD" w14:paraId="1A62644D" w14:textId="77777777" w:rsidTr="007867B0">
        <w:trPr>
          <w:gridAfter w:val="1"/>
          <w:wAfter w:w="2499" w:type="dxa"/>
          <w:trHeight w:val="277"/>
        </w:trPr>
        <w:tc>
          <w:tcPr>
            <w:tcW w:w="3746" w:type="dxa"/>
            <w:vAlign w:val="center"/>
          </w:tcPr>
          <w:p w14:paraId="4E7B3397" w14:textId="5249BBB2" w:rsidR="00652245" w:rsidRDefault="00652245" w:rsidP="00652245">
            <w:pPr>
              <w:spacing w:line="276" w:lineRule="auto"/>
            </w:pPr>
            <w:r>
              <w:t>30CS</w:t>
            </w:r>
            <w:r w:rsidR="00521CBD">
              <w:t xml:space="preserve"> (sit-stand cycles)</w:t>
            </w:r>
          </w:p>
        </w:tc>
        <w:tc>
          <w:tcPr>
            <w:tcW w:w="1397" w:type="dxa"/>
            <w:vAlign w:val="center"/>
          </w:tcPr>
          <w:p w14:paraId="677707B0" w14:textId="77777777" w:rsidR="00652245" w:rsidRDefault="00652245" w:rsidP="00652245">
            <w:pPr>
              <w:spacing w:line="276" w:lineRule="auto"/>
              <w:ind w:left="150" w:hanging="150"/>
              <w:jc w:val="center"/>
            </w:pPr>
          </w:p>
        </w:tc>
        <w:tc>
          <w:tcPr>
            <w:tcW w:w="1397" w:type="dxa"/>
            <w:vAlign w:val="center"/>
          </w:tcPr>
          <w:p w14:paraId="5C6ED0FD" w14:textId="77777777" w:rsidR="00652245" w:rsidRDefault="00652245" w:rsidP="00652245">
            <w:pPr>
              <w:spacing w:line="276" w:lineRule="auto"/>
              <w:ind w:left="150" w:hanging="150"/>
              <w:jc w:val="center"/>
            </w:pPr>
          </w:p>
        </w:tc>
        <w:tc>
          <w:tcPr>
            <w:tcW w:w="1398" w:type="dxa"/>
            <w:vAlign w:val="center"/>
          </w:tcPr>
          <w:p w14:paraId="225462E3" w14:textId="77777777" w:rsidR="00652245" w:rsidRDefault="00652245" w:rsidP="00652245">
            <w:pPr>
              <w:spacing w:line="276" w:lineRule="auto"/>
              <w:ind w:left="57"/>
              <w:jc w:val="center"/>
            </w:pPr>
          </w:p>
        </w:tc>
      </w:tr>
      <w:tr w:rsidR="00521CBD" w14:paraId="2B3AD533" w14:textId="77777777" w:rsidTr="007867B0">
        <w:trPr>
          <w:gridAfter w:val="1"/>
          <w:wAfter w:w="2499" w:type="dxa"/>
          <w:trHeight w:val="277"/>
        </w:trPr>
        <w:tc>
          <w:tcPr>
            <w:tcW w:w="3746" w:type="dxa"/>
            <w:vAlign w:val="center"/>
          </w:tcPr>
          <w:p w14:paraId="4BAE9C8A" w14:textId="2C984F04" w:rsidR="00652245" w:rsidRDefault="00652245" w:rsidP="00521CBD">
            <w:pPr>
              <w:spacing w:line="276" w:lineRule="auto"/>
            </w:pPr>
            <w:r>
              <w:t xml:space="preserve">     Peak </w:t>
            </w:r>
          </w:p>
        </w:tc>
        <w:tc>
          <w:tcPr>
            <w:tcW w:w="1397" w:type="dxa"/>
            <w:vAlign w:val="center"/>
          </w:tcPr>
          <w:p w14:paraId="04B82750" w14:textId="77777777" w:rsidR="00652245" w:rsidRDefault="00652245" w:rsidP="00652245">
            <w:pPr>
              <w:spacing w:line="276" w:lineRule="auto"/>
              <w:ind w:left="150" w:hanging="150"/>
              <w:jc w:val="center"/>
            </w:pPr>
            <w:r>
              <w:t>17 ± 4</w:t>
            </w:r>
          </w:p>
        </w:tc>
        <w:tc>
          <w:tcPr>
            <w:tcW w:w="1397" w:type="dxa"/>
            <w:vAlign w:val="center"/>
          </w:tcPr>
          <w:p w14:paraId="27C8DEFD" w14:textId="77777777" w:rsidR="00652245" w:rsidRDefault="00652245" w:rsidP="00652245">
            <w:pPr>
              <w:spacing w:line="276" w:lineRule="auto"/>
              <w:ind w:left="150" w:hanging="150"/>
              <w:jc w:val="center"/>
            </w:pPr>
            <w:r>
              <w:t>17 ± 3</w:t>
            </w:r>
          </w:p>
        </w:tc>
        <w:tc>
          <w:tcPr>
            <w:tcW w:w="1398" w:type="dxa"/>
            <w:vAlign w:val="center"/>
          </w:tcPr>
          <w:p w14:paraId="601F48DB" w14:textId="77777777" w:rsidR="00652245" w:rsidRDefault="00652245" w:rsidP="00652245">
            <w:pPr>
              <w:spacing w:line="276" w:lineRule="auto"/>
              <w:ind w:left="57"/>
              <w:jc w:val="center"/>
            </w:pPr>
            <w:r>
              <w:t>18 ± 4</w:t>
            </w:r>
          </w:p>
        </w:tc>
      </w:tr>
      <w:tr w:rsidR="00521CBD" w14:paraId="74FAD843" w14:textId="77777777" w:rsidTr="007867B0">
        <w:trPr>
          <w:gridAfter w:val="1"/>
          <w:wAfter w:w="2499" w:type="dxa"/>
          <w:trHeight w:val="277"/>
        </w:trPr>
        <w:tc>
          <w:tcPr>
            <w:tcW w:w="3746" w:type="dxa"/>
            <w:vAlign w:val="center"/>
          </w:tcPr>
          <w:p w14:paraId="0B11BEA0" w14:textId="71B28AC8" w:rsidR="00652245" w:rsidRDefault="00652245" w:rsidP="00521CBD">
            <w:pPr>
              <w:spacing w:line="276" w:lineRule="auto"/>
            </w:pPr>
            <w:r>
              <w:t xml:space="preserve">     Mean </w:t>
            </w:r>
          </w:p>
        </w:tc>
        <w:tc>
          <w:tcPr>
            <w:tcW w:w="1397" w:type="dxa"/>
            <w:vAlign w:val="center"/>
          </w:tcPr>
          <w:p w14:paraId="42CAC356" w14:textId="77777777" w:rsidR="00652245" w:rsidRDefault="00652245" w:rsidP="00652245">
            <w:pPr>
              <w:spacing w:line="276" w:lineRule="auto"/>
              <w:ind w:left="150" w:hanging="150"/>
              <w:jc w:val="center"/>
            </w:pPr>
            <w:r>
              <w:t>16 ± 4</w:t>
            </w:r>
          </w:p>
        </w:tc>
        <w:tc>
          <w:tcPr>
            <w:tcW w:w="1397" w:type="dxa"/>
            <w:vAlign w:val="center"/>
          </w:tcPr>
          <w:p w14:paraId="77B49175" w14:textId="77777777" w:rsidR="00652245" w:rsidRDefault="00652245" w:rsidP="00652245">
            <w:pPr>
              <w:spacing w:line="276" w:lineRule="auto"/>
              <w:ind w:left="150" w:hanging="150"/>
              <w:jc w:val="center"/>
            </w:pPr>
            <w:r>
              <w:t>16 ± 3</w:t>
            </w:r>
          </w:p>
        </w:tc>
        <w:tc>
          <w:tcPr>
            <w:tcW w:w="1398" w:type="dxa"/>
            <w:vAlign w:val="center"/>
          </w:tcPr>
          <w:p w14:paraId="653D1FD3" w14:textId="77777777" w:rsidR="00652245" w:rsidRDefault="00652245" w:rsidP="00652245">
            <w:pPr>
              <w:spacing w:line="276" w:lineRule="auto"/>
              <w:ind w:left="57"/>
              <w:jc w:val="center"/>
            </w:pPr>
            <w:r>
              <w:t>17 ± 4</w:t>
            </w:r>
          </w:p>
        </w:tc>
      </w:tr>
      <w:tr w:rsidR="00521CBD" w14:paraId="4D7DA199" w14:textId="77777777" w:rsidTr="007867B0">
        <w:trPr>
          <w:trHeight w:val="277"/>
        </w:trPr>
        <w:tc>
          <w:tcPr>
            <w:tcW w:w="3746" w:type="dxa"/>
            <w:vAlign w:val="center"/>
          </w:tcPr>
          <w:p w14:paraId="564770C8" w14:textId="698302CE" w:rsidR="00652245" w:rsidRDefault="00652245" w:rsidP="00652245">
            <w:pPr>
              <w:spacing w:line="276" w:lineRule="auto"/>
            </w:pPr>
            <w:r>
              <w:t>TUG</w:t>
            </w:r>
            <w:r w:rsidR="00521CBD">
              <w:t xml:space="preserve"> (seconds)</w:t>
            </w:r>
          </w:p>
        </w:tc>
        <w:tc>
          <w:tcPr>
            <w:tcW w:w="1397" w:type="dxa"/>
            <w:vAlign w:val="center"/>
          </w:tcPr>
          <w:p w14:paraId="0DBE9EF9" w14:textId="77777777" w:rsidR="00652245" w:rsidRDefault="00652245" w:rsidP="00652245">
            <w:pPr>
              <w:spacing w:line="276" w:lineRule="auto"/>
              <w:ind w:left="150" w:hanging="150"/>
              <w:jc w:val="center"/>
            </w:pPr>
          </w:p>
        </w:tc>
        <w:tc>
          <w:tcPr>
            <w:tcW w:w="1397" w:type="dxa"/>
          </w:tcPr>
          <w:p w14:paraId="64E562AA" w14:textId="77777777" w:rsidR="00652245" w:rsidRDefault="00652245" w:rsidP="00652245">
            <w:pPr>
              <w:spacing w:line="276" w:lineRule="auto"/>
              <w:ind w:left="150" w:hanging="150"/>
              <w:jc w:val="center"/>
            </w:pPr>
          </w:p>
        </w:tc>
        <w:tc>
          <w:tcPr>
            <w:tcW w:w="1398" w:type="dxa"/>
            <w:vAlign w:val="center"/>
          </w:tcPr>
          <w:p w14:paraId="4F06F40A" w14:textId="77777777" w:rsidR="00652245" w:rsidRDefault="00652245" w:rsidP="00652245">
            <w:pPr>
              <w:spacing w:line="276" w:lineRule="auto"/>
              <w:ind w:left="57"/>
              <w:jc w:val="center"/>
            </w:pPr>
          </w:p>
        </w:tc>
        <w:tc>
          <w:tcPr>
            <w:tcW w:w="2499" w:type="dxa"/>
            <w:tcBorders>
              <w:left w:val="nil"/>
            </w:tcBorders>
          </w:tcPr>
          <w:p w14:paraId="58CD0D21" w14:textId="77777777" w:rsidR="00652245" w:rsidRDefault="00652245" w:rsidP="00652245">
            <w:pPr>
              <w:spacing w:line="276" w:lineRule="auto"/>
              <w:ind w:left="57"/>
              <w:jc w:val="center"/>
            </w:pPr>
          </w:p>
        </w:tc>
      </w:tr>
      <w:tr w:rsidR="00521CBD" w14:paraId="7D9807BA" w14:textId="77777777" w:rsidTr="007867B0">
        <w:trPr>
          <w:gridAfter w:val="1"/>
          <w:wAfter w:w="2499" w:type="dxa"/>
          <w:trHeight w:val="277"/>
        </w:trPr>
        <w:tc>
          <w:tcPr>
            <w:tcW w:w="3746" w:type="dxa"/>
            <w:vAlign w:val="center"/>
          </w:tcPr>
          <w:p w14:paraId="67AD5906" w14:textId="0DAA5909" w:rsidR="00652245" w:rsidRDefault="00652245" w:rsidP="00521CBD">
            <w:pPr>
              <w:spacing w:line="276" w:lineRule="auto"/>
            </w:pPr>
            <w:r>
              <w:t xml:space="preserve">     Minimum </w:t>
            </w:r>
          </w:p>
        </w:tc>
        <w:tc>
          <w:tcPr>
            <w:tcW w:w="1397" w:type="dxa"/>
            <w:vAlign w:val="center"/>
          </w:tcPr>
          <w:p w14:paraId="003D3159" w14:textId="77777777" w:rsidR="00652245" w:rsidRDefault="00652245" w:rsidP="00652245">
            <w:pPr>
              <w:spacing w:line="276" w:lineRule="auto"/>
              <w:ind w:left="150" w:hanging="150"/>
              <w:jc w:val="center"/>
            </w:pPr>
            <w:r>
              <w:t>7.0 ± 1.4</w:t>
            </w:r>
          </w:p>
        </w:tc>
        <w:tc>
          <w:tcPr>
            <w:tcW w:w="1397" w:type="dxa"/>
            <w:vAlign w:val="center"/>
          </w:tcPr>
          <w:p w14:paraId="469AC19A" w14:textId="77777777" w:rsidR="00652245" w:rsidRDefault="00652245" w:rsidP="00652245">
            <w:pPr>
              <w:spacing w:line="276" w:lineRule="auto"/>
              <w:ind w:left="150" w:hanging="150"/>
              <w:jc w:val="center"/>
            </w:pPr>
            <w:r>
              <w:t>7.4 ± 1.5</w:t>
            </w:r>
          </w:p>
        </w:tc>
        <w:tc>
          <w:tcPr>
            <w:tcW w:w="1398" w:type="dxa"/>
            <w:vAlign w:val="center"/>
          </w:tcPr>
          <w:p w14:paraId="3A021979" w14:textId="77777777" w:rsidR="00652245" w:rsidRDefault="00652245" w:rsidP="00652245">
            <w:pPr>
              <w:spacing w:line="276" w:lineRule="auto"/>
              <w:ind w:left="57"/>
              <w:jc w:val="center"/>
            </w:pPr>
            <w:r>
              <w:t>6.8 ± 1.2</w:t>
            </w:r>
          </w:p>
        </w:tc>
      </w:tr>
      <w:tr w:rsidR="00521CBD" w14:paraId="51180276" w14:textId="77777777" w:rsidTr="007867B0">
        <w:trPr>
          <w:gridAfter w:val="1"/>
          <w:wAfter w:w="2499" w:type="dxa"/>
          <w:trHeight w:val="277"/>
        </w:trPr>
        <w:tc>
          <w:tcPr>
            <w:tcW w:w="3746" w:type="dxa"/>
            <w:vAlign w:val="center"/>
          </w:tcPr>
          <w:p w14:paraId="4C6D636E" w14:textId="2B5B0328" w:rsidR="00652245" w:rsidRDefault="00652245" w:rsidP="00521CBD">
            <w:pPr>
              <w:spacing w:line="276" w:lineRule="auto"/>
            </w:pPr>
            <w:r>
              <w:t xml:space="preserve">     Mean </w:t>
            </w:r>
          </w:p>
        </w:tc>
        <w:tc>
          <w:tcPr>
            <w:tcW w:w="1397" w:type="dxa"/>
            <w:vAlign w:val="center"/>
          </w:tcPr>
          <w:p w14:paraId="1B8C4C5A" w14:textId="77777777" w:rsidR="00652245" w:rsidRDefault="00652245" w:rsidP="00652245">
            <w:pPr>
              <w:spacing w:line="276" w:lineRule="auto"/>
              <w:ind w:left="150" w:hanging="150"/>
              <w:jc w:val="center"/>
            </w:pPr>
            <w:r>
              <w:t>7.8 ± 2.0</w:t>
            </w:r>
          </w:p>
        </w:tc>
        <w:tc>
          <w:tcPr>
            <w:tcW w:w="1397" w:type="dxa"/>
            <w:vAlign w:val="center"/>
          </w:tcPr>
          <w:p w14:paraId="7059E6EB" w14:textId="77777777" w:rsidR="00652245" w:rsidRDefault="00652245" w:rsidP="00652245">
            <w:pPr>
              <w:spacing w:line="276" w:lineRule="auto"/>
              <w:ind w:left="150" w:hanging="150"/>
              <w:jc w:val="center"/>
            </w:pPr>
            <w:r>
              <w:t>7.8 ± 1.5</w:t>
            </w:r>
          </w:p>
        </w:tc>
        <w:tc>
          <w:tcPr>
            <w:tcW w:w="1398" w:type="dxa"/>
            <w:vAlign w:val="center"/>
          </w:tcPr>
          <w:p w14:paraId="43FCB77D" w14:textId="77777777" w:rsidR="00652245" w:rsidRDefault="00652245" w:rsidP="00652245">
            <w:pPr>
              <w:spacing w:line="276" w:lineRule="auto"/>
              <w:ind w:left="57"/>
              <w:jc w:val="center"/>
            </w:pPr>
            <w:r>
              <w:t>7.3 ± 1.4</w:t>
            </w:r>
          </w:p>
        </w:tc>
      </w:tr>
      <w:tr w:rsidR="00521CBD" w14:paraId="5E91E978" w14:textId="77777777" w:rsidTr="007867B0">
        <w:trPr>
          <w:gridAfter w:val="1"/>
          <w:wAfter w:w="2499" w:type="dxa"/>
          <w:trHeight w:val="277"/>
        </w:trPr>
        <w:tc>
          <w:tcPr>
            <w:tcW w:w="3746" w:type="dxa"/>
            <w:vAlign w:val="center"/>
          </w:tcPr>
          <w:p w14:paraId="212350B8" w14:textId="77777777" w:rsidR="00652245" w:rsidRDefault="00652245" w:rsidP="00652245">
            <w:pPr>
              <w:spacing w:line="276" w:lineRule="auto"/>
            </w:pPr>
            <w:r>
              <w:t>6MWT Distance (m)</w:t>
            </w:r>
          </w:p>
        </w:tc>
        <w:tc>
          <w:tcPr>
            <w:tcW w:w="1397" w:type="dxa"/>
            <w:vAlign w:val="center"/>
          </w:tcPr>
          <w:p w14:paraId="62DC733D" w14:textId="77777777" w:rsidR="00652245" w:rsidRDefault="00652245" w:rsidP="00652245">
            <w:pPr>
              <w:spacing w:line="276" w:lineRule="auto"/>
              <w:ind w:left="150" w:hanging="150"/>
              <w:jc w:val="center"/>
            </w:pPr>
            <w:r>
              <w:t>575 ± 105</w:t>
            </w:r>
          </w:p>
        </w:tc>
        <w:tc>
          <w:tcPr>
            <w:tcW w:w="1397" w:type="dxa"/>
            <w:vAlign w:val="center"/>
          </w:tcPr>
          <w:p w14:paraId="3E3DE78B" w14:textId="77777777" w:rsidR="00652245" w:rsidRDefault="00652245" w:rsidP="00652245">
            <w:pPr>
              <w:spacing w:line="276" w:lineRule="auto"/>
              <w:ind w:left="150" w:hanging="150"/>
              <w:jc w:val="center"/>
            </w:pPr>
            <w:r>
              <w:t>577 ± 112</w:t>
            </w:r>
          </w:p>
        </w:tc>
        <w:tc>
          <w:tcPr>
            <w:tcW w:w="1398" w:type="dxa"/>
            <w:vAlign w:val="center"/>
          </w:tcPr>
          <w:p w14:paraId="67E8870D" w14:textId="77777777" w:rsidR="00652245" w:rsidRDefault="00652245" w:rsidP="00652245">
            <w:pPr>
              <w:keepNext/>
              <w:spacing w:line="276" w:lineRule="auto"/>
              <w:ind w:left="57"/>
              <w:jc w:val="center"/>
            </w:pPr>
            <w:r>
              <w:t>600 ± 112</w:t>
            </w:r>
          </w:p>
        </w:tc>
      </w:tr>
      <w:tr w:rsidR="00521CBD" w14:paraId="3006BBF5" w14:textId="77777777" w:rsidTr="007867B0">
        <w:trPr>
          <w:gridAfter w:val="1"/>
          <w:wAfter w:w="2499" w:type="dxa"/>
          <w:trHeight w:val="277"/>
        </w:trPr>
        <w:tc>
          <w:tcPr>
            <w:tcW w:w="3746" w:type="dxa"/>
            <w:tcBorders>
              <w:bottom w:val="single" w:sz="18" w:space="0" w:color="auto"/>
            </w:tcBorders>
            <w:vAlign w:val="center"/>
          </w:tcPr>
          <w:p w14:paraId="1EB68214" w14:textId="720EF96B" w:rsidR="00652245" w:rsidRPr="00E32DFA" w:rsidRDefault="00652245" w:rsidP="007867B0">
            <w:pPr>
              <w:spacing w:line="276" w:lineRule="auto"/>
            </w:pPr>
            <w:r>
              <w:t xml:space="preserve">RWT estimated </w:t>
            </w:r>
            <w:r w:rsidRPr="000A0FE4">
              <w:rPr>
                <w:rFonts w:cs="Times New Roman"/>
                <w:lang w:val="en-US"/>
              </w:rPr>
              <w:t>V̇</w:t>
            </w:r>
            <w:r>
              <w:t>O</w:t>
            </w:r>
            <w:r>
              <w:rPr>
                <w:vertAlign w:val="subscript"/>
              </w:rPr>
              <w:t>2</w:t>
            </w:r>
            <w:r w:rsidRPr="009019E5">
              <w:rPr>
                <w:vertAlign w:val="subscript"/>
              </w:rPr>
              <w:t>peak</w:t>
            </w:r>
            <w:r w:rsidR="007867B0">
              <w:rPr>
                <w:vertAlign w:val="subscript"/>
              </w:rPr>
              <w:br/>
            </w:r>
            <w:r>
              <w:t xml:space="preserve">(mL </w:t>
            </w:r>
            <w:r>
              <w:sym w:font="Symbol" w:char="F0B7"/>
            </w:r>
            <w:r>
              <w:t xml:space="preserve"> kg</w:t>
            </w:r>
            <w:r>
              <w:rPr>
                <w:vertAlign w:val="superscript"/>
              </w:rPr>
              <w:t xml:space="preserve">-1 </w:t>
            </w:r>
            <w:r>
              <w:sym w:font="Symbol" w:char="F0B7"/>
            </w:r>
            <w:r>
              <w:t xml:space="preserve"> min</w:t>
            </w:r>
            <w:r>
              <w:rPr>
                <w:vertAlign w:val="superscript"/>
              </w:rPr>
              <w:t>-1</w:t>
            </w:r>
            <w:r>
              <w:t>)</w:t>
            </w:r>
          </w:p>
        </w:tc>
        <w:tc>
          <w:tcPr>
            <w:tcW w:w="1397" w:type="dxa"/>
            <w:tcBorders>
              <w:bottom w:val="single" w:sz="18" w:space="0" w:color="auto"/>
            </w:tcBorders>
            <w:vAlign w:val="center"/>
          </w:tcPr>
          <w:p w14:paraId="5AA8F8CE" w14:textId="77777777" w:rsidR="00652245" w:rsidRDefault="00652245" w:rsidP="00652245">
            <w:pPr>
              <w:spacing w:line="276" w:lineRule="auto"/>
              <w:ind w:left="150" w:hanging="150"/>
              <w:jc w:val="center"/>
            </w:pPr>
            <w:r>
              <w:t>28.8 ± 12.2</w:t>
            </w:r>
          </w:p>
        </w:tc>
        <w:tc>
          <w:tcPr>
            <w:tcW w:w="1397" w:type="dxa"/>
            <w:tcBorders>
              <w:bottom w:val="single" w:sz="18" w:space="0" w:color="auto"/>
            </w:tcBorders>
            <w:vAlign w:val="center"/>
          </w:tcPr>
          <w:p w14:paraId="1F5DD1E0" w14:textId="77777777" w:rsidR="00652245" w:rsidRDefault="00652245" w:rsidP="00652245">
            <w:pPr>
              <w:spacing w:line="276" w:lineRule="auto"/>
              <w:ind w:left="150" w:hanging="150"/>
              <w:jc w:val="center"/>
            </w:pPr>
            <w:r>
              <w:t>27.3 ± 11.5</w:t>
            </w:r>
          </w:p>
        </w:tc>
        <w:tc>
          <w:tcPr>
            <w:tcW w:w="1398" w:type="dxa"/>
            <w:tcBorders>
              <w:bottom w:val="single" w:sz="18" w:space="0" w:color="auto"/>
            </w:tcBorders>
            <w:vAlign w:val="center"/>
          </w:tcPr>
          <w:p w14:paraId="6D494C73" w14:textId="77777777" w:rsidR="00652245" w:rsidRDefault="00652245" w:rsidP="00652245">
            <w:pPr>
              <w:keepNext/>
              <w:spacing w:line="276" w:lineRule="auto"/>
              <w:ind w:left="57"/>
              <w:jc w:val="center"/>
            </w:pPr>
            <w:r>
              <w:t>29.7 ± 12.1</w:t>
            </w:r>
          </w:p>
        </w:tc>
      </w:tr>
    </w:tbl>
    <w:p w14:paraId="0D657A4D" w14:textId="05506208" w:rsidR="00652245" w:rsidRPr="00785141" w:rsidRDefault="00652245" w:rsidP="00652245">
      <w:pPr>
        <w:pStyle w:val="Caption"/>
        <w:rPr>
          <w:b w:val="0"/>
          <w:color w:val="auto"/>
          <w:sz w:val="20"/>
          <w:szCs w:val="20"/>
        </w:rPr>
      </w:pPr>
      <w:r w:rsidRPr="00785141">
        <w:rPr>
          <w:b w:val="0"/>
          <w:color w:val="auto"/>
          <w:sz w:val="20"/>
          <w:szCs w:val="20"/>
        </w:rPr>
        <w:t xml:space="preserve">ISO-MVC, isometric maximal voluntary contraction; RTD, rate of torque development; 30CS, 30 second chair stand; TUG, timed up-and-go; 6MWT, six minute walk test; RWT, Rockport walk </w:t>
      </w:r>
      <w:r w:rsidR="0078015B" w:rsidRPr="00785141">
        <w:rPr>
          <w:b w:val="0"/>
          <w:color w:val="auto"/>
          <w:sz w:val="20"/>
          <w:szCs w:val="20"/>
        </w:rPr>
        <w:t>test</w:t>
      </w:r>
      <w:r w:rsidR="0078015B">
        <w:rPr>
          <w:b w:val="0"/>
          <w:color w:val="auto"/>
          <w:sz w:val="20"/>
          <w:szCs w:val="20"/>
        </w:rPr>
        <w:t xml:space="preserve">. </w:t>
      </w:r>
      <w:r w:rsidR="0078015B" w:rsidRPr="00796265">
        <w:rPr>
          <w:b w:val="0"/>
          <w:color w:val="auto"/>
          <w:sz w:val="20"/>
          <w:szCs w:val="20"/>
        </w:rPr>
        <w:t>Values</w:t>
      </w:r>
      <w:r w:rsidR="00785141" w:rsidRPr="00796265">
        <w:rPr>
          <w:b w:val="0"/>
          <w:color w:val="auto"/>
          <w:sz w:val="20"/>
          <w:szCs w:val="20"/>
        </w:rPr>
        <w:t xml:space="preserve"> are means</w:t>
      </w:r>
      <w:r w:rsidR="00785141" w:rsidRPr="00796265">
        <w:rPr>
          <w:rFonts w:cs="Times New Roman"/>
          <w:b w:val="0"/>
          <w:color w:val="auto"/>
          <w:sz w:val="20"/>
          <w:szCs w:val="20"/>
        </w:rPr>
        <w:t>±</w:t>
      </w:r>
      <w:r w:rsidR="00785141" w:rsidRPr="00796265">
        <w:rPr>
          <w:b w:val="0"/>
          <w:color w:val="auto"/>
          <w:sz w:val="20"/>
          <w:szCs w:val="20"/>
        </w:rPr>
        <w:t>SD</w:t>
      </w:r>
      <w:r w:rsidR="00785141">
        <w:rPr>
          <w:b w:val="0"/>
          <w:color w:val="auto"/>
          <w:sz w:val="20"/>
          <w:szCs w:val="20"/>
        </w:rPr>
        <w:t>,</w:t>
      </w:r>
      <w:r w:rsidR="00785141" w:rsidRPr="00785141" w:rsidDel="00225DB1">
        <w:rPr>
          <w:b w:val="0"/>
          <w:color w:val="auto"/>
          <w:sz w:val="20"/>
          <w:szCs w:val="20"/>
        </w:rPr>
        <w:t xml:space="preserve"> </w:t>
      </w:r>
      <w:r w:rsidR="000D21F0" w:rsidRPr="003274B7">
        <w:rPr>
          <w:b w:val="0"/>
          <w:color w:val="auto"/>
          <w:sz w:val="20"/>
          <w:szCs w:val="20"/>
        </w:rPr>
        <w:t>n=10</w:t>
      </w:r>
      <w:r w:rsidR="00225DB1" w:rsidRPr="00785141">
        <w:rPr>
          <w:b w:val="0"/>
          <w:color w:val="auto"/>
          <w:sz w:val="20"/>
          <w:szCs w:val="20"/>
        </w:rPr>
        <w:t xml:space="preserve"> (</w:t>
      </w:r>
      <w:r w:rsidR="000D21F0" w:rsidRPr="003274B7">
        <w:rPr>
          <w:b w:val="0"/>
          <w:color w:val="auto"/>
          <w:sz w:val="20"/>
          <w:szCs w:val="20"/>
        </w:rPr>
        <w:t>6 men and 4 women).</w:t>
      </w:r>
    </w:p>
    <w:p w14:paraId="5CA5CA24" w14:textId="022C73B5" w:rsidR="002E042C" w:rsidRPr="002E042C" w:rsidRDefault="002E042C" w:rsidP="002E042C">
      <w:pPr>
        <w:pStyle w:val="Heading3"/>
      </w:pPr>
      <w:bookmarkStart w:id="50" w:name="_Toc296814802"/>
      <w:bookmarkStart w:id="51" w:name="_Toc296932781"/>
      <w:r w:rsidRPr="002E042C">
        <w:lastRenderedPageBreak/>
        <w:t>OGTT</w:t>
      </w:r>
      <w:bookmarkEnd w:id="50"/>
      <w:bookmarkEnd w:id="51"/>
    </w:p>
    <w:p w14:paraId="09119CB7" w14:textId="06C2418F" w:rsidR="00652245" w:rsidRDefault="00652245" w:rsidP="00652245">
      <w:pPr>
        <w:keepNext/>
        <w:spacing w:line="480" w:lineRule="auto"/>
        <w:ind w:firstLine="709"/>
      </w:pPr>
      <w:r>
        <w:t>In response to SR [</w:t>
      </w:r>
      <w:proofErr w:type="gramStart"/>
      <w:r w:rsidRPr="00EF475F">
        <w:t>G]</w:t>
      </w:r>
      <w:r w:rsidRPr="00EF475F">
        <w:rPr>
          <w:vertAlign w:val="subscript"/>
        </w:rPr>
        <w:t>AUC</w:t>
      </w:r>
      <w:proofErr w:type="gramEnd"/>
      <w:r>
        <w:rPr>
          <w:vertAlign w:val="subscript"/>
        </w:rPr>
        <w:t>,</w:t>
      </w:r>
      <w:r>
        <w:t xml:space="preserve"> assessed by capillary blood glucose measurements </w:t>
      </w:r>
      <w:r w:rsidRPr="00805364">
        <w:t>increased 19 ± 2</w:t>
      </w:r>
      <w:r>
        <w:t>6</w:t>
      </w:r>
      <w:r w:rsidRPr="00805364">
        <w:t xml:space="preserve">% (p = 0.02) and decreased </w:t>
      </w:r>
      <w:r w:rsidR="000D21F0">
        <w:t xml:space="preserve">in RC by </w:t>
      </w:r>
      <w:r w:rsidRPr="00805364">
        <w:t>22 ± 1</w:t>
      </w:r>
      <w:r>
        <w:t>4</w:t>
      </w:r>
      <w:r w:rsidRPr="00805364">
        <w:t>% (p = 0.001; Figure 8A and B, Table 6). A similar increase (BL to SR) and subsequent decrease (SR to RC) in [</w:t>
      </w:r>
      <w:proofErr w:type="gramStart"/>
      <w:r w:rsidRPr="00805364">
        <w:t>G]</w:t>
      </w:r>
      <w:r w:rsidRPr="00805364">
        <w:rPr>
          <w:vertAlign w:val="subscript"/>
        </w:rPr>
        <w:t>AUC</w:t>
      </w:r>
      <w:proofErr w:type="gramEnd"/>
      <w:r w:rsidRPr="00805364">
        <w:rPr>
          <w:vertAlign w:val="subscript"/>
        </w:rPr>
        <w:t xml:space="preserve"> </w:t>
      </w:r>
      <w:r w:rsidRPr="00805364">
        <w:t>was detected by both CGMS (Figure 8C and D, Table 6) and plasma glucose analysis (Figure 8E and F, Table 6), however these changes did not reach statistical significance. Capillary blood [</w:t>
      </w:r>
      <w:proofErr w:type="gramStart"/>
      <w:r w:rsidRPr="00805364">
        <w:t>G]</w:t>
      </w:r>
      <w:r w:rsidRPr="00805364">
        <w:rPr>
          <w:vertAlign w:val="subscript"/>
        </w:rPr>
        <w:t>120</w:t>
      </w:r>
      <w:proofErr w:type="gramEnd"/>
      <w:r w:rsidRPr="00805364">
        <w:t xml:space="preserve"> was increased by 2</w:t>
      </w:r>
      <w:r>
        <w:t>3</w:t>
      </w:r>
      <w:r w:rsidRPr="00805364">
        <w:t xml:space="preserve"> ± 22% with SR (p = 0.01) and decreased 14 ± 9% with RC (p = 0.002). Similar but no</w:t>
      </w:r>
      <w:r w:rsidR="000D21F0">
        <w:t xml:space="preserve">t statistically </w:t>
      </w:r>
      <w:r w:rsidRPr="00805364">
        <w:t>significant changes were seen in [</w:t>
      </w:r>
      <w:proofErr w:type="gramStart"/>
      <w:r w:rsidRPr="00805364">
        <w:t>G]</w:t>
      </w:r>
      <w:r w:rsidRPr="00805364">
        <w:rPr>
          <w:vertAlign w:val="subscript"/>
        </w:rPr>
        <w:t>120</w:t>
      </w:r>
      <w:proofErr w:type="gramEnd"/>
      <w:r w:rsidRPr="00805364">
        <w:t xml:space="preserve"> with CGMS (p = 0.25) and plasma glucose (p = 0.09; Table 6). [</w:t>
      </w:r>
      <w:proofErr w:type="gramStart"/>
      <w:r w:rsidRPr="00805364">
        <w:t>G]</w:t>
      </w:r>
      <w:r w:rsidRPr="00805364">
        <w:rPr>
          <w:vertAlign w:val="subscript"/>
        </w:rPr>
        <w:t>max</w:t>
      </w:r>
      <w:proofErr w:type="gramEnd"/>
      <w:r w:rsidRPr="00805364">
        <w:t xml:space="preserve"> increased significantly with SR for capillary blood glucose (p = 0.04) and plasma glucose (p = 0.0</w:t>
      </w:r>
      <w:r w:rsidR="00957B61">
        <w:t>1</w:t>
      </w:r>
      <w:r w:rsidRPr="00805364">
        <w:t>) and recovered with a return to habitual activity (Table 6). Albeit non-significant, t</w:t>
      </w:r>
      <w:r>
        <w:t xml:space="preserve">ime </w:t>
      </w:r>
      <w:r w:rsidR="000D21F0">
        <w:t>spent at &gt;</w:t>
      </w:r>
      <w:r>
        <w:t>10 mM</w:t>
      </w:r>
      <w:r w:rsidRPr="00805364">
        <w:t xml:space="preserve"> during OGTT increased with inactivity and only partially decreased upon resuming habitual activity (Table 6).</w:t>
      </w:r>
      <w:r>
        <w:t xml:space="preserve"> </w:t>
      </w:r>
    </w:p>
    <w:p w14:paraId="70024BD0" w14:textId="6559BE33" w:rsidR="00652245" w:rsidRDefault="00652245" w:rsidP="008D0825">
      <w:pPr>
        <w:keepNext/>
        <w:spacing w:line="480" w:lineRule="auto"/>
        <w:ind w:firstLine="709"/>
      </w:pPr>
      <w:r>
        <w:t xml:space="preserve">In response to SR, the insulin AUC during OGTT was increased by 15 ± 17% </w:t>
      </w:r>
      <w:r w:rsidR="008D0825">
        <w:t xml:space="preserve"> </w:t>
      </w:r>
      <w:r>
        <w:t>(p = 0.07) and decreased only 7 ± 13% with RC (Figure 9A and B, Table 6). Matsuda ISI was significantly decreased with SR by 2</w:t>
      </w:r>
      <w:r w:rsidR="00957B61">
        <w:t>2</w:t>
      </w:r>
      <w:r>
        <w:t xml:space="preserve"> ± 9% (p &lt; 0.001) and increased by only 8 ± 13% with RC, remaining significantly decreased compared to BL (p &lt; 0.001, Figure 9C, Table 6). HOMA-IR was significantly increased with SR by 29 ± 33% (p = 0.02) with no mean decrease after RC, remaining significantly elevated compar</w:t>
      </w:r>
      <w:r w:rsidR="00875699">
        <w:t xml:space="preserve">ed to BL (p = 0.01, Figure 9D, </w:t>
      </w:r>
      <w:r>
        <w:t xml:space="preserve">Table 6). </w:t>
      </w:r>
    </w:p>
    <w:p w14:paraId="232354BD" w14:textId="77777777" w:rsidR="00652245" w:rsidRDefault="00652245" w:rsidP="006C36C2">
      <w:pPr>
        <w:keepNext/>
        <w:ind w:right="-8"/>
      </w:pPr>
      <w:r>
        <w:rPr>
          <w:noProof/>
          <w:lang w:val="en-US" w:eastAsia="en-US"/>
        </w:rPr>
        <w:lastRenderedPageBreak/>
        <w:drawing>
          <wp:inline distT="0" distB="0" distL="0" distR="0" wp14:anchorId="4546A51B" wp14:editId="733A298A">
            <wp:extent cx="5052486" cy="5931958"/>
            <wp:effectExtent l="0" t="0" r="254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TT Glucose Layout.pdf"/>
                    <pic:cNvPicPr/>
                  </pic:nvPicPr>
                  <pic:blipFill>
                    <a:blip r:embed="rId21">
                      <a:extLst>
                        <a:ext uri="{28A0092B-C50C-407E-A947-70E740481C1C}">
                          <a14:useLocalDpi xmlns:a14="http://schemas.microsoft.com/office/drawing/2010/main" val="0"/>
                        </a:ext>
                      </a:extLst>
                    </a:blip>
                    <a:stretch>
                      <a:fillRect/>
                    </a:stretch>
                  </pic:blipFill>
                  <pic:spPr bwMode="auto">
                    <a:xfrm>
                      <a:off x="0" y="0"/>
                      <a:ext cx="5053127" cy="5932711"/>
                    </a:xfrm>
                    <a:prstGeom prst="rect">
                      <a:avLst/>
                    </a:prstGeom>
                    <a:ln>
                      <a:noFill/>
                    </a:ln>
                    <a:extLst>
                      <a:ext uri="{53640926-AAD7-44d8-BBD7-CCE9431645EC}">
                        <a14:shadowObscured xmlns:a14="http://schemas.microsoft.com/office/drawing/2010/main"/>
                      </a:ext>
                    </a:extLst>
                  </pic:spPr>
                </pic:pic>
              </a:graphicData>
            </a:graphic>
          </wp:inline>
        </w:drawing>
      </w:r>
    </w:p>
    <w:p w14:paraId="1D7698F9" w14:textId="50C903B7" w:rsidR="00652245" w:rsidRPr="00946A9C" w:rsidRDefault="00652245" w:rsidP="00304343">
      <w:pPr>
        <w:pStyle w:val="Caption"/>
        <w:spacing w:after="0"/>
        <w:ind w:right="-8"/>
        <w:rPr>
          <w:b w:val="0"/>
          <w:color w:val="auto"/>
          <w:sz w:val="24"/>
          <w:szCs w:val="24"/>
        </w:rPr>
      </w:pPr>
      <w:r>
        <w:rPr>
          <w:color w:val="auto"/>
          <w:sz w:val="24"/>
          <w:szCs w:val="24"/>
        </w:rPr>
        <w:t>Figure 8</w:t>
      </w:r>
      <w:r w:rsidRPr="00225F25">
        <w:rPr>
          <w:color w:val="auto"/>
          <w:sz w:val="24"/>
          <w:szCs w:val="24"/>
        </w:rPr>
        <w:t>.</w:t>
      </w:r>
      <w:r w:rsidRPr="00225F25">
        <w:rPr>
          <w:b w:val="0"/>
          <w:color w:val="auto"/>
          <w:sz w:val="24"/>
          <w:szCs w:val="24"/>
        </w:rPr>
        <w:t xml:space="preserve"> </w:t>
      </w:r>
      <w:proofErr w:type="gramStart"/>
      <w:r w:rsidRPr="00225F25">
        <w:rPr>
          <w:b w:val="0"/>
          <w:color w:val="auto"/>
          <w:sz w:val="24"/>
          <w:szCs w:val="24"/>
        </w:rPr>
        <w:t>Glucose concentration and glucose area under the curve during 2-hour OGTT obtained by various measures.</w:t>
      </w:r>
      <w:proofErr w:type="gramEnd"/>
      <w:r w:rsidRPr="00225F25">
        <w:rPr>
          <w:b w:val="0"/>
          <w:color w:val="auto"/>
          <w:sz w:val="24"/>
          <w:szCs w:val="24"/>
        </w:rPr>
        <w:t xml:space="preserve"> </w:t>
      </w:r>
      <w:r>
        <w:rPr>
          <w:b w:val="0"/>
          <w:color w:val="auto"/>
          <w:sz w:val="24"/>
          <w:szCs w:val="24"/>
        </w:rPr>
        <w:t>Boxes represent 25-75</w:t>
      </w:r>
      <w:r w:rsidRPr="000A5303">
        <w:rPr>
          <w:b w:val="0"/>
          <w:color w:val="auto"/>
          <w:sz w:val="24"/>
          <w:szCs w:val="24"/>
          <w:vertAlign w:val="superscript"/>
        </w:rPr>
        <w:t>th</w:t>
      </w:r>
      <w:r>
        <w:rPr>
          <w:b w:val="0"/>
          <w:color w:val="auto"/>
          <w:sz w:val="24"/>
          <w:szCs w:val="24"/>
        </w:rPr>
        <w:t xml:space="preserve"> quartiles, whiskers represent minimum and maximum, horizontal line represents median, cross represents mean. </w:t>
      </w:r>
      <w:proofErr w:type="gramStart"/>
      <w:r w:rsidR="00225DB1">
        <w:rPr>
          <w:b w:val="0"/>
          <w:color w:val="auto"/>
          <w:sz w:val="24"/>
          <w:szCs w:val="24"/>
        </w:rPr>
        <w:t>n</w:t>
      </w:r>
      <w:proofErr w:type="gramEnd"/>
      <w:r w:rsidR="00225DB1">
        <w:rPr>
          <w:b w:val="0"/>
          <w:color w:val="auto"/>
          <w:sz w:val="24"/>
          <w:szCs w:val="24"/>
        </w:rPr>
        <w:t>=10 (</w:t>
      </w:r>
      <w:r w:rsidR="00851811">
        <w:rPr>
          <w:b w:val="0"/>
          <w:color w:val="auto"/>
          <w:sz w:val="24"/>
          <w:szCs w:val="24"/>
        </w:rPr>
        <w:t xml:space="preserve">6 men and 4 women). </w:t>
      </w:r>
      <w:r w:rsidRPr="00E42731">
        <w:rPr>
          <w:color w:val="auto"/>
          <w:sz w:val="24"/>
          <w:szCs w:val="24"/>
        </w:rPr>
        <w:t>A)</w:t>
      </w:r>
      <w:r>
        <w:rPr>
          <w:b w:val="0"/>
          <w:color w:val="auto"/>
          <w:sz w:val="24"/>
          <w:szCs w:val="24"/>
        </w:rPr>
        <w:t xml:space="preserve"> Time course of glucose concentration via capillary blood sampling. </w:t>
      </w:r>
      <w:r w:rsidRPr="00E42731">
        <w:rPr>
          <w:color w:val="auto"/>
          <w:sz w:val="24"/>
          <w:szCs w:val="24"/>
        </w:rPr>
        <w:t>B)</w:t>
      </w:r>
      <w:r>
        <w:rPr>
          <w:b w:val="0"/>
          <w:color w:val="auto"/>
          <w:sz w:val="24"/>
          <w:szCs w:val="24"/>
        </w:rPr>
        <w:t xml:space="preserve"> Capillary blood glucose concentration area under the curve, * significantly different from BL, p = 0.023. </w:t>
      </w:r>
      <w:r w:rsidRPr="00E42731">
        <w:rPr>
          <w:color w:val="auto"/>
          <w:sz w:val="24"/>
          <w:szCs w:val="24"/>
        </w:rPr>
        <w:t>C)</w:t>
      </w:r>
      <w:r>
        <w:rPr>
          <w:b w:val="0"/>
          <w:color w:val="auto"/>
          <w:sz w:val="24"/>
          <w:szCs w:val="24"/>
        </w:rPr>
        <w:t xml:space="preserve"> Time course of glucose concentration via CGMS. </w:t>
      </w:r>
      <w:r>
        <w:rPr>
          <w:color w:val="auto"/>
          <w:sz w:val="24"/>
          <w:szCs w:val="24"/>
        </w:rPr>
        <w:t>D</w:t>
      </w:r>
      <w:r w:rsidRPr="00E42731">
        <w:rPr>
          <w:color w:val="auto"/>
          <w:sz w:val="24"/>
          <w:szCs w:val="24"/>
        </w:rPr>
        <w:t>)</w:t>
      </w:r>
      <w:r>
        <w:rPr>
          <w:b w:val="0"/>
          <w:color w:val="auto"/>
          <w:sz w:val="24"/>
          <w:szCs w:val="24"/>
        </w:rPr>
        <w:t xml:space="preserve"> CGMS glucose concentration area under the curve. </w:t>
      </w:r>
      <w:r>
        <w:rPr>
          <w:color w:val="auto"/>
          <w:sz w:val="24"/>
          <w:szCs w:val="24"/>
        </w:rPr>
        <w:t>E</w:t>
      </w:r>
      <w:r w:rsidRPr="00E42731">
        <w:rPr>
          <w:color w:val="auto"/>
          <w:sz w:val="24"/>
          <w:szCs w:val="24"/>
        </w:rPr>
        <w:t xml:space="preserve">) </w:t>
      </w:r>
      <w:r>
        <w:rPr>
          <w:b w:val="0"/>
          <w:color w:val="auto"/>
          <w:sz w:val="24"/>
          <w:szCs w:val="24"/>
        </w:rPr>
        <w:t xml:space="preserve">Time course of glucose concentration via venous blood plasma sampling. </w:t>
      </w:r>
      <w:r w:rsidRPr="00E42731">
        <w:rPr>
          <w:color w:val="auto"/>
          <w:sz w:val="24"/>
          <w:szCs w:val="24"/>
        </w:rPr>
        <w:t>F)</w:t>
      </w:r>
      <w:r>
        <w:rPr>
          <w:b w:val="0"/>
          <w:color w:val="auto"/>
          <w:sz w:val="24"/>
          <w:szCs w:val="24"/>
        </w:rPr>
        <w:t xml:space="preserve"> Plasma glucose concentration area under the curve</w:t>
      </w:r>
      <w:r w:rsidR="000D21F0">
        <w:rPr>
          <w:b w:val="0"/>
          <w:color w:val="auto"/>
          <w:sz w:val="24"/>
          <w:szCs w:val="24"/>
        </w:rPr>
        <w:t xml:space="preserve"> </w:t>
      </w:r>
    </w:p>
    <w:p w14:paraId="69D758C7" w14:textId="77777777" w:rsidR="00652245" w:rsidRDefault="00652245" w:rsidP="006C36C2">
      <w:pPr>
        <w:keepNext/>
        <w:spacing w:line="480" w:lineRule="auto"/>
        <w:jc w:val="both"/>
      </w:pPr>
      <w:r>
        <w:rPr>
          <w:noProof/>
          <w:lang w:val="en-US" w:eastAsia="en-US"/>
        </w:rPr>
        <w:lastRenderedPageBreak/>
        <w:drawing>
          <wp:inline distT="0" distB="0" distL="0" distR="0" wp14:anchorId="1B38DCD7" wp14:editId="7D89CFA7">
            <wp:extent cx="5026025" cy="3739449"/>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TT Insulin Layout.pdf"/>
                    <pic:cNvPicPr/>
                  </pic:nvPicPr>
                  <pic:blipFill>
                    <a:blip r:embed="rId22">
                      <a:extLst>
                        <a:ext uri="{28A0092B-C50C-407E-A947-70E740481C1C}">
                          <a14:useLocalDpi xmlns:a14="http://schemas.microsoft.com/office/drawing/2010/main" val="0"/>
                        </a:ext>
                      </a:extLst>
                    </a:blip>
                    <a:stretch>
                      <a:fillRect/>
                    </a:stretch>
                  </pic:blipFill>
                  <pic:spPr>
                    <a:xfrm>
                      <a:off x="0" y="0"/>
                      <a:ext cx="5026025" cy="3739449"/>
                    </a:xfrm>
                    <a:prstGeom prst="rect">
                      <a:avLst/>
                    </a:prstGeom>
                  </pic:spPr>
                </pic:pic>
              </a:graphicData>
            </a:graphic>
          </wp:inline>
        </w:drawing>
      </w:r>
    </w:p>
    <w:p w14:paraId="0575BFB6" w14:textId="054E42C9" w:rsidR="00652245" w:rsidRPr="00127246" w:rsidRDefault="00652245" w:rsidP="00652245">
      <w:pPr>
        <w:pStyle w:val="Caption"/>
        <w:rPr>
          <w:b w:val="0"/>
          <w:color w:val="auto"/>
          <w:sz w:val="24"/>
          <w:szCs w:val="24"/>
        </w:rPr>
      </w:pPr>
      <w:r>
        <w:rPr>
          <w:color w:val="auto"/>
          <w:sz w:val="24"/>
          <w:szCs w:val="24"/>
        </w:rPr>
        <w:t>Figure 9</w:t>
      </w:r>
      <w:r w:rsidRPr="00850DB3">
        <w:rPr>
          <w:color w:val="auto"/>
          <w:sz w:val="24"/>
          <w:szCs w:val="24"/>
        </w:rPr>
        <w:t>.</w:t>
      </w:r>
      <w:r>
        <w:rPr>
          <w:b w:val="0"/>
          <w:color w:val="auto"/>
          <w:sz w:val="24"/>
          <w:szCs w:val="24"/>
        </w:rPr>
        <w:t xml:space="preserve"> Venous blood p</w:t>
      </w:r>
      <w:r w:rsidRPr="00850DB3">
        <w:rPr>
          <w:b w:val="0"/>
          <w:color w:val="auto"/>
          <w:sz w:val="24"/>
          <w:szCs w:val="24"/>
        </w:rPr>
        <w:t>lasma insulin variable</w:t>
      </w:r>
      <w:r>
        <w:rPr>
          <w:b w:val="0"/>
          <w:color w:val="auto"/>
          <w:sz w:val="24"/>
          <w:szCs w:val="24"/>
        </w:rPr>
        <w:t>s determined from 2-hour OGTT. Boxes represent 25-75</w:t>
      </w:r>
      <w:r w:rsidRPr="000A5303">
        <w:rPr>
          <w:b w:val="0"/>
          <w:color w:val="auto"/>
          <w:sz w:val="24"/>
          <w:szCs w:val="24"/>
          <w:vertAlign w:val="superscript"/>
        </w:rPr>
        <w:t>th</w:t>
      </w:r>
      <w:r>
        <w:rPr>
          <w:b w:val="0"/>
          <w:color w:val="auto"/>
          <w:sz w:val="24"/>
          <w:szCs w:val="24"/>
        </w:rPr>
        <w:t xml:space="preserve"> quartiles, whiskers represent minimum and maximum, horizontal line represents median, cross represents mean. * </w:t>
      </w:r>
      <w:proofErr w:type="gramStart"/>
      <w:r>
        <w:rPr>
          <w:b w:val="0"/>
          <w:color w:val="auto"/>
          <w:sz w:val="24"/>
          <w:szCs w:val="24"/>
        </w:rPr>
        <w:t>denotes</w:t>
      </w:r>
      <w:proofErr w:type="gramEnd"/>
      <w:r>
        <w:rPr>
          <w:b w:val="0"/>
          <w:color w:val="auto"/>
          <w:sz w:val="24"/>
          <w:szCs w:val="24"/>
        </w:rPr>
        <w:t xml:space="preserve"> significantly different from BL value. </w:t>
      </w:r>
      <w:proofErr w:type="gramStart"/>
      <w:r w:rsidR="00225DB1">
        <w:rPr>
          <w:b w:val="0"/>
          <w:color w:val="auto"/>
          <w:sz w:val="24"/>
          <w:szCs w:val="24"/>
        </w:rPr>
        <w:t>n</w:t>
      </w:r>
      <w:proofErr w:type="gramEnd"/>
      <w:r w:rsidR="00225DB1">
        <w:rPr>
          <w:b w:val="0"/>
          <w:color w:val="auto"/>
          <w:sz w:val="24"/>
          <w:szCs w:val="24"/>
        </w:rPr>
        <w:t>=10 (</w:t>
      </w:r>
      <w:r w:rsidR="00851811">
        <w:rPr>
          <w:b w:val="0"/>
          <w:color w:val="auto"/>
          <w:sz w:val="24"/>
          <w:szCs w:val="24"/>
        </w:rPr>
        <w:t xml:space="preserve">6 men and 4 women). </w:t>
      </w:r>
      <w:r w:rsidRPr="00132152">
        <w:rPr>
          <w:color w:val="auto"/>
          <w:sz w:val="24"/>
          <w:szCs w:val="24"/>
        </w:rPr>
        <w:t>A</w:t>
      </w:r>
      <w:r w:rsidRPr="00850DB3">
        <w:rPr>
          <w:color w:val="auto"/>
          <w:sz w:val="24"/>
          <w:szCs w:val="24"/>
        </w:rPr>
        <w:t>)</w:t>
      </w:r>
      <w:r>
        <w:rPr>
          <w:color w:val="auto"/>
          <w:sz w:val="24"/>
          <w:szCs w:val="24"/>
        </w:rPr>
        <w:t xml:space="preserve"> </w:t>
      </w:r>
      <w:r>
        <w:rPr>
          <w:b w:val="0"/>
          <w:color w:val="auto"/>
          <w:sz w:val="24"/>
          <w:szCs w:val="24"/>
        </w:rPr>
        <w:t xml:space="preserve">Time course changes of plasma insulin concentration. </w:t>
      </w:r>
      <w:r w:rsidRPr="00127246">
        <w:rPr>
          <w:color w:val="auto"/>
          <w:sz w:val="24"/>
          <w:szCs w:val="24"/>
        </w:rPr>
        <w:t>B)</w:t>
      </w:r>
      <w:r>
        <w:rPr>
          <w:b w:val="0"/>
          <w:color w:val="auto"/>
          <w:sz w:val="24"/>
          <w:szCs w:val="24"/>
        </w:rPr>
        <w:t xml:space="preserve"> Plasma insulin area under the curve. </w:t>
      </w:r>
      <w:r w:rsidR="00851811">
        <w:rPr>
          <w:b w:val="0"/>
          <w:color w:val="auto"/>
          <w:sz w:val="24"/>
          <w:szCs w:val="24"/>
        </w:rPr>
        <w:br/>
      </w:r>
      <w:r w:rsidRPr="00127246">
        <w:rPr>
          <w:color w:val="auto"/>
          <w:sz w:val="24"/>
          <w:szCs w:val="24"/>
        </w:rPr>
        <w:t>C)</w:t>
      </w:r>
      <w:r>
        <w:rPr>
          <w:b w:val="0"/>
          <w:color w:val="auto"/>
          <w:sz w:val="24"/>
          <w:szCs w:val="24"/>
        </w:rPr>
        <w:t xml:space="preserve"> Calculated Matsuda insulin sensitivity index value, * p &lt; 0.001. </w:t>
      </w:r>
      <w:r w:rsidRPr="00127246">
        <w:rPr>
          <w:color w:val="auto"/>
          <w:sz w:val="24"/>
          <w:szCs w:val="24"/>
        </w:rPr>
        <w:t>D)</w:t>
      </w:r>
      <w:r>
        <w:rPr>
          <w:color w:val="auto"/>
          <w:sz w:val="24"/>
          <w:szCs w:val="24"/>
        </w:rPr>
        <w:t xml:space="preserve"> </w:t>
      </w:r>
      <w:r>
        <w:rPr>
          <w:b w:val="0"/>
          <w:color w:val="auto"/>
          <w:sz w:val="24"/>
          <w:szCs w:val="24"/>
        </w:rPr>
        <w:t>Calculated homeostatic model of insulin resistance value, * p &lt; 0.02</w:t>
      </w:r>
      <w:r w:rsidR="000D21F0">
        <w:rPr>
          <w:b w:val="0"/>
          <w:color w:val="auto"/>
          <w:sz w:val="24"/>
          <w:szCs w:val="24"/>
        </w:rPr>
        <w:t xml:space="preserve"> </w:t>
      </w:r>
      <w:r>
        <w:rPr>
          <w:b w:val="0"/>
          <w:color w:val="auto"/>
          <w:sz w:val="24"/>
          <w:szCs w:val="24"/>
        </w:rPr>
        <w:br/>
      </w:r>
    </w:p>
    <w:p w14:paraId="03E92272" w14:textId="77777777" w:rsidR="002E042C" w:rsidRPr="002E042C" w:rsidRDefault="00652245" w:rsidP="002E042C">
      <w:pPr>
        <w:pStyle w:val="Heading3"/>
      </w:pPr>
      <w:bookmarkStart w:id="52" w:name="_Toc296814803"/>
      <w:bookmarkStart w:id="53" w:name="_Toc296932782"/>
      <w:r w:rsidRPr="002E042C">
        <w:t>Free-living glycemic control</w:t>
      </w:r>
      <w:bookmarkEnd w:id="52"/>
      <w:bookmarkEnd w:id="53"/>
    </w:p>
    <w:p w14:paraId="11484E6F" w14:textId="2664BCD6" w:rsidR="00652245" w:rsidRPr="0011081F" w:rsidRDefault="00652245" w:rsidP="00652245">
      <w:pPr>
        <w:keepNext/>
        <w:spacing w:line="480" w:lineRule="auto"/>
        <w:ind w:firstLine="720"/>
      </w:pPr>
      <w:r w:rsidRPr="009311D5">
        <w:t>Two</w:t>
      </w:r>
      <w:r>
        <w:t xml:space="preserve"> weeks of SR did not result in any significant differences </w:t>
      </w:r>
      <w:r w:rsidR="000D21F0">
        <w:t>in</w:t>
      </w:r>
      <w:r>
        <w:t xml:space="preserve"> glycemic control over a 24-hour free-living period. SR did not affect [</w:t>
      </w:r>
      <w:proofErr w:type="gramStart"/>
      <w:r>
        <w:t>G]</w:t>
      </w:r>
      <w:r>
        <w:rPr>
          <w:vertAlign w:val="subscript"/>
        </w:rPr>
        <w:t>24h</w:t>
      </w:r>
      <w:proofErr w:type="gramEnd"/>
      <w:r>
        <w:t>, however it was elevated 4 ± 8% from SR to RC (Table 6). [</w:t>
      </w:r>
      <w:proofErr w:type="gramStart"/>
      <w:r>
        <w:t>G]</w:t>
      </w:r>
      <w:r>
        <w:rPr>
          <w:vertAlign w:val="subscript"/>
        </w:rPr>
        <w:t>min</w:t>
      </w:r>
      <w:proofErr w:type="gramEnd"/>
      <w:r>
        <w:t xml:space="preserve"> and [G]</w:t>
      </w:r>
      <w:r>
        <w:rPr>
          <w:vertAlign w:val="subscript"/>
        </w:rPr>
        <w:t>max</w:t>
      </w:r>
      <w:r>
        <w:t xml:space="preserve"> were reduced and elevated, respectively, with SR compared to BL and </w:t>
      </w:r>
      <w:r w:rsidR="000D21F0">
        <w:t xml:space="preserve">were </w:t>
      </w:r>
      <w:r>
        <w:t>both elevated with RC (Table 6). In the three hours after standardized meals PPG</w:t>
      </w:r>
      <w:r>
        <w:rPr>
          <w:vertAlign w:val="subscript"/>
        </w:rPr>
        <w:t>AUC</w:t>
      </w:r>
      <w:r>
        <w:t xml:space="preserve"> (Figure 10A and B), ∆PPG</w:t>
      </w:r>
      <w:r>
        <w:rPr>
          <w:vertAlign w:val="subscript"/>
        </w:rPr>
        <w:t>peak</w:t>
      </w:r>
      <w:r>
        <w:t xml:space="preserve"> and time with blood glucose concentration &gt;7.9 mM were all increased </w:t>
      </w:r>
      <w:r>
        <w:lastRenderedPageBreak/>
        <w:t>with SR and further increased with RC, however, none of these elevated levels reached statistical significance (Table 6).</w:t>
      </w:r>
    </w:p>
    <w:p w14:paraId="1DF5BD56" w14:textId="77777777" w:rsidR="00652245" w:rsidRDefault="00652245" w:rsidP="006C36C2">
      <w:pPr>
        <w:keepNext/>
        <w:spacing w:line="480" w:lineRule="auto"/>
      </w:pPr>
      <w:r>
        <w:rPr>
          <w:noProof/>
          <w:lang w:val="en-US" w:eastAsia="en-US"/>
        </w:rPr>
        <w:drawing>
          <wp:inline distT="0" distB="0" distL="0" distR="0" wp14:anchorId="23EB7ADB" wp14:editId="58B43A27">
            <wp:extent cx="4388164" cy="59277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G Layout.pdf"/>
                    <pic:cNvPicPr/>
                  </pic:nvPicPr>
                  <pic:blipFill>
                    <a:blip r:embed="rId23">
                      <a:extLst>
                        <a:ext uri="{28A0092B-C50C-407E-A947-70E740481C1C}">
                          <a14:useLocalDpi xmlns:a14="http://schemas.microsoft.com/office/drawing/2010/main" val="0"/>
                        </a:ext>
                      </a:extLst>
                    </a:blip>
                    <a:stretch>
                      <a:fillRect/>
                    </a:stretch>
                  </pic:blipFill>
                  <pic:spPr>
                    <a:xfrm>
                      <a:off x="0" y="0"/>
                      <a:ext cx="4388738" cy="5928500"/>
                    </a:xfrm>
                    <a:prstGeom prst="rect">
                      <a:avLst/>
                    </a:prstGeom>
                  </pic:spPr>
                </pic:pic>
              </a:graphicData>
            </a:graphic>
          </wp:inline>
        </w:drawing>
      </w:r>
    </w:p>
    <w:p w14:paraId="776D4AE1" w14:textId="2547F7B5" w:rsidR="00652245" w:rsidRPr="00132152" w:rsidRDefault="00652245" w:rsidP="00652245">
      <w:pPr>
        <w:pStyle w:val="Caption"/>
        <w:rPr>
          <w:b w:val="0"/>
          <w:color w:val="auto"/>
          <w:sz w:val="24"/>
          <w:szCs w:val="24"/>
        </w:rPr>
      </w:pPr>
      <w:r w:rsidRPr="00DE40A7">
        <w:rPr>
          <w:color w:val="auto"/>
          <w:sz w:val="24"/>
          <w:szCs w:val="24"/>
        </w:rPr>
        <w:t xml:space="preserve">Figure </w:t>
      </w:r>
      <w:r>
        <w:rPr>
          <w:color w:val="auto"/>
          <w:sz w:val="24"/>
          <w:szCs w:val="24"/>
        </w:rPr>
        <w:t>10</w:t>
      </w:r>
      <w:r>
        <w:rPr>
          <w:b w:val="0"/>
          <w:color w:val="auto"/>
          <w:sz w:val="24"/>
          <w:szCs w:val="24"/>
        </w:rPr>
        <w:t xml:space="preserve">. Post-prandial blood glucose variables measured by CGMS in five-minute intervals. </w:t>
      </w:r>
      <w:proofErr w:type="gramStart"/>
      <w:r w:rsidR="00225DB1">
        <w:rPr>
          <w:b w:val="0"/>
          <w:color w:val="auto"/>
          <w:sz w:val="24"/>
          <w:szCs w:val="24"/>
        </w:rPr>
        <w:t>n</w:t>
      </w:r>
      <w:proofErr w:type="gramEnd"/>
      <w:r w:rsidR="00225DB1">
        <w:rPr>
          <w:b w:val="0"/>
          <w:color w:val="auto"/>
          <w:sz w:val="24"/>
          <w:szCs w:val="24"/>
        </w:rPr>
        <w:t>=10 (</w:t>
      </w:r>
      <w:r w:rsidR="00851811">
        <w:rPr>
          <w:b w:val="0"/>
          <w:color w:val="auto"/>
          <w:sz w:val="24"/>
          <w:szCs w:val="24"/>
        </w:rPr>
        <w:t xml:space="preserve">6 men and 4 women). </w:t>
      </w:r>
      <w:r w:rsidRPr="00132152">
        <w:rPr>
          <w:color w:val="auto"/>
          <w:sz w:val="24"/>
          <w:szCs w:val="24"/>
        </w:rPr>
        <w:t>A)</w:t>
      </w:r>
      <w:r>
        <w:rPr>
          <w:b w:val="0"/>
          <w:color w:val="auto"/>
          <w:sz w:val="24"/>
          <w:szCs w:val="24"/>
        </w:rPr>
        <w:t xml:space="preserve"> Time course of</w:t>
      </w:r>
      <w:r w:rsidRPr="00932C36">
        <w:rPr>
          <w:b w:val="0"/>
          <w:color w:val="auto"/>
          <w:sz w:val="24"/>
          <w:szCs w:val="24"/>
        </w:rPr>
        <w:t xml:space="preserve"> </w:t>
      </w:r>
      <w:r>
        <w:rPr>
          <w:b w:val="0"/>
          <w:color w:val="auto"/>
          <w:sz w:val="24"/>
          <w:szCs w:val="24"/>
        </w:rPr>
        <w:t xml:space="preserve">post-prandial </w:t>
      </w:r>
      <w:r w:rsidRPr="00932C36">
        <w:rPr>
          <w:b w:val="0"/>
          <w:color w:val="auto"/>
          <w:sz w:val="24"/>
          <w:szCs w:val="24"/>
        </w:rPr>
        <w:t xml:space="preserve">blood glucose concentration </w:t>
      </w:r>
      <w:r>
        <w:rPr>
          <w:b w:val="0"/>
          <w:color w:val="auto"/>
          <w:sz w:val="24"/>
          <w:szCs w:val="24"/>
        </w:rPr>
        <w:t xml:space="preserve">spanning the three hours post meal-consumption. </w:t>
      </w:r>
      <w:r>
        <w:rPr>
          <w:color w:val="auto"/>
          <w:sz w:val="24"/>
          <w:szCs w:val="24"/>
        </w:rPr>
        <w:t>B)</w:t>
      </w:r>
      <w:r>
        <w:rPr>
          <w:b w:val="0"/>
          <w:color w:val="auto"/>
          <w:sz w:val="24"/>
          <w:szCs w:val="24"/>
        </w:rPr>
        <w:t xml:space="preserve"> Post-prandial glucose area under the curve</w:t>
      </w:r>
      <w:r w:rsidR="00851811">
        <w:rPr>
          <w:b w:val="0"/>
          <w:color w:val="auto"/>
          <w:sz w:val="24"/>
          <w:szCs w:val="24"/>
        </w:rPr>
        <w:t>.</w:t>
      </w:r>
    </w:p>
    <w:p w14:paraId="13EA0E21" w14:textId="77777777" w:rsidR="00652245" w:rsidRPr="00742102" w:rsidRDefault="00652245" w:rsidP="00652245">
      <w:pPr>
        <w:pStyle w:val="Caption"/>
        <w:keepNext/>
        <w:spacing w:after="0"/>
        <w:rPr>
          <w:b w:val="0"/>
          <w:color w:val="auto"/>
          <w:sz w:val="24"/>
          <w:szCs w:val="24"/>
        </w:rPr>
      </w:pPr>
      <w:r w:rsidRPr="00742102">
        <w:rPr>
          <w:color w:val="auto"/>
          <w:sz w:val="24"/>
          <w:szCs w:val="24"/>
        </w:rPr>
        <w:lastRenderedPageBreak/>
        <w:t>Table 6.</w:t>
      </w:r>
      <w:r>
        <w:rPr>
          <w:b w:val="0"/>
          <w:color w:val="auto"/>
          <w:sz w:val="24"/>
          <w:szCs w:val="24"/>
        </w:rPr>
        <w:t xml:space="preserve"> Summary of glycemic control during OGTT and free-living conditions measured via capillary blood finger prick testing and CGMS</w:t>
      </w:r>
    </w:p>
    <w:tbl>
      <w:tblPr>
        <w:tblW w:w="7797" w:type="dxa"/>
        <w:tblInd w:w="108" w:type="dxa"/>
        <w:tblLook w:val="04A0" w:firstRow="1" w:lastRow="0" w:firstColumn="1" w:lastColumn="0" w:noHBand="0" w:noVBand="1"/>
      </w:tblPr>
      <w:tblGrid>
        <w:gridCol w:w="3119"/>
        <w:gridCol w:w="1559"/>
        <w:gridCol w:w="1559"/>
        <w:gridCol w:w="1560"/>
      </w:tblGrid>
      <w:tr w:rsidR="00652245" w:rsidRPr="003B4F49" w14:paraId="291617F3" w14:textId="77777777" w:rsidTr="00304343">
        <w:trPr>
          <w:trHeight w:val="416"/>
        </w:trPr>
        <w:tc>
          <w:tcPr>
            <w:tcW w:w="3119" w:type="dxa"/>
            <w:tcBorders>
              <w:top w:val="single" w:sz="8" w:space="0" w:color="auto"/>
              <w:bottom w:val="single" w:sz="18" w:space="0" w:color="auto"/>
            </w:tcBorders>
            <w:vAlign w:val="center"/>
          </w:tcPr>
          <w:p w14:paraId="152CC848" w14:textId="77777777" w:rsidR="00652245" w:rsidRPr="003B4F49" w:rsidRDefault="00652245" w:rsidP="00304343"/>
        </w:tc>
        <w:tc>
          <w:tcPr>
            <w:tcW w:w="1559" w:type="dxa"/>
            <w:tcBorders>
              <w:top w:val="single" w:sz="8" w:space="0" w:color="auto"/>
              <w:bottom w:val="single" w:sz="18" w:space="0" w:color="auto"/>
            </w:tcBorders>
            <w:vAlign w:val="center"/>
          </w:tcPr>
          <w:p w14:paraId="720C1FC9" w14:textId="77777777" w:rsidR="00652245" w:rsidRPr="003B4F49" w:rsidRDefault="00652245" w:rsidP="00304343">
            <w:pPr>
              <w:jc w:val="center"/>
            </w:pPr>
            <w:r>
              <w:t>BL</w:t>
            </w:r>
          </w:p>
        </w:tc>
        <w:tc>
          <w:tcPr>
            <w:tcW w:w="1559" w:type="dxa"/>
            <w:tcBorders>
              <w:top w:val="single" w:sz="8" w:space="0" w:color="auto"/>
              <w:bottom w:val="single" w:sz="18" w:space="0" w:color="auto"/>
            </w:tcBorders>
            <w:vAlign w:val="center"/>
          </w:tcPr>
          <w:p w14:paraId="562C539C" w14:textId="77777777" w:rsidR="00652245" w:rsidRPr="003B4F49" w:rsidRDefault="00652245" w:rsidP="00304343">
            <w:pPr>
              <w:jc w:val="center"/>
            </w:pPr>
            <w:r>
              <w:t>SR</w:t>
            </w:r>
          </w:p>
        </w:tc>
        <w:tc>
          <w:tcPr>
            <w:tcW w:w="1560" w:type="dxa"/>
            <w:tcBorders>
              <w:top w:val="single" w:sz="8" w:space="0" w:color="auto"/>
              <w:bottom w:val="single" w:sz="18" w:space="0" w:color="auto"/>
            </w:tcBorders>
            <w:vAlign w:val="center"/>
          </w:tcPr>
          <w:p w14:paraId="7D906F98" w14:textId="77777777" w:rsidR="00652245" w:rsidRPr="003B4F49" w:rsidRDefault="00652245" w:rsidP="00304343">
            <w:pPr>
              <w:jc w:val="center"/>
            </w:pPr>
            <w:r>
              <w:t>RC</w:t>
            </w:r>
          </w:p>
        </w:tc>
      </w:tr>
      <w:tr w:rsidR="00652245" w14:paraId="3BB4C9D1" w14:textId="77777777" w:rsidTr="00304343">
        <w:tc>
          <w:tcPr>
            <w:tcW w:w="3119" w:type="dxa"/>
            <w:tcBorders>
              <w:top w:val="single" w:sz="18" w:space="0" w:color="auto"/>
            </w:tcBorders>
            <w:vAlign w:val="center"/>
          </w:tcPr>
          <w:p w14:paraId="4FA19753" w14:textId="77777777" w:rsidR="00652245" w:rsidRDefault="00652245" w:rsidP="00304343">
            <w:pPr>
              <w:spacing w:line="276" w:lineRule="auto"/>
            </w:pPr>
            <w:r>
              <w:t>OGTT</w:t>
            </w:r>
          </w:p>
        </w:tc>
        <w:tc>
          <w:tcPr>
            <w:tcW w:w="1559" w:type="dxa"/>
            <w:tcBorders>
              <w:top w:val="single" w:sz="18" w:space="0" w:color="auto"/>
            </w:tcBorders>
            <w:vAlign w:val="center"/>
          </w:tcPr>
          <w:p w14:paraId="05372106" w14:textId="77777777" w:rsidR="00652245" w:rsidRDefault="00652245" w:rsidP="00304343">
            <w:pPr>
              <w:spacing w:line="276" w:lineRule="auto"/>
              <w:jc w:val="center"/>
            </w:pPr>
          </w:p>
        </w:tc>
        <w:tc>
          <w:tcPr>
            <w:tcW w:w="1559" w:type="dxa"/>
            <w:tcBorders>
              <w:top w:val="single" w:sz="18" w:space="0" w:color="auto"/>
            </w:tcBorders>
            <w:vAlign w:val="center"/>
          </w:tcPr>
          <w:p w14:paraId="2EFA9CCD" w14:textId="77777777" w:rsidR="00652245" w:rsidRDefault="00652245" w:rsidP="00304343">
            <w:pPr>
              <w:spacing w:line="276" w:lineRule="auto"/>
              <w:jc w:val="center"/>
            </w:pPr>
          </w:p>
        </w:tc>
        <w:tc>
          <w:tcPr>
            <w:tcW w:w="1560" w:type="dxa"/>
            <w:tcBorders>
              <w:top w:val="single" w:sz="18" w:space="0" w:color="auto"/>
            </w:tcBorders>
            <w:vAlign w:val="center"/>
          </w:tcPr>
          <w:p w14:paraId="5F5E3219" w14:textId="77777777" w:rsidR="00652245" w:rsidRDefault="00652245" w:rsidP="00304343">
            <w:pPr>
              <w:spacing w:line="276" w:lineRule="auto"/>
              <w:jc w:val="center"/>
            </w:pPr>
          </w:p>
        </w:tc>
      </w:tr>
      <w:tr w:rsidR="00652245" w14:paraId="5001C4E2" w14:textId="77777777" w:rsidTr="00304343">
        <w:tc>
          <w:tcPr>
            <w:tcW w:w="3119" w:type="dxa"/>
            <w:vAlign w:val="center"/>
          </w:tcPr>
          <w:p w14:paraId="21AF1D83" w14:textId="77777777" w:rsidR="00652245" w:rsidRDefault="00652245" w:rsidP="00304343">
            <w:pPr>
              <w:spacing w:line="276" w:lineRule="auto"/>
            </w:pPr>
            <w:r>
              <w:t xml:space="preserve">     Capillary Blood Glucose</w:t>
            </w:r>
          </w:p>
        </w:tc>
        <w:tc>
          <w:tcPr>
            <w:tcW w:w="1559" w:type="dxa"/>
            <w:vAlign w:val="center"/>
          </w:tcPr>
          <w:p w14:paraId="560BE21C" w14:textId="77777777" w:rsidR="00652245" w:rsidRDefault="00652245" w:rsidP="00304343">
            <w:pPr>
              <w:spacing w:line="276" w:lineRule="auto"/>
              <w:jc w:val="center"/>
            </w:pPr>
          </w:p>
        </w:tc>
        <w:tc>
          <w:tcPr>
            <w:tcW w:w="1559" w:type="dxa"/>
            <w:vAlign w:val="center"/>
          </w:tcPr>
          <w:p w14:paraId="20EE3CDE" w14:textId="77777777" w:rsidR="00652245" w:rsidRDefault="00652245" w:rsidP="00304343">
            <w:pPr>
              <w:spacing w:line="276" w:lineRule="auto"/>
              <w:jc w:val="center"/>
            </w:pPr>
          </w:p>
        </w:tc>
        <w:tc>
          <w:tcPr>
            <w:tcW w:w="1560" w:type="dxa"/>
            <w:vAlign w:val="center"/>
          </w:tcPr>
          <w:p w14:paraId="6EA1CB51" w14:textId="77777777" w:rsidR="00652245" w:rsidRDefault="00652245" w:rsidP="00304343">
            <w:pPr>
              <w:spacing w:line="276" w:lineRule="auto"/>
              <w:jc w:val="center"/>
            </w:pPr>
          </w:p>
        </w:tc>
      </w:tr>
      <w:tr w:rsidR="00652245" w14:paraId="5F2FC0DE" w14:textId="77777777" w:rsidTr="00304343">
        <w:tc>
          <w:tcPr>
            <w:tcW w:w="3119" w:type="dxa"/>
            <w:vAlign w:val="center"/>
          </w:tcPr>
          <w:p w14:paraId="6EEADFA6" w14:textId="77777777" w:rsidR="00652245" w:rsidRDefault="00652245" w:rsidP="00304343">
            <w:pPr>
              <w:spacing w:line="276" w:lineRule="auto"/>
            </w:pPr>
            <w:r>
              <w:t xml:space="preserve">          [</w:t>
            </w:r>
            <w:proofErr w:type="gramStart"/>
            <w:r>
              <w:t>G]</w:t>
            </w:r>
            <w:proofErr w:type="gramEnd"/>
            <w:r>
              <w:rPr>
                <w:vertAlign w:val="subscript"/>
              </w:rPr>
              <w:t>AUC</w:t>
            </w:r>
            <w:r>
              <w:t xml:space="preserve"> (AU)</w:t>
            </w:r>
          </w:p>
        </w:tc>
        <w:tc>
          <w:tcPr>
            <w:tcW w:w="1559" w:type="dxa"/>
            <w:vAlign w:val="center"/>
          </w:tcPr>
          <w:p w14:paraId="4392E36F" w14:textId="77777777" w:rsidR="00652245" w:rsidRDefault="00652245" w:rsidP="00304343">
            <w:pPr>
              <w:spacing w:line="276" w:lineRule="auto"/>
              <w:jc w:val="center"/>
            </w:pPr>
            <w:r>
              <w:t>430 ± 111</w:t>
            </w:r>
          </w:p>
        </w:tc>
        <w:tc>
          <w:tcPr>
            <w:tcW w:w="1559" w:type="dxa"/>
            <w:vAlign w:val="center"/>
          </w:tcPr>
          <w:p w14:paraId="752BE42D" w14:textId="77777777" w:rsidR="00652245" w:rsidRDefault="00652245" w:rsidP="00304343">
            <w:pPr>
              <w:spacing w:line="276" w:lineRule="auto"/>
              <w:jc w:val="center"/>
            </w:pPr>
            <w:r>
              <w:t>503 ± 118*</w:t>
            </w:r>
          </w:p>
        </w:tc>
        <w:tc>
          <w:tcPr>
            <w:tcW w:w="1560" w:type="dxa"/>
            <w:vAlign w:val="center"/>
          </w:tcPr>
          <w:p w14:paraId="2FDD7DCC" w14:textId="77777777" w:rsidR="00652245" w:rsidRDefault="00652245" w:rsidP="00304343">
            <w:pPr>
              <w:spacing w:line="276" w:lineRule="auto"/>
              <w:jc w:val="center"/>
            </w:pPr>
            <w:r>
              <w:t>394 ± 128</w:t>
            </w:r>
          </w:p>
        </w:tc>
      </w:tr>
      <w:tr w:rsidR="00652245" w14:paraId="4222830B" w14:textId="77777777" w:rsidTr="00304343">
        <w:tc>
          <w:tcPr>
            <w:tcW w:w="3119" w:type="dxa"/>
            <w:vAlign w:val="center"/>
          </w:tcPr>
          <w:p w14:paraId="4606E29C" w14:textId="77777777" w:rsidR="00652245" w:rsidRPr="00EE7328" w:rsidRDefault="00652245" w:rsidP="00304343">
            <w:pPr>
              <w:spacing w:line="276" w:lineRule="auto"/>
            </w:pPr>
            <w:r>
              <w:t xml:space="preserve">          [</w:t>
            </w:r>
            <w:proofErr w:type="gramStart"/>
            <w:r>
              <w:t>G]</w:t>
            </w:r>
            <w:r>
              <w:rPr>
                <w:vertAlign w:val="subscript"/>
              </w:rPr>
              <w:t>120</w:t>
            </w:r>
            <w:proofErr w:type="gramEnd"/>
            <w:r>
              <w:t xml:space="preserve"> (mM)</w:t>
            </w:r>
          </w:p>
        </w:tc>
        <w:tc>
          <w:tcPr>
            <w:tcW w:w="1559" w:type="dxa"/>
            <w:vAlign w:val="center"/>
          </w:tcPr>
          <w:p w14:paraId="11304BF9" w14:textId="77777777" w:rsidR="00652245" w:rsidRDefault="00652245" w:rsidP="00304343">
            <w:pPr>
              <w:spacing w:line="276" w:lineRule="auto"/>
              <w:jc w:val="center"/>
            </w:pPr>
            <w:r>
              <w:t>7.3 ± 1.5</w:t>
            </w:r>
          </w:p>
        </w:tc>
        <w:tc>
          <w:tcPr>
            <w:tcW w:w="1559" w:type="dxa"/>
            <w:vAlign w:val="center"/>
          </w:tcPr>
          <w:p w14:paraId="04DF4602" w14:textId="77777777" w:rsidR="00652245" w:rsidRDefault="00652245" w:rsidP="00304343">
            <w:pPr>
              <w:spacing w:line="276" w:lineRule="auto"/>
              <w:jc w:val="center"/>
            </w:pPr>
            <w:r>
              <w:t>9.1 ± 1.4*</w:t>
            </w:r>
          </w:p>
        </w:tc>
        <w:tc>
          <w:tcPr>
            <w:tcW w:w="1560" w:type="dxa"/>
            <w:vAlign w:val="center"/>
          </w:tcPr>
          <w:p w14:paraId="048D7733" w14:textId="77777777" w:rsidR="00652245" w:rsidRDefault="00652245" w:rsidP="00304343">
            <w:pPr>
              <w:spacing w:line="276" w:lineRule="auto"/>
              <w:jc w:val="center"/>
            </w:pPr>
            <w:r>
              <w:t>7.5 ± 1.7</w:t>
            </w:r>
          </w:p>
        </w:tc>
      </w:tr>
      <w:tr w:rsidR="00652245" w14:paraId="69EB1DDB" w14:textId="77777777" w:rsidTr="00304343">
        <w:tc>
          <w:tcPr>
            <w:tcW w:w="3119" w:type="dxa"/>
            <w:vAlign w:val="center"/>
          </w:tcPr>
          <w:p w14:paraId="410A1A95" w14:textId="77777777" w:rsidR="00652245" w:rsidRPr="004945D3" w:rsidRDefault="00652245" w:rsidP="00304343">
            <w:pPr>
              <w:spacing w:line="276" w:lineRule="auto"/>
            </w:pPr>
            <w:r>
              <w:t xml:space="preserve">          [</w:t>
            </w:r>
            <w:proofErr w:type="gramStart"/>
            <w:r>
              <w:t>G]</w:t>
            </w:r>
            <w:r>
              <w:rPr>
                <w:vertAlign w:val="subscript"/>
              </w:rPr>
              <w:t>max</w:t>
            </w:r>
            <w:proofErr w:type="gramEnd"/>
            <w:r>
              <w:t xml:space="preserve"> (mM)</w:t>
            </w:r>
          </w:p>
        </w:tc>
        <w:tc>
          <w:tcPr>
            <w:tcW w:w="1559" w:type="dxa"/>
            <w:vAlign w:val="center"/>
          </w:tcPr>
          <w:p w14:paraId="3BAA9AF3" w14:textId="77777777" w:rsidR="00652245" w:rsidRDefault="00652245" w:rsidP="00304343">
            <w:pPr>
              <w:spacing w:line="276" w:lineRule="auto"/>
              <w:jc w:val="center"/>
            </w:pPr>
            <w:r>
              <w:t>10.8 ± 1.9</w:t>
            </w:r>
          </w:p>
        </w:tc>
        <w:tc>
          <w:tcPr>
            <w:tcW w:w="1559" w:type="dxa"/>
            <w:vAlign w:val="center"/>
          </w:tcPr>
          <w:p w14:paraId="1B07276F" w14:textId="77777777" w:rsidR="00652245" w:rsidRDefault="00652245" w:rsidP="00304343">
            <w:pPr>
              <w:spacing w:line="276" w:lineRule="auto"/>
              <w:jc w:val="center"/>
            </w:pPr>
            <w:r>
              <w:t>11.6 ± 1.6*</w:t>
            </w:r>
          </w:p>
        </w:tc>
        <w:tc>
          <w:tcPr>
            <w:tcW w:w="1560" w:type="dxa"/>
            <w:vAlign w:val="center"/>
          </w:tcPr>
          <w:p w14:paraId="7C8087EA" w14:textId="77777777" w:rsidR="00652245" w:rsidRDefault="00652245" w:rsidP="00304343">
            <w:pPr>
              <w:spacing w:line="276" w:lineRule="auto"/>
              <w:jc w:val="center"/>
            </w:pPr>
            <w:r>
              <w:t>10.8 ± 2.1</w:t>
            </w:r>
          </w:p>
        </w:tc>
      </w:tr>
      <w:tr w:rsidR="00652245" w14:paraId="36DB524F" w14:textId="77777777" w:rsidTr="00304343">
        <w:tc>
          <w:tcPr>
            <w:tcW w:w="3119" w:type="dxa"/>
            <w:vAlign w:val="center"/>
          </w:tcPr>
          <w:p w14:paraId="7BE55284" w14:textId="77777777" w:rsidR="00652245" w:rsidRDefault="00652245" w:rsidP="00304343">
            <w:pPr>
              <w:spacing w:line="276" w:lineRule="auto"/>
            </w:pPr>
            <w:r>
              <w:t xml:space="preserve">     CGMS</w:t>
            </w:r>
          </w:p>
        </w:tc>
        <w:tc>
          <w:tcPr>
            <w:tcW w:w="1559" w:type="dxa"/>
            <w:vAlign w:val="center"/>
          </w:tcPr>
          <w:p w14:paraId="279B8ABD" w14:textId="77777777" w:rsidR="00652245" w:rsidRDefault="00652245" w:rsidP="00304343">
            <w:pPr>
              <w:spacing w:line="276" w:lineRule="auto"/>
              <w:jc w:val="center"/>
            </w:pPr>
          </w:p>
        </w:tc>
        <w:tc>
          <w:tcPr>
            <w:tcW w:w="1559" w:type="dxa"/>
            <w:vAlign w:val="center"/>
          </w:tcPr>
          <w:p w14:paraId="15264702" w14:textId="77777777" w:rsidR="00652245" w:rsidRDefault="00652245" w:rsidP="00304343">
            <w:pPr>
              <w:spacing w:line="276" w:lineRule="auto"/>
              <w:jc w:val="center"/>
            </w:pPr>
          </w:p>
        </w:tc>
        <w:tc>
          <w:tcPr>
            <w:tcW w:w="1560" w:type="dxa"/>
            <w:vAlign w:val="center"/>
          </w:tcPr>
          <w:p w14:paraId="787EE31A" w14:textId="77777777" w:rsidR="00652245" w:rsidRDefault="00652245" w:rsidP="00304343">
            <w:pPr>
              <w:spacing w:line="276" w:lineRule="auto"/>
              <w:jc w:val="center"/>
            </w:pPr>
          </w:p>
        </w:tc>
      </w:tr>
      <w:tr w:rsidR="00652245" w14:paraId="5CCF68F7" w14:textId="77777777" w:rsidTr="00304343">
        <w:tc>
          <w:tcPr>
            <w:tcW w:w="3119" w:type="dxa"/>
            <w:vAlign w:val="center"/>
          </w:tcPr>
          <w:p w14:paraId="16F16FE7" w14:textId="77777777" w:rsidR="00652245" w:rsidRPr="00AA0A50" w:rsidRDefault="00652245" w:rsidP="00304343">
            <w:pPr>
              <w:spacing w:line="276" w:lineRule="auto"/>
            </w:pPr>
            <w:r>
              <w:t xml:space="preserve">          [</w:t>
            </w:r>
            <w:proofErr w:type="gramStart"/>
            <w:r>
              <w:t>G]</w:t>
            </w:r>
            <w:proofErr w:type="gramEnd"/>
            <w:r>
              <w:rPr>
                <w:vertAlign w:val="subscript"/>
              </w:rPr>
              <w:t>AUC</w:t>
            </w:r>
            <w:r>
              <w:t xml:space="preserve"> (AU)</w:t>
            </w:r>
          </w:p>
        </w:tc>
        <w:tc>
          <w:tcPr>
            <w:tcW w:w="1559" w:type="dxa"/>
            <w:vAlign w:val="center"/>
          </w:tcPr>
          <w:p w14:paraId="475EA42B" w14:textId="77777777" w:rsidR="00652245" w:rsidRDefault="00652245" w:rsidP="00304343">
            <w:pPr>
              <w:spacing w:line="276" w:lineRule="auto"/>
              <w:jc w:val="center"/>
            </w:pPr>
            <w:r>
              <w:t>331 ± 154</w:t>
            </w:r>
          </w:p>
        </w:tc>
        <w:tc>
          <w:tcPr>
            <w:tcW w:w="1559" w:type="dxa"/>
            <w:vAlign w:val="center"/>
          </w:tcPr>
          <w:p w14:paraId="14CCE8C1" w14:textId="77777777" w:rsidR="00652245" w:rsidRDefault="00652245" w:rsidP="00304343">
            <w:pPr>
              <w:spacing w:line="276" w:lineRule="auto"/>
              <w:jc w:val="center"/>
            </w:pPr>
            <w:r>
              <w:t>387 ± 144</w:t>
            </w:r>
          </w:p>
        </w:tc>
        <w:tc>
          <w:tcPr>
            <w:tcW w:w="1560" w:type="dxa"/>
            <w:vAlign w:val="center"/>
          </w:tcPr>
          <w:p w14:paraId="1409F381" w14:textId="77777777" w:rsidR="00652245" w:rsidRDefault="00652245" w:rsidP="00304343">
            <w:pPr>
              <w:spacing w:line="276" w:lineRule="auto"/>
              <w:jc w:val="center"/>
            </w:pPr>
            <w:r>
              <w:t>367 ± 206</w:t>
            </w:r>
          </w:p>
        </w:tc>
      </w:tr>
      <w:tr w:rsidR="00652245" w14:paraId="44516E5E" w14:textId="77777777" w:rsidTr="00304343">
        <w:tc>
          <w:tcPr>
            <w:tcW w:w="3119" w:type="dxa"/>
            <w:vAlign w:val="center"/>
          </w:tcPr>
          <w:p w14:paraId="1BFAA20D" w14:textId="77777777" w:rsidR="00652245" w:rsidRPr="00AA0A50" w:rsidRDefault="00652245" w:rsidP="00304343">
            <w:pPr>
              <w:spacing w:line="276" w:lineRule="auto"/>
            </w:pPr>
            <w:r>
              <w:t xml:space="preserve">          [</w:t>
            </w:r>
            <w:proofErr w:type="gramStart"/>
            <w:r>
              <w:t>G]</w:t>
            </w:r>
            <w:r>
              <w:rPr>
                <w:vertAlign w:val="subscript"/>
              </w:rPr>
              <w:t>120</w:t>
            </w:r>
            <w:proofErr w:type="gramEnd"/>
            <w:r>
              <w:t xml:space="preserve"> (mM)</w:t>
            </w:r>
          </w:p>
        </w:tc>
        <w:tc>
          <w:tcPr>
            <w:tcW w:w="1559" w:type="dxa"/>
            <w:vAlign w:val="center"/>
          </w:tcPr>
          <w:p w14:paraId="792789C9" w14:textId="77777777" w:rsidR="00652245" w:rsidRDefault="00652245" w:rsidP="00304343">
            <w:pPr>
              <w:spacing w:line="276" w:lineRule="auto"/>
              <w:jc w:val="center"/>
            </w:pPr>
            <w:r>
              <w:t>7.3 ± 1.4</w:t>
            </w:r>
          </w:p>
        </w:tc>
        <w:tc>
          <w:tcPr>
            <w:tcW w:w="1559" w:type="dxa"/>
            <w:vAlign w:val="center"/>
          </w:tcPr>
          <w:p w14:paraId="7CDDE5A4" w14:textId="77777777" w:rsidR="00652245" w:rsidRDefault="00652245" w:rsidP="00304343">
            <w:pPr>
              <w:spacing w:line="276" w:lineRule="auto"/>
              <w:jc w:val="center"/>
            </w:pPr>
            <w:r>
              <w:t>8.3 ± 1.7</w:t>
            </w:r>
          </w:p>
        </w:tc>
        <w:tc>
          <w:tcPr>
            <w:tcW w:w="1560" w:type="dxa"/>
            <w:vAlign w:val="center"/>
          </w:tcPr>
          <w:p w14:paraId="67BFCE12" w14:textId="77777777" w:rsidR="00652245" w:rsidRDefault="00652245" w:rsidP="00304343">
            <w:pPr>
              <w:spacing w:line="276" w:lineRule="auto"/>
              <w:jc w:val="center"/>
            </w:pPr>
            <w:r>
              <w:t>6.9 ± 3.2</w:t>
            </w:r>
          </w:p>
        </w:tc>
      </w:tr>
      <w:tr w:rsidR="00652245" w14:paraId="233D8E49" w14:textId="77777777" w:rsidTr="00304343">
        <w:tc>
          <w:tcPr>
            <w:tcW w:w="3119" w:type="dxa"/>
            <w:vAlign w:val="center"/>
          </w:tcPr>
          <w:p w14:paraId="0303E039" w14:textId="77777777" w:rsidR="00652245" w:rsidRPr="00AA0A50" w:rsidRDefault="00652245" w:rsidP="00304343">
            <w:pPr>
              <w:spacing w:line="276" w:lineRule="auto"/>
            </w:pPr>
            <w:r>
              <w:t xml:space="preserve">          [</w:t>
            </w:r>
            <w:proofErr w:type="gramStart"/>
            <w:r>
              <w:t>G]</w:t>
            </w:r>
            <w:r>
              <w:rPr>
                <w:vertAlign w:val="subscript"/>
              </w:rPr>
              <w:t>max</w:t>
            </w:r>
            <w:proofErr w:type="gramEnd"/>
            <w:r>
              <w:t xml:space="preserve"> (mM)</w:t>
            </w:r>
          </w:p>
        </w:tc>
        <w:tc>
          <w:tcPr>
            <w:tcW w:w="1559" w:type="dxa"/>
            <w:vAlign w:val="center"/>
          </w:tcPr>
          <w:p w14:paraId="46BD968A" w14:textId="77777777" w:rsidR="00652245" w:rsidRDefault="00652245" w:rsidP="00304343">
            <w:pPr>
              <w:spacing w:line="276" w:lineRule="auto"/>
              <w:jc w:val="center"/>
            </w:pPr>
            <w:r>
              <w:t>9.9 ± 2.5</w:t>
            </w:r>
          </w:p>
        </w:tc>
        <w:tc>
          <w:tcPr>
            <w:tcW w:w="1559" w:type="dxa"/>
            <w:vAlign w:val="center"/>
          </w:tcPr>
          <w:p w14:paraId="72450FF0" w14:textId="77777777" w:rsidR="00652245" w:rsidRDefault="00652245" w:rsidP="00304343">
            <w:pPr>
              <w:spacing w:line="276" w:lineRule="auto"/>
              <w:jc w:val="center"/>
            </w:pPr>
            <w:r>
              <w:t>10.5 ± 2.1</w:t>
            </w:r>
          </w:p>
        </w:tc>
        <w:tc>
          <w:tcPr>
            <w:tcW w:w="1560" w:type="dxa"/>
            <w:vAlign w:val="center"/>
          </w:tcPr>
          <w:p w14:paraId="5E8158EE" w14:textId="77777777" w:rsidR="00652245" w:rsidRDefault="00652245" w:rsidP="00304343">
            <w:pPr>
              <w:spacing w:line="276" w:lineRule="auto"/>
              <w:jc w:val="center"/>
            </w:pPr>
            <w:r>
              <w:t>9.3 ± 3.9</w:t>
            </w:r>
          </w:p>
        </w:tc>
      </w:tr>
      <w:tr w:rsidR="00652245" w14:paraId="0DC54DD7" w14:textId="77777777" w:rsidTr="00304343">
        <w:tc>
          <w:tcPr>
            <w:tcW w:w="3119" w:type="dxa"/>
            <w:vAlign w:val="center"/>
          </w:tcPr>
          <w:p w14:paraId="0B88489C" w14:textId="77777777" w:rsidR="00652245" w:rsidRDefault="00652245" w:rsidP="00304343">
            <w:pPr>
              <w:spacing w:line="276" w:lineRule="auto"/>
            </w:pPr>
            <w:r>
              <w:t xml:space="preserve">          Time &gt;10 mM (min)</w:t>
            </w:r>
          </w:p>
        </w:tc>
        <w:tc>
          <w:tcPr>
            <w:tcW w:w="1559" w:type="dxa"/>
            <w:vAlign w:val="center"/>
          </w:tcPr>
          <w:p w14:paraId="06564418" w14:textId="14614BC9" w:rsidR="00652245" w:rsidRDefault="00706446" w:rsidP="00304343">
            <w:pPr>
              <w:spacing w:line="276" w:lineRule="auto"/>
              <w:jc w:val="center"/>
            </w:pPr>
            <w:r>
              <w:t>24</w:t>
            </w:r>
            <w:r w:rsidR="00652245">
              <w:t xml:space="preserve"> ± </w:t>
            </w:r>
            <w:r>
              <w:t>51</w:t>
            </w:r>
          </w:p>
        </w:tc>
        <w:tc>
          <w:tcPr>
            <w:tcW w:w="1559" w:type="dxa"/>
            <w:vAlign w:val="center"/>
          </w:tcPr>
          <w:p w14:paraId="367F01C5" w14:textId="22741A95" w:rsidR="00652245" w:rsidRDefault="00706446" w:rsidP="00304343">
            <w:pPr>
              <w:spacing w:line="276" w:lineRule="auto"/>
              <w:jc w:val="center"/>
            </w:pPr>
            <w:r>
              <w:t>46</w:t>
            </w:r>
            <w:r w:rsidR="00652245">
              <w:t xml:space="preserve"> ± 3</w:t>
            </w:r>
            <w:r>
              <w:t>9</w:t>
            </w:r>
          </w:p>
        </w:tc>
        <w:tc>
          <w:tcPr>
            <w:tcW w:w="1560" w:type="dxa"/>
            <w:vAlign w:val="center"/>
          </w:tcPr>
          <w:p w14:paraId="4173AD1F" w14:textId="55B1F06D" w:rsidR="00652245" w:rsidRDefault="00706446" w:rsidP="00304343">
            <w:pPr>
              <w:spacing w:line="276" w:lineRule="auto"/>
              <w:jc w:val="center"/>
            </w:pPr>
            <w:r>
              <w:t>34</w:t>
            </w:r>
            <w:r w:rsidR="00652245">
              <w:t xml:space="preserve"> ± </w:t>
            </w:r>
            <w:r>
              <w:t>4</w:t>
            </w:r>
            <w:r w:rsidR="00652245">
              <w:t>8</w:t>
            </w:r>
          </w:p>
        </w:tc>
      </w:tr>
      <w:tr w:rsidR="00652245" w14:paraId="46B3CEE4" w14:textId="77777777" w:rsidTr="00304343">
        <w:tc>
          <w:tcPr>
            <w:tcW w:w="3119" w:type="dxa"/>
            <w:vAlign w:val="center"/>
          </w:tcPr>
          <w:p w14:paraId="6547E0D5" w14:textId="77777777" w:rsidR="00652245" w:rsidRDefault="00652245" w:rsidP="00304343">
            <w:pPr>
              <w:spacing w:line="276" w:lineRule="auto"/>
            </w:pPr>
            <w:r>
              <w:t xml:space="preserve">     Plasma</w:t>
            </w:r>
          </w:p>
        </w:tc>
        <w:tc>
          <w:tcPr>
            <w:tcW w:w="1559" w:type="dxa"/>
            <w:vAlign w:val="center"/>
          </w:tcPr>
          <w:p w14:paraId="11894045" w14:textId="77777777" w:rsidR="00652245" w:rsidRDefault="00652245" w:rsidP="00304343">
            <w:pPr>
              <w:spacing w:line="276" w:lineRule="auto"/>
              <w:jc w:val="center"/>
            </w:pPr>
          </w:p>
        </w:tc>
        <w:tc>
          <w:tcPr>
            <w:tcW w:w="1559" w:type="dxa"/>
            <w:vAlign w:val="center"/>
          </w:tcPr>
          <w:p w14:paraId="59735854" w14:textId="77777777" w:rsidR="00652245" w:rsidRDefault="00652245" w:rsidP="00304343">
            <w:pPr>
              <w:spacing w:line="276" w:lineRule="auto"/>
              <w:jc w:val="center"/>
            </w:pPr>
          </w:p>
        </w:tc>
        <w:tc>
          <w:tcPr>
            <w:tcW w:w="1560" w:type="dxa"/>
            <w:vAlign w:val="center"/>
          </w:tcPr>
          <w:p w14:paraId="3910705F" w14:textId="77777777" w:rsidR="00652245" w:rsidRDefault="00652245" w:rsidP="00304343">
            <w:pPr>
              <w:spacing w:line="276" w:lineRule="auto"/>
              <w:jc w:val="center"/>
            </w:pPr>
          </w:p>
        </w:tc>
      </w:tr>
      <w:tr w:rsidR="00652245" w14:paraId="2E73C36C" w14:textId="77777777" w:rsidTr="00304343">
        <w:tc>
          <w:tcPr>
            <w:tcW w:w="3119" w:type="dxa"/>
            <w:vAlign w:val="center"/>
          </w:tcPr>
          <w:p w14:paraId="7B14ED9F" w14:textId="77777777" w:rsidR="00652245" w:rsidRDefault="00652245" w:rsidP="00304343">
            <w:pPr>
              <w:spacing w:line="276" w:lineRule="auto"/>
            </w:pPr>
            <w:r>
              <w:t xml:space="preserve">          [</w:t>
            </w:r>
            <w:proofErr w:type="gramStart"/>
            <w:r>
              <w:t>G]</w:t>
            </w:r>
            <w:proofErr w:type="gramEnd"/>
            <w:r>
              <w:rPr>
                <w:vertAlign w:val="subscript"/>
              </w:rPr>
              <w:t>AUC</w:t>
            </w:r>
            <w:r>
              <w:t xml:space="preserve"> (AU)</w:t>
            </w:r>
          </w:p>
        </w:tc>
        <w:tc>
          <w:tcPr>
            <w:tcW w:w="1559" w:type="dxa"/>
            <w:vAlign w:val="center"/>
          </w:tcPr>
          <w:p w14:paraId="6CECE312" w14:textId="77777777" w:rsidR="00652245" w:rsidRDefault="00652245" w:rsidP="00304343">
            <w:pPr>
              <w:spacing w:line="276" w:lineRule="auto"/>
              <w:jc w:val="center"/>
            </w:pPr>
            <w:r>
              <w:t>325 ± 126</w:t>
            </w:r>
          </w:p>
        </w:tc>
        <w:tc>
          <w:tcPr>
            <w:tcW w:w="1559" w:type="dxa"/>
            <w:vAlign w:val="center"/>
          </w:tcPr>
          <w:p w14:paraId="56D0228C" w14:textId="77777777" w:rsidR="00652245" w:rsidRDefault="00652245" w:rsidP="00304343">
            <w:pPr>
              <w:spacing w:line="276" w:lineRule="auto"/>
              <w:jc w:val="center"/>
            </w:pPr>
            <w:r>
              <w:t>375 ± 137</w:t>
            </w:r>
          </w:p>
        </w:tc>
        <w:tc>
          <w:tcPr>
            <w:tcW w:w="1560" w:type="dxa"/>
            <w:vAlign w:val="center"/>
          </w:tcPr>
          <w:p w14:paraId="09CA3C30" w14:textId="77777777" w:rsidR="00652245" w:rsidRDefault="00652245" w:rsidP="00304343">
            <w:pPr>
              <w:spacing w:line="276" w:lineRule="auto"/>
              <w:jc w:val="center"/>
            </w:pPr>
            <w:r>
              <w:t>331 ± 148</w:t>
            </w:r>
          </w:p>
        </w:tc>
      </w:tr>
      <w:tr w:rsidR="00652245" w14:paraId="58192387" w14:textId="77777777" w:rsidTr="00304343">
        <w:tc>
          <w:tcPr>
            <w:tcW w:w="3119" w:type="dxa"/>
            <w:vAlign w:val="center"/>
          </w:tcPr>
          <w:p w14:paraId="2A1CD2BD" w14:textId="77777777" w:rsidR="00652245" w:rsidRDefault="00652245" w:rsidP="00304343">
            <w:pPr>
              <w:spacing w:line="276" w:lineRule="auto"/>
            </w:pPr>
            <w:r>
              <w:t xml:space="preserve">          [</w:t>
            </w:r>
            <w:proofErr w:type="gramStart"/>
            <w:r>
              <w:t>G]</w:t>
            </w:r>
            <w:r>
              <w:rPr>
                <w:vertAlign w:val="subscript"/>
              </w:rPr>
              <w:t>120</w:t>
            </w:r>
            <w:proofErr w:type="gramEnd"/>
            <w:r>
              <w:t xml:space="preserve"> (mM)</w:t>
            </w:r>
          </w:p>
        </w:tc>
        <w:tc>
          <w:tcPr>
            <w:tcW w:w="1559" w:type="dxa"/>
            <w:vAlign w:val="center"/>
          </w:tcPr>
          <w:p w14:paraId="2ECD6198" w14:textId="77777777" w:rsidR="00652245" w:rsidRDefault="00652245" w:rsidP="00304343">
            <w:pPr>
              <w:spacing w:line="276" w:lineRule="auto"/>
              <w:jc w:val="center"/>
            </w:pPr>
            <w:r>
              <w:t>7.9 ± 1.3</w:t>
            </w:r>
          </w:p>
        </w:tc>
        <w:tc>
          <w:tcPr>
            <w:tcW w:w="1559" w:type="dxa"/>
            <w:vAlign w:val="center"/>
          </w:tcPr>
          <w:p w14:paraId="1825E242" w14:textId="77777777" w:rsidR="00652245" w:rsidRDefault="00652245" w:rsidP="00304343">
            <w:pPr>
              <w:spacing w:line="276" w:lineRule="auto"/>
              <w:jc w:val="center"/>
            </w:pPr>
            <w:r>
              <w:t>9.1 ± 1.1</w:t>
            </w:r>
          </w:p>
        </w:tc>
        <w:tc>
          <w:tcPr>
            <w:tcW w:w="1560" w:type="dxa"/>
            <w:vAlign w:val="center"/>
          </w:tcPr>
          <w:p w14:paraId="0065AFE2" w14:textId="77777777" w:rsidR="00652245" w:rsidRDefault="00652245" w:rsidP="00304343">
            <w:pPr>
              <w:spacing w:line="276" w:lineRule="auto"/>
              <w:jc w:val="center"/>
            </w:pPr>
            <w:r>
              <w:t>8.8 ± 1.8</w:t>
            </w:r>
          </w:p>
        </w:tc>
      </w:tr>
      <w:tr w:rsidR="00652245" w14:paraId="57BC0043" w14:textId="77777777" w:rsidTr="00304343">
        <w:tc>
          <w:tcPr>
            <w:tcW w:w="3119" w:type="dxa"/>
            <w:vAlign w:val="center"/>
          </w:tcPr>
          <w:p w14:paraId="5774D540" w14:textId="77777777" w:rsidR="00652245" w:rsidRDefault="00652245" w:rsidP="00304343">
            <w:pPr>
              <w:spacing w:line="276" w:lineRule="auto"/>
            </w:pPr>
            <w:r>
              <w:t xml:space="preserve">          [</w:t>
            </w:r>
            <w:proofErr w:type="gramStart"/>
            <w:r>
              <w:t>G]</w:t>
            </w:r>
            <w:r>
              <w:rPr>
                <w:vertAlign w:val="subscript"/>
              </w:rPr>
              <w:t>max</w:t>
            </w:r>
            <w:proofErr w:type="gramEnd"/>
            <w:r>
              <w:t xml:space="preserve"> (mM)</w:t>
            </w:r>
          </w:p>
        </w:tc>
        <w:tc>
          <w:tcPr>
            <w:tcW w:w="1559" w:type="dxa"/>
            <w:vAlign w:val="center"/>
          </w:tcPr>
          <w:p w14:paraId="3825CCFF" w14:textId="26616894" w:rsidR="00652245" w:rsidRDefault="00957B61" w:rsidP="00304343">
            <w:pPr>
              <w:spacing w:line="276" w:lineRule="auto"/>
              <w:jc w:val="center"/>
            </w:pPr>
            <w:r>
              <w:t>10.8</w:t>
            </w:r>
            <w:r w:rsidR="00652245">
              <w:t xml:space="preserve"> ± 2.4</w:t>
            </w:r>
          </w:p>
        </w:tc>
        <w:tc>
          <w:tcPr>
            <w:tcW w:w="1559" w:type="dxa"/>
            <w:vAlign w:val="center"/>
          </w:tcPr>
          <w:p w14:paraId="1D3616D3" w14:textId="77777777" w:rsidR="00652245" w:rsidRDefault="00652245" w:rsidP="00304343">
            <w:pPr>
              <w:spacing w:line="276" w:lineRule="auto"/>
              <w:jc w:val="center"/>
            </w:pPr>
            <w:r>
              <w:t>11.9 ± 1.7*</w:t>
            </w:r>
          </w:p>
        </w:tc>
        <w:tc>
          <w:tcPr>
            <w:tcW w:w="1560" w:type="dxa"/>
            <w:vAlign w:val="center"/>
          </w:tcPr>
          <w:p w14:paraId="3F165B5E" w14:textId="77777777" w:rsidR="00652245" w:rsidRDefault="00652245" w:rsidP="00304343">
            <w:pPr>
              <w:spacing w:line="276" w:lineRule="auto"/>
              <w:jc w:val="center"/>
            </w:pPr>
            <w:r>
              <w:t>11.1 ± 1.9</w:t>
            </w:r>
          </w:p>
        </w:tc>
      </w:tr>
      <w:tr w:rsidR="00652245" w14:paraId="016942A4" w14:textId="77777777" w:rsidTr="00304343">
        <w:tc>
          <w:tcPr>
            <w:tcW w:w="3119" w:type="dxa"/>
            <w:vAlign w:val="center"/>
          </w:tcPr>
          <w:p w14:paraId="6262DF62" w14:textId="77777777" w:rsidR="00652245" w:rsidRDefault="00652245" w:rsidP="00304343">
            <w:pPr>
              <w:spacing w:line="276" w:lineRule="auto"/>
            </w:pPr>
            <w:r>
              <w:t xml:space="preserve">          Insulin AUC (AU)</w:t>
            </w:r>
          </w:p>
        </w:tc>
        <w:tc>
          <w:tcPr>
            <w:tcW w:w="1559" w:type="dxa"/>
            <w:vAlign w:val="center"/>
          </w:tcPr>
          <w:p w14:paraId="062092AA" w14:textId="77777777" w:rsidR="00652245" w:rsidRDefault="00652245" w:rsidP="00304343">
            <w:pPr>
              <w:spacing w:line="276" w:lineRule="auto"/>
              <w:jc w:val="center"/>
            </w:pPr>
            <w:r>
              <w:t>3188 ± 1254</w:t>
            </w:r>
          </w:p>
        </w:tc>
        <w:tc>
          <w:tcPr>
            <w:tcW w:w="1559" w:type="dxa"/>
            <w:vAlign w:val="center"/>
          </w:tcPr>
          <w:p w14:paraId="2AA731FD" w14:textId="77777777" w:rsidR="00652245" w:rsidRDefault="00652245" w:rsidP="00304343">
            <w:pPr>
              <w:spacing w:line="276" w:lineRule="auto"/>
              <w:jc w:val="center"/>
            </w:pPr>
            <w:r>
              <w:t>3808 ± 1502</w:t>
            </w:r>
          </w:p>
        </w:tc>
        <w:tc>
          <w:tcPr>
            <w:tcW w:w="1560" w:type="dxa"/>
            <w:vAlign w:val="center"/>
          </w:tcPr>
          <w:p w14:paraId="6B359385" w14:textId="77777777" w:rsidR="00652245" w:rsidRDefault="00652245" w:rsidP="00304343">
            <w:pPr>
              <w:spacing w:line="276" w:lineRule="auto"/>
              <w:jc w:val="center"/>
            </w:pPr>
            <w:r>
              <w:t>3548 ± 1460</w:t>
            </w:r>
          </w:p>
        </w:tc>
      </w:tr>
      <w:tr w:rsidR="00652245" w14:paraId="1620115B" w14:textId="77777777" w:rsidTr="00304343">
        <w:tc>
          <w:tcPr>
            <w:tcW w:w="3119" w:type="dxa"/>
            <w:vAlign w:val="center"/>
          </w:tcPr>
          <w:p w14:paraId="3E2E41A7" w14:textId="77777777" w:rsidR="00652245" w:rsidRDefault="00652245" w:rsidP="00304343">
            <w:pPr>
              <w:spacing w:line="276" w:lineRule="auto"/>
            </w:pPr>
            <w:r>
              <w:t xml:space="preserve">          Matsuda ISI</w:t>
            </w:r>
          </w:p>
        </w:tc>
        <w:tc>
          <w:tcPr>
            <w:tcW w:w="1559" w:type="dxa"/>
            <w:vAlign w:val="center"/>
          </w:tcPr>
          <w:p w14:paraId="0F9986BA" w14:textId="77777777" w:rsidR="00652245" w:rsidRDefault="00652245" w:rsidP="00304343">
            <w:pPr>
              <w:spacing w:line="276" w:lineRule="auto"/>
              <w:jc w:val="center"/>
            </w:pPr>
            <w:r>
              <w:t>3.5 ± 0.3</w:t>
            </w:r>
          </w:p>
        </w:tc>
        <w:tc>
          <w:tcPr>
            <w:tcW w:w="1559" w:type="dxa"/>
            <w:vAlign w:val="center"/>
          </w:tcPr>
          <w:p w14:paraId="0FD25175" w14:textId="77777777" w:rsidR="00652245" w:rsidRDefault="00652245" w:rsidP="00304343">
            <w:pPr>
              <w:spacing w:line="276" w:lineRule="auto"/>
              <w:jc w:val="center"/>
            </w:pPr>
            <w:r>
              <w:t>2.7 ± 0.3*</w:t>
            </w:r>
          </w:p>
        </w:tc>
        <w:tc>
          <w:tcPr>
            <w:tcW w:w="1560" w:type="dxa"/>
            <w:vAlign w:val="center"/>
          </w:tcPr>
          <w:p w14:paraId="128BBEB6" w14:textId="77777777" w:rsidR="00652245" w:rsidRDefault="00652245" w:rsidP="00304343">
            <w:pPr>
              <w:spacing w:line="276" w:lineRule="auto"/>
              <w:jc w:val="center"/>
            </w:pPr>
            <w:r>
              <w:t>2.9 ± 0.4*</w:t>
            </w:r>
          </w:p>
        </w:tc>
      </w:tr>
      <w:tr w:rsidR="00652245" w14:paraId="30AB258D" w14:textId="77777777" w:rsidTr="00304343">
        <w:tc>
          <w:tcPr>
            <w:tcW w:w="3119" w:type="dxa"/>
            <w:vAlign w:val="center"/>
          </w:tcPr>
          <w:p w14:paraId="67467D3D" w14:textId="77777777" w:rsidR="00652245" w:rsidRDefault="00652245" w:rsidP="00304343">
            <w:pPr>
              <w:spacing w:line="276" w:lineRule="auto"/>
            </w:pPr>
            <w:r>
              <w:t xml:space="preserve">          HOMA-IR</w:t>
            </w:r>
          </w:p>
        </w:tc>
        <w:tc>
          <w:tcPr>
            <w:tcW w:w="1559" w:type="dxa"/>
            <w:vAlign w:val="center"/>
          </w:tcPr>
          <w:p w14:paraId="163F7B4F" w14:textId="77777777" w:rsidR="00652245" w:rsidRDefault="00652245" w:rsidP="00304343">
            <w:pPr>
              <w:spacing w:line="276" w:lineRule="auto"/>
              <w:jc w:val="center"/>
            </w:pPr>
            <w:r>
              <w:t>2.8 ± 0.3</w:t>
            </w:r>
          </w:p>
        </w:tc>
        <w:tc>
          <w:tcPr>
            <w:tcW w:w="1559" w:type="dxa"/>
            <w:vAlign w:val="center"/>
          </w:tcPr>
          <w:p w14:paraId="1C6A39A1" w14:textId="77777777" w:rsidR="00652245" w:rsidRDefault="00652245" w:rsidP="00304343">
            <w:pPr>
              <w:spacing w:line="276" w:lineRule="auto"/>
              <w:jc w:val="center"/>
            </w:pPr>
            <w:r>
              <w:t>3.6 ± 0.7*</w:t>
            </w:r>
          </w:p>
        </w:tc>
        <w:tc>
          <w:tcPr>
            <w:tcW w:w="1560" w:type="dxa"/>
            <w:vAlign w:val="center"/>
          </w:tcPr>
          <w:p w14:paraId="3231843F" w14:textId="77777777" w:rsidR="00652245" w:rsidRDefault="00652245" w:rsidP="00304343">
            <w:pPr>
              <w:spacing w:line="276" w:lineRule="auto"/>
              <w:jc w:val="center"/>
            </w:pPr>
            <w:r>
              <w:t>3.5 ± 0.7*</w:t>
            </w:r>
          </w:p>
        </w:tc>
      </w:tr>
      <w:tr w:rsidR="00652245" w14:paraId="0429CEA4" w14:textId="77777777" w:rsidTr="00304343">
        <w:tc>
          <w:tcPr>
            <w:tcW w:w="3119" w:type="dxa"/>
            <w:vAlign w:val="center"/>
          </w:tcPr>
          <w:p w14:paraId="30CC62B2" w14:textId="77777777" w:rsidR="00652245" w:rsidRDefault="00652245" w:rsidP="00304343">
            <w:pPr>
              <w:spacing w:line="276" w:lineRule="auto"/>
            </w:pPr>
            <w:r>
              <w:t>Free-living</w:t>
            </w:r>
          </w:p>
        </w:tc>
        <w:tc>
          <w:tcPr>
            <w:tcW w:w="1559" w:type="dxa"/>
            <w:vAlign w:val="center"/>
          </w:tcPr>
          <w:p w14:paraId="2BF323A7" w14:textId="77777777" w:rsidR="00652245" w:rsidRDefault="00652245" w:rsidP="00304343">
            <w:pPr>
              <w:spacing w:line="276" w:lineRule="auto"/>
              <w:jc w:val="center"/>
            </w:pPr>
          </w:p>
        </w:tc>
        <w:tc>
          <w:tcPr>
            <w:tcW w:w="1559" w:type="dxa"/>
            <w:vAlign w:val="center"/>
          </w:tcPr>
          <w:p w14:paraId="29AB811B" w14:textId="77777777" w:rsidR="00652245" w:rsidRDefault="00652245" w:rsidP="00304343">
            <w:pPr>
              <w:spacing w:line="276" w:lineRule="auto"/>
              <w:jc w:val="center"/>
            </w:pPr>
          </w:p>
        </w:tc>
        <w:tc>
          <w:tcPr>
            <w:tcW w:w="1560" w:type="dxa"/>
            <w:vAlign w:val="center"/>
          </w:tcPr>
          <w:p w14:paraId="3384AE91" w14:textId="77777777" w:rsidR="00652245" w:rsidRDefault="00652245" w:rsidP="00304343">
            <w:pPr>
              <w:spacing w:line="276" w:lineRule="auto"/>
              <w:jc w:val="center"/>
            </w:pPr>
          </w:p>
        </w:tc>
      </w:tr>
      <w:tr w:rsidR="00652245" w14:paraId="2075C110" w14:textId="77777777" w:rsidTr="00304343">
        <w:tc>
          <w:tcPr>
            <w:tcW w:w="3119" w:type="dxa"/>
            <w:vAlign w:val="center"/>
          </w:tcPr>
          <w:p w14:paraId="52E91483" w14:textId="77777777" w:rsidR="00652245" w:rsidRPr="00AA0A50" w:rsidRDefault="00652245" w:rsidP="00304343">
            <w:pPr>
              <w:spacing w:line="276" w:lineRule="auto"/>
            </w:pPr>
            <w:r>
              <w:t xml:space="preserve">     [</w:t>
            </w:r>
            <w:proofErr w:type="gramStart"/>
            <w:r>
              <w:t>G]</w:t>
            </w:r>
            <w:r>
              <w:rPr>
                <w:vertAlign w:val="subscript"/>
              </w:rPr>
              <w:t>24h</w:t>
            </w:r>
            <w:proofErr w:type="gramEnd"/>
            <w:r>
              <w:t xml:space="preserve"> (mM)</w:t>
            </w:r>
          </w:p>
        </w:tc>
        <w:tc>
          <w:tcPr>
            <w:tcW w:w="1559" w:type="dxa"/>
            <w:vAlign w:val="center"/>
          </w:tcPr>
          <w:p w14:paraId="52C4C280" w14:textId="77777777" w:rsidR="00652245" w:rsidRDefault="00652245" w:rsidP="00304343">
            <w:pPr>
              <w:spacing w:line="276" w:lineRule="auto"/>
              <w:jc w:val="center"/>
            </w:pPr>
            <w:r>
              <w:t>5.7 ± 0.7</w:t>
            </w:r>
          </w:p>
        </w:tc>
        <w:tc>
          <w:tcPr>
            <w:tcW w:w="1559" w:type="dxa"/>
            <w:vAlign w:val="center"/>
          </w:tcPr>
          <w:p w14:paraId="61668B54" w14:textId="77777777" w:rsidR="00652245" w:rsidRDefault="00652245" w:rsidP="00304343">
            <w:pPr>
              <w:spacing w:line="276" w:lineRule="auto"/>
              <w:jc w:val="center"/>
            </w:pPr>
            <w:r>
              <w:t>5.6 ± 0.7</w:t>
            </w:r>
          </w:p>
        </w:tc>
        <w:tc>
          <w:tcPr>
            <w:tcW w:w="1560" w:type="dxa"/>
            <w:vAlign w:val="center"/>
          </w:tcPr>
          <w:p w14:paraId="35FC05C2" w14:textId="77777777" w:rsidR="00652245" w:rsidRDefault="00652245" w:rsidP="00304343">
            <w:pPr>
              <w:spacing w:line="276" w:lineRule="auto"/>
              <w:jc w:val="center"/>
            </w:pPr>
            <w:r>
              <w:t>6.0 ± 0.7</w:t>
            </w:r>
          </w:p>
        </w:tc>
      </w:tr>
      <w:tr w:rsidR="00652245" w14:paraId="436AC664" w14:textId="77777777" w:rsidTr="00304343">
        <w:tc>
          <w:tcPr>
            <w:tcW w:w="3119" w:type="dxa"/>
            <w:vAlign w:val="center"/>
          </w:tcPr>
          <w:p w14:paraId="607C57A1" w14:textId="77777777" w:rsidR="00652245" w:rsidRPr="005B26B9" w:rsidRDefault="00652245" w:rsidP="00304343">
            <w:pPr>
              <w:spacing w:line="276" w:lineRule="auto"/>
            </w:pPr>
            <w:r>
              <w:t xml:space="preserve">     [</w:t>
            </w:r>
            <w:proofErr w:type="gramStart"/>
            <w:r>
              <w:t>G]</w:t>
            </w:r>
            <w:r>
              <w:rPr>
                <w:vertAlign w:val="subscript"/>
              </w:rPr>
              <w:t>min</w:t>
            </w:r>
            <w:proofErr w:type="gramEnd"/>
            <w:r>
              <w:rPr>
                <w:vertAlign w:val="subscript"/>
              </w:rPr>
              <w:t xml:space="preserve"> </w:t>
            </w:r>
            <w:r>
              <w:t>(mM)</w:t>
            </w:r>
          </w:p>
        </w:tc>
        <w:tc>
          <w:tcPr>
            <w:tcW w:w="1559" w:type="dxa"/>
            <w:vAlign w:val="center"/>
          </w:tcPr>
          <w:p w14:paraId="1D3AAD02" w14:textId="77777777" w:rsidR="00652245" w:rsidRDefault="00652245" w:rsidP="00304343">
            <w:pPr>
              <w:spacing w:line="276" w:lineRule="auto"/>
              <w:jc w:val="center"/>
            </w:pPr>
            <w:r>
              <w:t>4.3 ± 0.6</w:t>
            </w:r>
          </w:p>
        </w:tc>
        <w:tc>
          <w:tcPr>
            <w:tcW w:w="1559" w:type="dxa"/>
            <w:vAlign w:val="center"/>
          </w:tcPr>
          <w:p w14:paraId="6F0BE051" w14:textId="77777777" w:rsidR="00652245" w:rsidRDefault="00652245" w:rsidP="00304343">
            <w:pPr>
              <w:spacing w:line="276" w:lineRule="auto"/>
              <w:jc w:val="center"/>
            </w:pPr>
            <w:r>
              <w:t>4.0 ± 1.1</w:t>
            </w:r>
          </w:p>
        </w:tc>
        <w:tc>
          <w:tcPr>
            <w:tcW w:w="1560" w:type="dxa"/>
            <w:vAlign w:val="center"/>
          </w:tcPr>
          <w:p w14:paraId="35A98547" w14:textId="77777777" w:rsidR="00652245" w:rsidRDefault="00652245" w:rsidP="00304343">
            <w:pPr>
              <w:spacing w:line="276" w:lineRule="auto"/>
              <w:jc w:val="center"/>
            </w:pPr>
            <w:r>
              <w:t>4.6 ± 0.7</w:t>
            </w:r>
          </w:p>
        </w:tc>
      </w:tr>
      <w:tr w:rsidR="00652245" w14:paraId="1D6DE32A" w14:textId="77777777" w:rsidTr="00304343">
        <w:tc>
          <w:tcPr>
            <w:tcW w:w="3119" w:type="dxa"/>
            <w:vAlign w:val="center"/>
          </w:tcPr>
          <w:p w14:paraId="7249BCBF" w14:textId="77777777" w:rsidR="00652245" w:rsidRPr="00AA0A50" w:rsidRDefault="00652245" w:rsidP="00304343">
            <w:pPr>
              <w:spacing w:line="276" w:lineRule="auto"/>
            </w:pPr>
            <w:r>
              <w:t xml:space="preserve">     [</w:t>
            </w:r>
            <w:proofErr w:type="gramStart"/>
            <w:r>
              <w:t>G]</w:t>
            </w:r>
            <w:r>
              <w:rPr>
                <w:vertAlign w:val="subscript"/>
              </w:rPr>
              <w:t>max</w:t>
            </w:r>
            <w:proofErr w:type="gramEnd"/>
            <w:r>
              <w:t xml:space="preserve"> (mM)</w:t>
            </w:r>
          </w:p>
        </w:tc>
        <w:tc>
          <w:tcPr>
            <w:tcW w:w="1559" w:type="dxa"/>
            <w:vAlign w:val="center"/>
          </w:tcPr>
          <w:p w14:paraId="11DAE419" w14:textId="77777777" w:rsidR="00652245" w:rsidRDefault="00652245" w:rsidP="00304343">
            <w:pPr>
              <w:spacing w:line="276" w:lineRule="auto"/>
              <w:jc w:val="center"/>
            </w:pPr>
            <w:r>
              <w:t>8.0 ± 1.2</w:t>
            </w:r>
          </w:p>
        </w:tc>
        <w:tc>
          <w:tcPr>
            <w:tcW w:w="1559" w:type="dxa"/>
            <w:vAlign w:val="center"/>
          </w:tcPr>
          <w:p w14:paraId="156D5E8A" w14:textId="77777777" w:rsidR="00652245" w:rsidRDefault="00652245" w:rsidP="00304343">
            <w:pPr>
              <w:spacing w:line="276" w:lineRule="auto"/>
              <w:jc w:val="center"/>
            </w:pPr>
            <w:r>
              <w:t>8.5 ± 1.1</w:t>
            </w:r>
          </w:p>
        </w:tc>
        <w:tc>
          <w:tcPr>
            <w:tcW w:w="1560" w:type="dxa"/>
            <w:vAlign w:val="center"/>
          </w:tcPr>
          <w:p w14:paraId="1FD0843D" w14:textId="77777777" w:rsidR="00652245" w:rsidRDefault="00652245" w:rsidP="00304343">
            <w:pPr>
              <w:spacing w:line="276" w:lineRule="auto"/>
              <w:jc w:val="center"/>
            </w:pPr>
            <w:r>
              <w:t>8.2 ± 1.7</w:t>
            </w:r>
          </w:p>
        </w:tc>
      </w:tr>
      <w:tr w:rsidR="00652245" w14:paraId="56C53F87" w14:textId="77777777" w:rsidTr="00304343">
        <w:tc>
          <w:tcPr>
            <w:tcW w:w="3119" w:type="dxa"/>
            <w:vAlign w:val="center"/>
          </w:tcPr>
          <w:p w14:paraId="1BB09548" w14:textId="77777777" w:rsidR="00652245" w:rsidRPr="00AA0A50" w:rsidRDefault="00652245" w:rsidP="00304343">
            <w:pPr>
              <w:spacing w:line="276" w:lineRule="auto"/>
            </w:pPr>
            <w:r>
              <w:t xml:space="preserve">     PPG</w:t>
            </w:r>
            <w:r>
              <w:rPr>
                <w:vertAlign w:val="subscript"/>
              </w:rPr>
              <w:t>AUC</w:t>
            </w:r>
            <w:r>
              <w:t xml:space="preserve"> (AU)</w:t>
            </w:r>
          </w:p>
        </w:tc>
        <w:tc>
          <w:tcPr>
            <w:tcW w:w="1559" w:type="dxa"/>
            <w:vAlign w:val="center"/>
          </w:tcPr>
          <w:p w14:paraId="605BA885" w14:textId="77777777" w:rsidR="00652245" w:rsidRDefault="00652245" w:rsidP="00304343">
            <w:pPr>
              <w:spacing w:line="276" w:lineRule="auto"/>
              <w:jc w:val="center"/>
            </w:pPr>
            <w:r>
              <w:t>149 ± 90</w:t>
            </w:r>
          </w:p>
        </w:tc>
        <w:tc>
          <w:tcPr>
            <w:tcW w:w="1559" w:type="dxa"/>
            <w:vAlign w:val="center"/>
          </w:tcPr>
          <w:p w14:paraId="375CED74" w14:textId="77777777" w:rsidR="00652245" w:rsidRDefault="00652245" w:rsidP="00304343">
            <w:pPr>
              <w:spacing w:line="276" w:lineRule="auto"/>
              <w:jc w:val="center"/>
            </w:pPr>
            <w:r>
              <w:t>174 ± 94</w:t>
            </w:r>
          </w:p>
        </w:tc>
        <w:tc>
          <w:tcPr>
            <w:tcW w:w="1560" w:type="dxa"/>
            <w:vAlign w:val="center"/>
          </w:tcPr>
          <w:p w14:paraId="030E4DA4" w14:textId="77777777" w:rsidR="00652245" w:rsidRDefault="00652245" w:rsidP="00304343">
            <w:pPr>
              <w:spacing w:line="276" w:lineRule="auto"/>
              <w:jc w:val="center"/>
            </w:pPr>
            <w:r>
              <w:t>196 ± 129</w:t>
            </w:r>
          </w:p>
        </w:tc>
      </w:tr>
      <w:tr w:rsidR="00652245" w14:paraId="1E3EE3E0" w14:textId="77777777" w:rsidTr="00304343">
        <w:tc>
          <w:tcPr>
            <w:tcW w:w="3119" w:type="dxa"/>
            <w:vAlign w:val="center"/>
          </w:tcPr>
          <w:p w14:paraId="68230BAA" w14:textId="77777777" w:rsidR="00652245" w:rsidRPr="00AA0A50" w:rsidRDefault="00652245" w:rsidP="00304343">
            <w:pPr>
              <w:spacing w:line="276" w:lineRule="auto"/>
            </w:pPr>
            <w:r>
              <w:t xml:space="preserve">     ∆PPG</w:t>
            </w:r>
            <w:r>
              <w:rPr>
                <w:vertAlign w:val="subscript"/>
              </w:rPr>
              <w:t>peak</w:t>
            </w:r>
            <w:r>
              <w:t xml:space="preserve"> (mM)</w:t>
            </w:r>
          </w:p>
        </w:tc>
        <w:tc>
          <w:tcPr>
            <w:tcW w:w="1559" w:type="dxa"/>
            <w:vAlign w:val="center"/>
          </w:tcPr>
          <w:p w14:paraId="23835FA3" w14:textId="77777777" w:rsidR="00652245" w:rsidRDefault="00652245" w:rsidP="00304343">
            <w:pPr>
              <w:spacing w:line="276" w:lineRule="auto"/>
              <w:jc w:val="center"/>
            </w:pPr>
            <w:r>
              <w:t>1.6 ± 1.0</w:t>
            </w:r>
          </w:p>
        </w:tc>
        <w:tc>
          <w:tcPr>
            <w:tcW w:w="1559" w:type="dxa"/>
            <w:vAlign w:val="center"/>
          </w:tcPr>
          <w:p w14:paraId="01F8B2C1" w14:textId="77777777" w:rsidR="00652245" w:rsidRDefault="00652245" w:rsidP="00304343">
            <w:pPr>
              <w:spacing w:line="276" w:lineRule="auto"/>
              <w:jc w:val="center"/>
            </w:pPr>
            <w:r>
              <w:t>2.0 ± 1.1</w:t>
            </w:r>
          </w:p>
        </w:tc>
        <w:tc>
          <w:tcPr>
            <w:tcW w:w="1560" w:type="dxa"/>
            <w:vAlign w:val="center"/>
          </w:tcPr>
          <w:p w14:paraId="3CEE54FB" w14:textId="77777777" w:rsidR="00652245" w:rsidRDefault="00652245" w:rsidP="00304343">
            <w:pPr>
              <w:keepNext/>
              <w:spacing w:line="276" w:lineRule="auto"/>
              <w:jc w:val="center"/>
            </w:pPr>
            <w:r>
              <w:t>2.2 ± 1.3</w:t>
            </w:r>
          </w:p>
        </w:tc>
      </w:tr>
      <w:tr w:rsidR="00652245" w14:paraId="3FD0AFA4" w14:textId="77777777" w:rsidTr="00304343">
        <w:tc>
          <w:tcPr>
            <w:tcW w:w="3119" w:type="dxa"/>
            <w:tcBorders>
              <w:bottom w:val="single" w:sz="18" w:space="0" w:color="auto"/>
            </w:tcBorders>
            <w:vAlign w:val="center"/>
          </w:tcPr>
          <w:p w14:paraId="6DB8C5D0" w14:textId="77777777" w:rsidR="00652245" w:rsidRDefault="00652245" w:rsidP="00304343">
            <w:pPr>
              <w:spacing w:line="276" w:lineRule="auto"/>
            </w:pPr>
            <w:r>
              <w:t xml:space="preserve">     PPG time &gt;7.9 mM (min)</w:t>
            </w:r>
          </w:p>
        </w:tc>
        <w:tc>
          <w:tcPr>
            <w:tcW w:w="1559" w:type="dxa"/>
            <w:tcBorders>
              <w:bottom w:val="single" w:sz="18" w:space="0" w:color="auto"/>
            </w:tcBorders>
            <w:vAlign w:val="center"/>
          </w:tcPr>
          <w:p w14:paraId="6489BAAA" w14:textId="77777777" w:rsidR="00652245" w:rsidRDefault="00652245" w:rsidP="00304343">
            <w:pPr>
              <w:spacing w:line="276" w:lineRule="auto"/>
              <w:jc w:val="center"/>
            </w:pPr>
            <w:r>
              <w:t>11 ± 26</w:t>
            </w:r>
          </w:p>
        </w:tc>
        <w:tc>
          <w:tcPr>
            <w:tcW w:w="1559" w:type="dxa"/>
            <w:tcBorders>
              <w:bottom w:val="single" w:sz="18" w:space="0" w:color="auto"/>
            </w:tcBorders>
            <w:vAlign w:val="center"/>
          </w:tcPr>
          <w:p w14:paraId="12CB0093" w14:textId="77777777" w:rsidR="00652245" w:rsidRDefault="00652245" w:rsidP="00304343">
            <w:pPr>
              <w:spacing w:line="276" w:lineRule="auto"/>
              <w:jc w:val="center"/>
            </w:pPr>
            <w:r>
              <w:t>13 ± 26</w:t>
            </w:r>
          </w:p>
        </w:tc>
        <w:tc>
          <w:tcPr>
            <w:tcW w:w="1560" w:type="dxa"/>
            <w:tcBorders>
              <w:bottom w:val="single" w:sz="18" w:space="0" w:color="auto"/>
            </w:tcBorders>
            <w:vAlign w:val="center"/>
          </w:tcPr>
          <w:p w14:paraId="10E1C1B3" w14:textId="77777777" w:rsidR="00652245" w:rsidRDefault="00652245" w:rsidP="00304343">
            <w:pPr>
              <w:keepNext/>
              <w:spacing w:line="276" w:lineRule="auto"/>
              <w:jc w:val="center"/>
            </w:pPr>
            <w:r>
              <w:t>24 ± 40</w:t>
            </w:r>
          </w:p>
        </w:tc>
      </w:tr>
    </w:tbl>
    <w:p w14:paraId="43EF0896" w14:textId="1422636F" w:rsidR="00652245" w:rsidRPr="00AA0A50" w:rsidRDefault="00652245" w:rsidP="00652245">
      <w:pPr>
        <w:pStyle w:val="Caption"/>
        <w:rPr>
          <w:b w:val="0"/>
          <w:color w:val="auto"/>
          <w:sz w:val="20"/>
          <w:szCs w:val="20"/>
        </w:rPr>
      </w:pPr>
      <w:r w:rsidRPr="00AA0A50">
        <w:rPr>
          <w:b w:val="0"/>
          <w:color w:val="auto"/>
          <w:sz w:val="20"/>
          <w:szCs w:val="20"/>
        </w:rPr>
        <w:t>All free-living glucose measures obtained from CGMS</w:t>
      </w:r>
      <w:r>
        <w:rPr>
          <w:b w:val="0"/>
          <w:color w:val="auto"/>
          <w:sz w:val="20"/>
          <w:szCs w:val="20"/>
        </w:rPr>
        <w:t xml:space="preserve">; OGTT, oral glucose tolerance test; CGMS, continuous glucose monitor system; [G], concentration of blood glucose; AUC, area under the curve; ISI, insulin sensitivity index; HOMA-IR, homeostatic model </w:t>
      </w:r>
      <w:r w:rsidR="00851811">
        <w:rPr>
          <w:b w:val="0"/>
          <w:color w:val="auto"/>
          <w:sz w:val="20"/>
          <w:szCs w:val="20"/>
        </w:rPr>
        <w:t xml:space="preserve">assessment </w:t>
      </w:r>
      <w:r>
        <w:rPr>
          <w:b w:val="0"/>
          <w:color w:val="auto"/>
          <w:sz w:val="20"/>
          <w:szCs w:val="20"/>
        </w:rPr>
        <w:t>of insulin resistance; * significantly different than BL, p &lt; 0.05.</w:t>
      </w:r>
      <w:r w:rsidR="00225DB1" w:rsidRPr="00225DB1">
        <w:rPr>
          <w:b w:val="0"/>
          <w:color w:val="auto"/>
          <w:sz w:val="24"/>
          <w:szCs w:val="24"/>
        </w:rPr>
        <w:t xml:space="preserve"> </w:t>
      </w:r>
      <w:r w:rsidR="00785141" w:rsidRPr="00796265">
        <w:rPr>
          <w:b w:val="0"/>
          <w:color w:val="auto"/>
          <w:sz w:val="20"/>
          <w:szCs w:val="20"/>
        </w:rPr>
        <w:t>Values are means</w:t>
      </w:r>
      <w:r w:rsidR="00785141" w:rsidRPr="00796265">
        <w:rPr>
          <w:rFonts w:cs="Times New Roman"/>
          <w:b w:val="0"/>
          <w:color w:val="auto"/>
          <w:sz w:val="20"/>
          <w:szCs w:val="20"/>
        </w:rPr>
        <w:t>±</w:t>
      </w:r>
      <w:proofErr w:type="gramStart"/>
      <w:r w:rsidR="00785141" w:rsidRPr="00796265">
        <w:rPr>
          <w:b w:val="0"/>
          <w:color w:val="auto"/>
          <w:sz w:val="20"/>
          <w:szCs w:val="20"/>
        </w:rPr>
        <w:t>SD</w:t>
      </w:r>
      <w:r w:rsidR="00785141" w:rsidRPr="00225DB1">
        <w:rPr>
          <w:b w:val="0"/>
          <w:color w:val="auto"/>
          <w:sz w:val="20"/>
          <w:szCs w:val="20"/>
        </w:rPr>
        <w:t xml:space="preserve"> </w:t>
      </w:r>
      <w:r w:rsidR="00785141">
        <w:rPr>
          <w:b w:val="0"/>
          <w:color w:val="auto"/>
          <w:sz w:val="20"/>
          <w:szCs w:val="20"/>
        </w:rPr>
        <w:t>,</w:t>
      </w:r>
      <w:proofErr w:type="gramEnd"/>
      <w:r w:rsidR="00785141">
        <w:rPr>
          <w:b w:val="0"/>
          <w:color w:val="auto"/>
          <w:sz w:val="20"/>
          <w:szCs w:val="20"/>
        </w:rPr>
        <w:t xml:space="preserve"> </w:t>
      </w:r>
      <w:r w:rsidR="00225DB1" w:rsidRPr="00225DB1">
        <w:rPr>
          <w:b w:val="0"/>
          <w:color w:val="auto"/>
          <w:sz w:val="20"/>
          <w:szCs w:val="20"/>
        </w:rPr>
        <w:t>n=10 (6</w:t>
      </w:r>
      <w:r w:rsidR="00225DB1" w:rsidRPr="003274B7">
        <w:rPr>
          <w:b w:val="0"/>
          <w:color w:val="auto"/>
          <w:sz w:val="20"/>
          <w:szCs w:val="20"/>
        </w:rPr>
        <w:t xml:space="preserve"> men and 4 women).</w:t>
      </w:r>
    </w:p>
    <w:p w14:paraId="44292C72" w14:textId="77777777" w:rsidR="00652245" w:rsidRDefault="00652245" w:rsidP="00652245"/>
    <w:p w14:paraId="2FF3A324" w14:textId="77777777" w:rsidR="002E042C" w:rsidRPr="002E042C" w:rsidRDefault="002E042C" w:rsidP="002E042C">
      <w:pPr>
        <w:pStyle w:val="Heading3"/>
      </w:pPr>
      <w:bookmarkStart w:id="54" w:name="_Toc296814804"/>
      <w:bookmarkStart w:id="55" w:name="_Toc296932783"/>
      <w:r w:rsidRPr="002E042C">
        <w:t>Correlations</w:t>
      </w:r>
      <w:bookmarkEnd w:id="54"/>
      <w:bookmarkEnd w:id="55"/>
    </w:p>
    <w:p w14:paraId="7A9AF5F7" w14:textId="230ED55E" w:rsidR="00652245" w:rsidRPr="00B67493" w:rsidRDefault="00652245" w:rsidP="002E042C">
      <w:pPr>
        <w:spacing w:line="480" w:lineRule="auto"/>
        <w:ind w:firstLine="720"/>
      </w:pPr>
      <w:r>
        <w:t xml:space="preserve">The self-reported reduction in daily steps from BL to SR measured by pedometer were correlated with measures of </w:t>
      </w:r>
      <w:r w:rsidR="00E53C2D">
        <w:t xml:space="preserve">PA </w:t>
      </w:r>
      <w:r>
        <w:t>measured from the armband accelerometer including estimated daily step count (</w:t>
      </w:r>
      <w:r w:rsidRPr="00D36EBC">
        <w:t>R</w:t>
      </w:r>
      <w:r w:rsidRPr="00D36EBC">
        <w:rPr>
          <w:vertAlign w:val="superscript"/>
        </w:rPr>
        <w:t>2</w:t>
      </w:r>
      <w:r>
        <w:t xml:space="preserve"> = 0.90), </w:t>
      </w:r>
      <w:r w:rsidR="00521CBD">
        <w:t xml:space="preserve">DEE </w:t>
      </w:r>
      <w:r w:rsidR="00521CBD">
        <w:br/>
      </w:r>
      <w:r>
        <w:lastRenderedPageBreak/>
        <w:t>(R</w:t>
      </w:r>
      <w:r>
        <w:rPr>
          <w:vertAlign w:val="superscript"/>
        </w:rPr>
        <w:t>2</w:t>
      </w:r>
      <w:r>
        <w:rPr>
          <w:vertAlign w:val="subscript"/>
        </w:rPr>
        <w:t xml:space="preserve"> </w:t>
      </w:r>
      <w:r>
        <w:t>= 0.67) and time spent at or above 3 METs (R</w:t>
      </w:r>
      <w:r>
        <w:rPr>
          <w:vertAlign w:val="superscript"/>
        </w:rPr>
        <w:t>2</w:t>
      </w:r>
      <w:r>
        <w:t xml:space="preserve"> = 0.65). The only end-point measure associated with the reduction in daily steps was [</w:t>
      </w:r>
      <w:proofErr w:type="gramStart"/>
      <w:r>
        <w:t>G]</w:t>
      </w:r>
      <w:r>
        <w:rPr>
          <w:vertAlign w:val="subscript"/>
        </w:rPr>
        <w:t>120</w:t>
      </w:r>
      <w:proofErr w:type="gramEnd"/>
      <w:r>
        <w:t xml:space="preserve"> measured by capillary blood during OGTT, which was best correlated with absolute changes in daily ambulation (p = 0.01, R</w:t>
      </w:r>
      <w:r>
        <w:rPr>
          <w:vertAlign w:val="superscript"/>
        </w:rPr>
        <w:t>2</w:t>
      </w:r>
      <w:r>
        <w:t xml:space="preserve"> = 0.62; Figure 11). </w:t>
      </w:r>
    </w:p>
    <w:p w14:paraId="25DAFBCB" w14:textId="77777777" w:rsidR="00652245" w:rsidRDefault="00652245" w:rsidP="006C36C2">
      <w:pPr>
        <w:keepNext/>
      </w:pPr>
      <w:r>
        <w:rPr>
          <w:noProof/>
          <w:lang w:val="en-US" w:eastAsia="en-US"/>
        </w:rPr>
        <w:drawing>
          <wp:inline distT="0" distB="0" distL="0" distR="0" wp14:anchorId="4F8F42D6" wp14:editId="3044B7A7">
            <wp:extent cx="4763558" cy="3096735"/>
            <wp:effectExtent l="0" t="0" r="1206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lute steps v absolute change outcomes --&gt; using.pdf"/>
                    <pic:cNvPicPr/>
                  </pic:nvPicPr>
                  <pic:blipFill>
                    <a:blip r:embed="rId24">
                      <a:extLst>
                        <a:ext uri="{28A0092B-C50C-407E-A947-70E740481C1C}">
                          <a14:useLocalDpi xmlns:a14="http://schemas.microsoft.com/office/drawing/2010/main" val="0"/>
                        </a:ext>
                      </a:extLst>
                    </a:blip>
                    <a:stretch>
                      <a:fillRect/>
                    </a:stretch>
                  </pic:blipFill>
                  <pic:spPr>
                    <a:xfrm>
                      <a:off x="0" y="0"/>
                      <a:ext cx="4764344" cy="3097246"/>
                    </a:xfrm>
                    <a:prstGeom prst="rect">
                      <a:avLst/>
                    </a:prstGeom>
                  </pic:spPr>
                </pic:pic>
              </a:graphicData>
            </a:graphic>
          </wp:inline>
        </w:drawing>
      </w:r>
    </w:p>
    <w:p w14:paraId="5CFA6659" w14:textId="05A3C6D8" w:rsidR="00652245" w:rsidRPr="003B77F5" w:rsidRDefault="00652245" w:rsidP="00652245">
      <w:pPr>
        <w:pStyle w:val="Caption"/>
        <w:rPr>
          <w:b w:val="0"/>
          <w:color w:val="auto"/>
          <w:sz w:val="24"/>
          <w:szCs w:val="24"/>
        </w:rPr>
      </w:pPr>
      <w:r w:rsidRPr="003B77F5">
        <w:rPr>
          <w:color w:val="auto"/>
          <w:sz w:val="24"/>
          <w:szCs w:val="24"/>
        </w:rPr>
        <w:t xml:space="preserve">Figure </w:t>
      </w:r>
      <w:r>
        <w:rPr>
          <w:color w:val="auto"/>
          <w:sz w:val="24"/>
          <w:szCs w:val="24"/>
        </w:rPr>
        <w:t>11</w:t>
      </w:r>
      <w:r w:rsidRPr="003B77F5">
        <w:rPr>
          <w:color w:val="auto"/>
          <w:sz w:val="24"/>
          <w:szCs w:val="24"/>
        </w:rPr>
        <w:t xml:space="preserve">. </w:t>
      </w:r>
      <w:proofErr w:type="gramStart"/>
      <w:r w:rsidRPr="003B77F5">
        <w:rPr>
          <w:b w:val="0"/>
          <w:color w:val="auto"/>
          <w:sz w:val="24"/>
          <w:szCs w:val="24"/>
        </w:rPr>
        <w:t xml:space="preserve">Correlation between the absolute change </w:t>
      </w:r>
      <w:r>
        <w:rPr>
          <w:b w:val="0"/>
          <w:color w:val="auto"/>
          <w:sz w:val="24"/>
          <w:szCs w:val="24"/>
        </w:rPr>
        <w:t xml:space="preserve">from BL to SR </w:t>
      </w:r>
      <w:r w:rsidRPr="003B77F5">
        <w:rPr>
          <w:b w:val="0"/>
          <w:color w:val="auto"/>
          <w:sz w:val="24"/>
          <w:szCs w:val="24"/>
        </w:rPr>
        <w:t>in daily steps and the absolute change in capillary blood glucose concentration at the final time point of OGTT</w:t>
      </w:r>
      <w:r w:rsidR="00921F88">
        <w:rPr>
          <w:b w:val="0"/>
          <w:color w:val="auto"/>
          <w:sz w:val="24"/>
          <w:szCs w:val="24"/>
        </w:rPr>
        <w:t>.</w:t>
      </w:r>
      <w:proofErr w:type="gramEnd"/>
      <w:r w:rsidR="00921F88">
        <w:rPr>
          <w:b w:val="0"/>
          <w:color w:val="auto"/>
          <w:sz w:val="24"/>
          <w:szCs w:val="24"/>
        </w:rPr>
        <w:t xml:space="preserve"> </w:t>
      </w:r>
      <w:proofErr w:type="gramStart"/>
      <w:r w:rsidRPr="003B77F5">
        <w:rPr>
          <w:b w:val="0"/>
          <w:color w:val="auto"/>
          <w:sz w:val="24"/>
          <w:szCs w:val="24"/>
        </w:rPr>
        <w:t>p</w:t>
      </w:r>
      <w:proofErr w:type="gramEnd"/>
      <w:r w:rsidRPr="003B77F5">
        <w:rPr>
          <w:b w:val="0"/>
          <w:color w:val="auto"/>
          <w:sz w:val="24"/>
          <w:szCs w:val="24"/>
        </w:rPr>
        <w:t xml:space="preserve"> = 0.01, R</w:t>
      </w:r>
      <w:r w:rsidRPr="003B77F5">
        <w:rPr>
          <w:b w:val="0"/>
          <w:color w:val="auto"/>
          <w:sz w:val="24"/>
          <w:szCs w:val="24"/>
          <w:vertAlign w:val="superscript"/>
        </w:rPr>
        <w:t>2</w:t>
      </w:r>
      <w:r w:rsidRPr="003B77F5">
        <w:rPr>
          <w:b w:val="0"/>
          <w:color w:val="auto"/>
          <w:sz w:val="24"/>
          <w:szCs w:val="24"/>
        </w:rPr>
        <w:t xml:space="preserve"> = 0.62</w:t>
      </w:r>
      <w:r w:rsidR="00030C57">
        <w:rPr>
          <w:b w:val="0"/>
          <w:color w:val="auto"/>
          <w:sz w:val="24"/>
          <w:szCs w:val="24"/>
        </w:rPr>
        <w:t>; n=10</w:t>
      </w:r>
      <w:r w:rsidR="00225DB1">
        <w:rPr>
          <w:b w:val="0"/>
          <w:color w:val="auto"/>
          <w:sz w:val="24"/>
          <w:szCs w:val="24"/>
        </w:rPr>
        <w:t xml:space="preserve"> (</w:t>
      </w:r>
      <w:r w:rsidR="00030C57">
        <w:rPr>
          <w:b w:val="0"/>
          <w:color w:val="auto"/>
          <w:sz w:val="24"/>
          <w:szCs w:val="24"/>
        </w:rPr>
        <w:t>6 men and 4 women)</w:t>
      </w:r>
      <w:r>
        <w:rPr>
          <w:b w:val="0"/>
          <w:color w:val="auto"/>
          <w:sz w:val="24"/>
          <w:szCs w:val="24"/>
        </w:rPr>
        <w:t xml:space="preserve">. </w:t>
      </w:r>
      <w:r>
        <w:rPr>
          <w:b w:val="0"/>
          <w:color w:val="auto"/>
          <w:sz w:val="24"/>
          <w:szCs w:val="24"/>
        </w:rPr>
        <w:br/>
      </w:r>
    </w:p>
    <w:p w14:paraId="53340E3B" w14:textId="77777777" w:rsidR="002E042C" w:rsidRPr="002E042C" w:rsidRDefault="00652245" w:rsidP="002E042C">
      <w:pPr>
        <w:pStyle w:val="Heading3"/>
      </w:pPr>
      <w:bookmarkStart w:id="56" w:name="_Toc296814805"/>
      <w:bookmarkStart w:id="57" w:name="_Toc296932784"/>
      <w:r w:rsidRPr="002E042C">
        <w:t>Influence of sex on outcomes</w:t>
      </w:r>
      <w:bookmarkEnd w:id="56"/>
      <w:bookmarkEnd w:id="57"/>
    </w:p>
    <w:p w14:paraId="0D3548BD" w14:textId="01F5CD96" w:rsidR="00652245" w:rsidRPr="003C6B53" w:rsidRDefault="00652245" w:rsidP="00652245">
      <w:pPr>
        <w:spacing w:line="480" w:lineRule="auto"/>
        <w:ind w:firstLine="720"/>
      </w:pPr>
      <w:r>
        <w:t xml:space="preserve">Women on average completed ~3600 fewer steps per day </w:t>
      </w:r>
      <w:r w:rsidR="00D576C1">
        <w:t xml:space="preserve">at BL </w:t>
      </w:r>
      <w:r>
        <w:t xml:space="preserve">compared to men (6394 ± 2303 and 10018 ± 3963 steps </w:t>
      </w:r>
      <w:r>
        <w:sym w:font="Symbol" w:char="F0B7"/>
      </w:r>
      <w:r>
        <w:t xml:space="preserve"> d</w:t>
      </w:r>
      <w:r>
        <w:rPr>
          <w:vertAlign w:val="superscript"/>
        </w:rPr>
        <w:t>-1</w:t>
      </w:r>
      <w:r>
        <w:t xml:space="preserve">, respectively) resulting in an 82 ± 12% reduction in daily steps for women and an 89 ± 5% reduction for men </w:t>
      </w:r>
      <w:r w:rsidR="00D576C1">
        <w:t xml:space="preserve">with the SR intervention </w:t>
      </w:r>
      <w:r>
        <w:t xml:space="preserve">(Figure 12A). There were no statistical differences between sexes for steps in any study phase. Sex differences were assessed for all primary study outcomes: leg </w:t>
      </w:r>
      <w:r w:rsidR="002E042C">
        <w:t>LM</w:t>
      </w:r>
      <w:r>
        <w:t>, ISO-MVC</w:t>
      </w:r>
      <w:r>
        <w:rPr>
          <w:vertAlign w:val="subscript"/>
        </w:rPr>
        <w:t>peak</w:t>
      </w:r>
      <w:r>
        <w:t>, [</w:t>
      </w:r>
      <w:proofErr w:type="gramStart"/>
      <w:r>
        <w:t>G]</w:t>
      </w:r>
      <w:r>
        <w:rPr>
          <w:vertAlign w:val="subscript"/>
        </w:rPr>
        <w:t>AUC</w:t>
      </w:r>
      <w:proofErr w:type="gramEnd"/>
      <w:r>
        <w:rPr>
          <w:vertAlign w:val="subscript"/>
        </w:rPr>
        <w:t xml:space="preserve"> </w:t>
      </w:r>
      <w:r>
        <w:t xml:space="preserve">(Figure 12B), ISI (Figure 12C) </w:t>
      </w:r>
      <w:r>
        <w:lastRenderedPageBreak/>
        <w:t>and HOMA-IR (Figure 12D). No statistically significant differences were found between men and women for these key measures (data not shown).</w:t>
      </w:r>
    </w:p>
    <w:p w14:paraId="50343D6C" w14:textId="607EC290" w:rsidR="00652245" w:rsidRDefault="00652245" w:rsidP="006C36C2">
      <w:pPr>
        <w:keepNext/>
        <w:jc w:val="both"/>
      </w:pPr>
      <w:r>
        <w:rPr>
          <w:noProof/>
          <w:lang w:val="en-US" w:eastAsia="en-US"/>
        </w:rPr>
        <w:drawing>
          <wp:inline distT="0" distB="0" distL="0" distR="0" wp14:anchorId="20E6FBA5" wp14:editId="383BB88A">
            <wp:extent cx="4568825" cy="5299532"/>
            <wp:effectExtent l="0" t="0" r="317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 v Women.pdf"/>
                    <pic:cNvPicPr/>
                  </pic:nvPicPr>
                  <pic:blipFill rotWithShape="1">
                    <a:blip r:embed="rId25">
                      <a:extLst>
                        <a:ext uri="{28A0092B-C50C-407E-A947-70E740481C1C}">
                          <a14:useLocalDpi xmlns:a14="http://schemas.microsoft.com/office/drawing/2010/main" val="0"/>
                        </a:ext>
                      </a:extLst>
                    </a:blip>
                    <a:srcRect b="-385"/>
                    <a:stretch/>
                  </pic:blipFill>
                  <pic:spPr bwMode="auto">
                    <a:xfrm>
                      <a:off x="0" y="0"/>
                      <a:ext cx="4569996" cy="5300890"/>
                    </a:xfrm>
                    <a:prstGeom prst="rect">
                      <a:avLst/>
                    </a:prstGeom>
                    <a:ln>
                      <a:noFill/>
                    </a:ln>
                    <a:extLst>
                      <a:ext uri="{53640926-AAD7-44d8-BBD7-CCE9431645EC}">
                        <a14:shadowObscured xmlns:a14="http://schemas.microsoft.com/office/drawing/2010/main"/>
                      </a:ext>
                    </a:extLst>
                  </pic:spPr>
                </pic:pic>
              </a:graphicData>
            </a:graphic>
          </wp:inline>
        </w:drawing>
      </w:r>
    </w:p>
    <w:p w14:paraId="6471ADCA" w14:textId="77777777" w:rsidR="00D124CC" w:rsidRDefault="00D124CC" w:rsidP="006C36C2">
      <w:pPr>
        <w:keepNext/>
        <w:jc w:val="both"/>
      </w:pPr>
    </w:p>
    <w:p w14:paraId="3056031E" w14:textId="17767D10" w:rsidR="00DA792D" w:rsidRDefault="00652245" w:rsidP="00652245">
      <w:r w:rsidRPr="007D3FE8">
        <w:rPr>
          <w:b/>
        </w:rPr>
        <w:t>Figure 12.</w:t>
      </w:r>
      <w:r>
        <w:t xml:space="preserve"> Comparison of men and women’s percentage changes from BL to SR. Men represented by closed bars, women represented by open bars. Individual participants represented by individual bars and remain in the same column between figures</w:t>
      </w:r>
      <w:r w:rsidRPr="00225DB1">
        <w:t xml:space="preserve">. </w:t>
      </w:r>
      <w:proofErr w:type="gramStart"/>
      <w:r w:rsidR="00225DB1" w:rsidRPr="003274B7">
        <w:t>n</w:t>
      </w:r>
      <w:proofErr w:type="gramEnd"/>
      <w:r w:rsidR="00225DB1" w:rsidRPr="003274B7">
        <w:t>=10 (</w:t>
      </w:r>
      <w:r w:rsidR="00851811" w:rsidRPr="003274B7">
        <w:t>6 men and 4 women).</w:t>
      </w:r>
      <w:r w:rsidR="00225DB1" w:rsidRPr="003274B7">
        <w:t xml:space="preserve"> </w:t>
      </w:r>
      <w:r w:rsidRPr="003274B7">
        <w:t>A</w:t>
      </w:r>
      <w:r w:rsidRPr="00987311">
        <w:rPr>
          <w:b/>
        </w:rPr>
        <w:t>)</w:t>
      </w:r>
      <w:r>
        <w:t xml:space="preserve"> Percentage change in daily steps. </w:t>
      </w:r>
      <w:r>
        <w:rPr>
          <w:b/>
        </w:rPr>
        <w:t>B)</w:t>
      </w:r>
      <w:r>
        <w:t xml:space="preserve"> Percentage change in leg LM.</w:t>
      </w:r>
      <w:r w:rsidRPr="007D3FE8">
        <w:rPr>
          <w:b/>
        </w:rPr>
        <w:t xml:space="preserve"> </w:t>
      </w:r>
      <w:r>
        <w:rPr>
          <w:b/>
        </w:rPr>
        <w:t>C</w:t>
      </w:r>
      <w:r w:rsidRPr="00987311">
        <w:rPr>
          <w:b/>
        </w:rPr>
        <w:t>)</w:t>
      </w:r>
      <w:r>
        <w:t xml:space="preserve"> Percentage </w:t>
      </w:r>
      <w:proofErr w:type="gramStart"/>
      <w:r>
        <w:t>change</w:t>
      </w:r>
      <w:proofErr w:type="gramEnd"/>
      <w:r>
        <w:t xml:space="preserve"> in VAT.  </w:t>
      </w:r>
      <w:r>
        <w:rPr>
          <w:b/>
        </w:rPr>
        <w:t>D</w:t>
      </w:r>
      <w:r w:rsidRPr="00987311">
        <w:rPr>
          <w:b/>
        </w:rPr>
        <w:t>)</w:t>
      </w:r>
      <w:r>
        <w:t xml:space="preserve"> Percentage change in glucose area under the curve during OGTT as measured by capillary blood. </w:t>
      </w:r>
      <w:r>
        <w:rPr>
          <w:b/>
        </w:rPr>
        <w:t>E</w:t>
      </w:r>
      <w:r w:rsidRPr="00987311">
        <w:rPr>
          <w:b/>
        </w:rPr>
        <w:t>)</w:t>
      </w:r>
      <w:r>
        <w:t xml:space="preserve"> Percentage change in Matsuda ISI, </w:t>
      </w:r>
      <w:r w:rsidRPr="00987311">
        <w:rPr>
          <w:i/>
        </w:rPr>
        <w:t>NB</w:t>
      </w:r>
      <w:r>
        <w:t xml:space="preserve">: n = 9. </w:t>
      </w:r>
      <w:r w:rsidRPr="00987311">
        <w:rPr>
          <w:b/>
        </w:rPr>
        <w:t xml:space="preserve"> </w:t>
      </w:r>
      <w:r>
        <w:rPr>
          <w:b/>
        </w:rPr>
        <w:t>F)</w:t>
      </w:r>
      <w:r>
        <w:t xml:space="preserve"> Percentage</w:t>
      </w:r>
      <w:r w:rsidRPr="00030C57">
        <w:t xml:space="preserve"> change in HOMA-IR</w:t>
      </w:r>
      <w:r w:rsidR="00851811">
        <w:t>.</w:t>
      </w:r>
    </w:p>
    <w:p w14:paraId="10D9D481" w14:textId="77777777" w:rsidR="00DA792D" w:rsidRDefault="00DA792D" w:rsidP="00DA792D">
      <w:pPr>
        <w:pStyle w:val="Heading1"/>
      </w:pPr>
      <w:r>
        <w:br w:type="column"/>
      </w:r>
      <w:bookmarkStart w:id="58" w:name="_Toc296814806"/>
      <w:bookmarkStart w:id="59" w:name="_Toc296932785"/>
      <w:r w:rsidRPr="00FC537D">
        <w:lastRenderedPageBreak/>
        <w:t>DISCUSSION</w:t>
      </w:r>
      <w:bookmarkEnd w:id="58"/>
      <w:bookmarkEnd w:id="59"/>
    </w:p>
    <w:p w14:paraId="52377A64" w14:textId="39E5EA93" w:rsidR="00D576C1" w:rsidRDefault="00DA792D" w:rsidP="00DA792D">
      <w:pPr>
        <w:spacing w:line="480" w:lineRule="auto"/>
        <w:ind w:firstLine="720"/>
        <w:rPr>
          <w:rFonts w:cs="Times New Roman"/>
        </w:rPr>
      </w:pPr>
      <w:r>
        <w:rPr>
          <w:rFonts w:cs="Times New Roman"/>
        </w:rPr>
        <w:t xml:space="preserve">The primary purpose of this investigation was to determine the extent to which glycemic </w:t>
      </w:r>
      <w:proofErr w:type="gramStart"/>
      <w:r>
        <w:rPr>
          <w:rFonts w:cs="Times New Roman"/>
        </w:rPr>
        <w:t>control,</w:t>
      </w:r>
      <w:proofErr w:type="gramEnd"/>
      <w:r>
        <w:rPr>
          <w:rFonts w:cs="Times New Roman"/>
        </w:rPr>
        <w:t xml:space="preserve"> body composition and muscle function were altered following two weeks of SR in older men and women. The secondary aim was to determine whether or not any observed impairments in these variables could be recovered two weeks after returning to normal </w:t>
      </w:r>
      <w:r w:rsidR="00D576C1">
        <w:rPr>
          <w:rFonts w:cs="Times New Roman"/>
        </w:rPr>
        <w:t xml:space="preserve">activity patterns </w:t>
      </w:r>
      <w:r>
        <w:rPr>
          <w:rFonts w:cs="Times New Roman"/>
        </w:rPr>
        <w:t xml:space="preserve">(RC). This study provides novel data showing that two weeks of reduced daily ambulation caused no detectable changes in body composition, leg strength or physical function. However, SR did result in impaired glycemic control in both a free-living and laboratory setting. Indeed, markers of PPG control were negatively </w:t>
      </w:r>
      <w:r w:rsidR="00D576C1">
        <w:rPr>
          <w:rFonts w:cs="Times New Roman"/>
        </w:rPr>
        <w:t xml:space="preserve">impacted </w:t>
      </w:r>
      <w:r>
        <w:rPr>
          <w:rFonts w:cs="Times New Roman"/>
        </w:rPr>
        <w:t xml:space="preserve">with SR and failed to fully </w:t>
      </w:r>
      <w:r w:rsidR="00D576C1">
        <w:rPr>
          <w:rFonts w:cs="Times New Roman"/>
        </w:rPr>
        <w:t xml:space="preserve">recover </w:t>
      </w:r>
      <w:r>
        <w:rPr>
          <w:rFonts w:cs="Times New Roman"/>
        </w:rPr>
        <w:t>even with a return to normal daily steps. Addit</w:t>
      </w:r>
      <w:r w:rsidRPr="008A438D">
        <w:rPr>
          <w:rFonts w:cs="Times New Roman"/>
        </w:rPr>
        <w:t>ionally, the [</w:t>
      </w:r>
      <w:proofErr w:type="gramStart"/>
      <w:r w:rsidRPr="008A438D">
        <w:rPr>
          <w:rFonts w:cs="Times New Roman"/>
        </w:rPr>
        <w:t>G]</w:t>
      </w:r>
      <w:r w:rsidRPr="008A438D">
        <w:rPr>
          <w:rFonts w:cs="Times New Roman"/>
          <w:vertAlign w:val="subscript"/>
        </w:rPr>
        <w:t>AUC</w:t>
      </w:r>
      <w:proofErr w:type="gramEnd"/>
      <w:r w:rsidRPr="008A438D">
        <w:rPr>
          <w:rFonts w:cs="Times New Roman"/>
        </w:rPr>
        <w:t>, [G]</w:t>
      </w:r>
      <w:r w:rsidRPr="008A438D">
        <w:rPr>
          <w:rFonts w:cs="Times New Roman"/>
          <w:vertAlign w:val="subscript"/>
        </w:rPr>
        <w:t>120</w:t>
      </w:r>
      <w:r w:rsidRPr="008A438D">
        <w:rPr>
          <w:rFonts w:cs="Times New Roman"/>
        </w:rPr>
        <w:t xml:space="preserve"> and [G]</w:t>
      </w:r>
      <w:r w:rsidRPr="008A438D">
        <w:rPr>
          <w:rFonts w:cs="Times New Roman"/>
          <w:vertAlign w:val="subscript"/>
        </w:rPr>
        <w:t>max</w:t>
      </w:r>
      <w:r>
        <w:rPr>
          <w:rFonts w:cs="Times New Roman"/>
        </w:rPr>
        <w:t xml:space="preserve"> during an OGTT were significantly increased after SR and decreased with RC. Despite the recovery of blood glucose control with RC, the decreased Matsuda ISI and increased HOMA-IR seen after SR were still different from </w:t>
      </w:r>
      <w:r w:rsidR="002B63BD">
        <w:rPr>
          <w:rFonts w:cs="Times New Roman"/>
        </w:rPr>
        <w:t>BL</w:t>
      </w:r>
      <w:r>
        <w:rPr>
          <w:rFonts w:cs="Times New Roman"/>
        </w:rPr>
        <w:t xml:space="preserve"> after RC. Thus, future work that characterises the time course change in Matsuda ISI and HOMA-IR following two weeks of SR are now needed to establish the long-term impact of reduced </w:t>
      </w:r>
      <w:r w:rsidR="00E53C2D">
        <w:rPr>
          <w:rFonts w:cs="Times New Roman"/>
        </w:rPr>
        <w:t>PA</w:t>
      </w:r>
      <w:r>
        <w:rPr>
          <w:rFonts w:cs="Times New Roman"/>
        </w:rPr>
        <w:t xml:space="preserve"> on glucose control. </w:t>
      </w:r>
    </w:p>
    <w:p w14:paraId="0FBA2179" w14:textId="4464E989" w:rsidR="00DA792D" w:rsidRPr="00F10F4C" w:rsidRDefault="00DA792D" w:rsidP="00DA792D">
      <w:pPr>
        <w:spacing w:line="480" w:lineRule="auto"/>
        <w:ind w:firstLine="720"/>
        <w:rPr>
          <w:rFonts w:cs="Times New Roman"/>
        </w:rPr>
      </w:pPr>
      <w:r>
        <w:rPr>
          <w:rFonts w:cs="Times New Roman"/>
        </w:rPr>
        <w:t xml:space="preserve">An original aim of this work was also to characterize the effects of the protocol in men and women with the a priori hypothesis that the glycemic regulatory variables of the older women would be adversely affected to a greater degree than seen in men. Regrettably, due to time constraints, I was unable to collect enough data from older women to make a sex-based comparison </w:t>
      </w:r>
      <w:r>
        <w:rPr>
          <w:rFonts w:cs="Times New Roman"/>
        </w:rPr>
        <w:lastRenderedPageBreak/>
        <w:t xml:space="preserve">worthwhile. Thus, the data in this thesis should be considered a smaller-scale study with a partial dataset of the larger study, which will be completed in </w:t>
      </w:r>
      <w:r w:rsidR="00D576C1">
        <w:rPr>
          <w:rFonts w:cs="Times New Roman"/>
        </w:rPr>
        <w:t>the future.</w:t>
      </w:r>
    </w:p>
    <w:p w14:paraId="6DA54C8C" w14:textId="77777777" w:rsidR="00DA792D" w:rsidRDefault="00DA792D" w:rsidP="00DA792D">
      <w:pPr>
        <w:spacing w:line="480" w:lineRule="auto"/>
        <w:rPr>
          <w:rFonts w:cs="Times New Roman"/>
          <w:b/>
          <w:i/>
        </w:rPr>
      </w:pPr>
    </w:p>
    <w:p w14:paraId="79769B1B" w14:textId="77777777" w:rsidR="00DA792D" w:rsidRDefault="00DA792D" w:rsidP="00DA792D">
      <w:pPr>
        <w:pStyle w:val="Heading3"/>
      </w:pPr>
      <w:bookmarkStart w:id="60" w:name="_Toc296814807"/>
      <w:bookmarkStart w:id="61" w:name="_Toc296932786"/>
      <w:r w:rsidRPr="00BB6B3E">
        <w:t>OGTT</w:t>
      </w:r>
      <w:bookmarkEnd w:id="60"/>
      <w:bookmarkEnd w:id="61"/>
    </w:p>
    <w:p w14:paraId="56294B93" w14:textId="5A501461" w:rsidR="00DA792D" w:rsidRDefault="00DA792D" w:rsidP="00DA792D">
      <w:pPr>
        <w:spacing w:line="480" w:lineRule="auto"/>
        <w:ind w:firstLine="720"/>
        <w:rPr>
          <w:rFonts w:cs="Times New Roman"/>
        </w:rPr>
      </w:pPr>
      <w:r>
        <w:rPr>
          <w:rFonts w:cs="Times New Roman"/>
        </w:rPr>
        <w:t>Our results provide strong evidence to suggest that SR induces impaired glycemic control, which</w:t>
      </w:r>
      <w:r w:rsidR="00D124CC">
        <w:rPr>
          <w:rFonts w:cs="Times New Roman"/>
        </w:rPr>
        <w:t xml:space="preserve"> </w:t>
      </w:r>
      <w:r>
        <w:rPr>
          <w:rFonts w:cs="Times New Roman"/>
        </w:rPr>
        <w:t>return</w:t>
      </w:r>
      <w:r w:rsidR="00D124CC">
        <w:rPr>
          <w:rFonts w:cs="Times New Roman"/>
        </w:rPr>
        <w:t xml:space="preserve">s </w:t>
      </w:r>
      <w:r>
        <w:rPr>
          <w:rFonts w:cs="Times New Roman"/>
        </w:rPr>
        <w:t xml:space="preserve">to </w:t>
      </w:r>
      <w:r w:rsidR="00D124CC">
        <w:rPr>
          <w:rFonts w:cs="Times New Roman"/>
        </w:rPr>
        <w:t xml:space="preserve">pre-intervention levels </w:t>
      </w:r>
      <w:r>
        <w:rPr>
          <w:rFonts w:cs="Times New Roman"/>
        </w:rPr>
        <w:t xml:space="preserve">with </w:t>
      </w:r>
      <w:r w:rsidR="00D124CC">
        <w:rPr>
          <w:rFonts w:cs="Times New Roman"/>
        </w:rPr>
        <w:t xml:space="preserve">the </w:t>
      </w:r>
      <w:r>
        <w:rPr>
          <w:rFonts w:cs="Times New Roman"/>
        </w:rPr>
        <w:t>resumption of habitual daily steps</w:t>
      </w:r>
      <w:r w:rsidR="00D124CC">
        <w:rPr>
          <w:rFonts w:cs="Times New Roman"/>
        </w:rPr>
        <w:t>, however insulin sensitivity remains impaired</w:t>
      </w:r>
      <w:r>
        <w:rPr>
          <w:rFonts w:cs="Times New Roman"/>
        </w:rPr>
        <w:t>. Measured with three separate techniques, the blood glucose concentration AUC during a two-hour OGTT was increased after SR. Furthermore, despite the return of glucose AUC to BL levels, the elevated insulin AUC, insulin resistance and depressed insulin sensitivity, which persisted after the RC phase, indicate that blood glucose homeostasis is recovered at the expense of a reduction in insulin sensitivity. Our results are in line with those of Breen et al.</w:t>
      </w:r>
      <w:r>
        <w:rPr>
          <w:rFonts w:cs="Times New Roman"/>
        </w:rPr>
        <w:fldChar w:fldCharType="begin" w:fldLock="1"/>
      </w:r>
      <w:r w:rsidR="00225DB1">
        <w:rPr>
          <w:rFonts w:cs="Times New Roman"/>
        </w:rPr>
        <w:instrText>ADDIN CSL_CITATION { "citationItems" : [ { "id" : "ITEM-1", "itemData" : { "DOI" : "10.1210/jc.2013-1502", "ISBN" : "0000000000000", "ISSN" : "0021972X", "PMID" : "23589526", "abstract" : "BACKGROUND: Alterations in muscle protein metabolism underlie age-related muscle atrophy. During periods of muscle disuse, muscle protein synthesis is blunted, and muscle atrophy occurs in young and old. The impact of a short reduction in physical activity on muscle protein metabolism in older adults is unknown.\\n\\nPURPOSE: The aim of this study was to investigate the impact of 14 days of reduced daily steps on fasted and fed-state rates of myofibrillar protein synthesis (MPS) to provide insight into the mechanisms for changes in muscle mass and markers of metabolic health.\\n\\nMETHODS: Before and after 14 days of reduced daily step-count, 10 healthy older adults (age, 72 \u00b1 1 y) underwent measures of insulin sensitivity, muscle strength, physical function, and body composition. Using a primed constant infusion of L-[ring-(13)C6]phenylalanine with serial muscle biopsies, basal, postabsorptive, and postprandial rates of MPS were determined before and after the 14-day intervention.\\n\\nRESULTS: Daily step-count was reduced by approximately 76% to 1413 \u00b1 110 steps per day. Leg fat-free mass was reduced by approximately 3.9% (P &lt; .001). Postabsorptive insulin resistance was increased by approximately 12%, and postprandial insulin sensitivity was reduced by approximately 43% after step reduction (P &lt; .005). Concentrations of TNF-\u03b1 and C-reactive protein were increased by approximately 12 and 25%, respectively, after step reduction (P &lt; .05). Postprandial rates of MPS were reduced by approximately 26% after the intervention (P = .028), with no difference in postabsorptive rates.\\n\\nCONCLUSION: The present study demonstrates that 14 days of reduced steps in older adults induces small but measurable reductions in muscle mass that appear to be underpinned by reductions in postprandial MPS and are accompanied by impairments in insulin sensitivity and systemic inflammatory markers and postprandial MPS.", "author" : [ { "dropping-particle" : "", "family" : "Breen", "given" : "Leigh", "non-dropping-particle" : "", "parse-names" : false, "suffix" : "" }, { "dropping-particle" : "", "family" : "Stokes", "given" : "Keith a.", "non-dropping-particle" : "", "parse-names" : false, "suffix" : "" }, { "dropping-particle" : "", "family" : "Churchward-Venne", "given" : "Tyler a.", "non-dropping-particle" : "", "parse-names" : false, "suffix" : "" }, { "dropping-particle" : "", "family" : "Moore", "given" : "Daniel R.", "non-dropping-particle" : "", "parse-names" : false, "suffix" : "" }, { "dropping-particle" : "", "family" : "Baker", "given" : "Stephen K.", "non-dropping-particle" : "", "parse-names" : false, "suffix" : "" }, { "dropping-particle" : "", "family" : "Smith", "given" : "Kenneth", "non-dropping-particle" : "", "parse-names" : false, "suffix" : "" }, { "dropping-particle" : "", "family" : "Atherton", "given" : "Philip J.", "non-dropping-particle" : "", "parse-names" : false, "suffix" : "" }, { "dropping-particle" : "", "family" : "Phillips", "given" : "Stuart M.", "non-dropping-particle" : "", "parse-names" : false, "suffix" : "" } ], "container-title" : "Journal of Clinical Endocrinology and Metabolism", "id" : "ITEM-1", "issue" : "6", "issued" : { "date-parts" : [ [ "2013", "6" ] ] }, "note" : "From Duplicate 1 ( ", "page" : "2604-2612", "title" : "Two weeks of reduced activity decreases leg lean mass and induces \"anabolic resistance\" of myofibrillar protein synthesis in healthy elderly", "type" : "article-journal", "volume" : "98" }, "uris" : [ "http://www.mendeley.com/documents/?uuid=7b247101-8e58-4f48-a336-f3d4e1f8abfc" ] } ], "mendeley" : { "formattedCitation" : "&lt;sup&gt;82&lt;/sup&gt;", "plainTextFormattedCitation" : "82", "previouslyFormattedCitation" : "&lt;sup&gt;82&lt;/sup&gt;"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82</w:t>
      </w:r>
      <w:r>
        <w:rPr>
          <w:rFonts w:cs="Times New Roman"/>
        </w:rPr>
        <w:fldChar w:fldCharType="end"/>
      </w:r>
      <w:r>
        <w:rPr>
          <w:rFonts w:cs="Times New Roman"/>
        </w:rPr>
        <w:t>, we observed greater increases in plasma glucose AUC (15% vs. 9%), plasma insulin AUC (15% vs. 12%) and HOMA-IR (29% vs. 12%)</w:t>
      </w:r>
      <w:r w:rsidR="00F842B1">
        <w:rPr>
          <w:rFonts w:cs="Times New Roman"/>
        </w:rPr>
        <w:t xml:space="preserve"> after SR in comparison to that previous report</w:t>
      </w:r>
      <w:r>
        <w:rPr>
          <w:rFonts w:cs="Times New Roman"/>
        </w:rPr>
        <w:t xml:space="preserve">. These differences </w:t>
      </w:r>
      <w:r w:rsidR="00F842B1">
        <w:rPr>
          <w:rFonts w:cs="Times New Roman"/>
        </w:rPr>
        <w:t xml:space="preserve">between studies </w:t>
      </w:r>
      <w:r>
        <w:rPr>
          <w:rFonts w:cs="Times New Roman"/>
        </w:rPr>
        <w:t>may be due to greater relative reduction in steps with the current study compared to the study of Breen et al.</w:t>
      </w:r>
      <w:r w:rsidR="00E15550">
        <w:rPr>
          <w:rFonts w:cs="Times New Roman"/>
        </w:rPr>
        <w:fldChar w:fldCharType="begin" w:fldLock="1"/>
      </w:r>
      <w:r w:rsidR="00E15550">
        <w:rPr>
          <w:rFonts w:cs="Times New Roman"/>
        </w:rPr>
        <w:instrText>ADDIN CSL_CITATION { "citationItems" : [ { "id" : "ITEM-1", "itemData" : { "DOI" : "10.1210/jc.2013-1502", "ISBN" : "0000000000000", "ISSN" : "0021972X", "PMID" : "23589526", "abstract" : "BACKGROUND: Alterations in muscle protein metabolism underlie age-related muscle atrophy. During periods of muscle disuse, muscle protein synthesis is blunted, and muscle atrophy occurs in young and old. The impact of a short reduction in physical activity on muscle protein metabolism in older adults is unknown.\\n\\nPURPOSE: The aim of this study was to investigate the impact of 14 days of reduced daily steps on fasted and fed-state rates of myofibrillar protein synthesis (MPS) to provide insight into the mechanisms for changes in muscle mass and markers of metabolic health.\\n\\nMETHODS: Before and after 14 days of reduced daily step-count, 10 healthy older adults (age, 72 \u00b1 1 y) underwent measures of insulin sensitivity, muscle strength, physical function, and body composition. Using a primed constant infusion of L-[ring-(13)C6]phenylalanine with serial muscle biopsies, basal, postabsorptive, and postprandial rates of MPS were determined before and after the 14-day intervention.\\n\\nRESULTS: Daily step-count was reduced by approximately 76% to 1413 \u00b1 110 steps per day. Leg fat-free mass was reduced by approximately 3.9% (P &lt; .001). Postabsorptive insulin resistance was increased by approximately 12%, and postprandial insulin sensitivity was reduced by approximately 43% after step reduction (P &lt; .005). Concentrations of TNF-\u03b1 and C-reactive protein were increased by approximately 12 and 25%, respectively, after step reduction (P &lt; .05). Postprandial rates of MPS were reduced by approximately 26% after the intervention (P = .028), with no difference in postabsorptive rates.\\n\\nCONCLUSION: The present study demonstrates that 14 days of reduced steps in older adults induces small but measurable reductions in muscle mass that appear to be underpinned by reductions in postprandial MPS and are accompanied by impairments in insulin sensitivity and systemic inflammatory markers and postprandial MPS.", "author" : [ { "dropping-particle" : "", "family" : "Breen", "given" : "Leigh", "non-dropping-particle" : "", "parse-names" : false, "suffix" : "" }, { "dropping-particle" : "", "family" : "Stokes", "given" : "Keith a.", "non-dropping-particle" : "", "parse-names" : false, "suffix" : "" }, { "dropping-particle" : "", "family" : "Churchward-Venne", "given" : "Tyler a.", "non-dropping-particle" : "", "parse-names" : false, "suffix" : "" }, { "dropping-particle" : "", "family" : "Moore", "given" : "Daniel R.", "non-dropping-particle" : "", "parse-names" : false, "suffix" : "" }, { "dropping-particle" : "", "family" : "Baker", "given" : "Stephen K.", "non-dropping-particle" : "", "parse-names" : false, "suffix" : "" }, { "dropping-particle" : "", "family" : "Smith", "given" : "Kenneth", "non-dropping-particle" : "", "parse-names" : false, "suffix" : "" }, { "dropping-particle" : "", "family" : "Atherton", "given" : "Philip J.", "non-dropping-particle" : "", "parse-names" : false, "suffix" : "" }, { "dropping-particle" : "", "family" : "Phillips", "given" : "Stuart M.", "non-dropping-particle" : "", "parse-names" : false, "suffix" : "" } ], "container-title" : "Journal of Clinical Endocrinology and Metabolism", "id" : "ITEM-1", "issue" : "6", "issued" : { "date-parts" : [ [ "2013", "6" ] ] }, "note" : "From Duplicate 1 ( ", "page" : "2604-2612", "title" : "Two weeks of reduced activity decreases leg lean mass and induces \"anabolic resistance\" of myofibrillar protein synthesis in healthy elderly", "type" : "article-journal", "volume" : "98" }, "uris" : [ "http://www.mendeley.com/documents/?uuid=7b247101-8e58-4f48-a336-f3d4e1f8abfc" ] } ], "mendeley" : { "formattedCitation" : "&lt;sup&gt;82&lt;/sup&gt;", "plainTextFormattedCitation" : "82", "previouslyFormattedCitation" : "&lt;sup&gt;82&lt;/sup&gt;" }, "properties" : { "noteIndex" : 0 }, "schema" : "https://github.com/citation-style-language/schema/raw/master/csl-citation.json" }</w:instrText>
      </w:r>
      <w:r w:rsidR="00E15550">
        <w:rPr>
          <w:rFonts w:cs="Times New Roman"/>
        </w:rPr>
        <w:fldChar w:fldCharType="separate"/>
      </w:r>
      <w:proofErr w:type="gramStart"/>
      <w:r w:rsidR="00E15550" w:rsidRPr="00E15550">
        <w:rPr>
          <w:rFonts w:cs="Times New Roman"/>
          <w:noProof/>
          <w:vertAlign w:val="superscript"/>
        </w:rPr>
        <w:t>82</w:t>
      </w:r>
      <w:r w:rsidR="00E15550">
        <w:rPr>
          <w:rFonts w:cs="Times New Roman"/>
        </w:rPr>
        <w:fldChar w:fldCharType="end"/>
      </w:r>
      <w:r>
        <w:rPr>
          <w:rFonts w:cs="Times New Roman"/>
        </w:rPr>
        <w:t xml:space="preserve"> (86% vs. 76%).</w:t>
      </w:r>
      <w:proofErr w:type="gramEnd"/>
      <w:r>
        <w:rPr>
          <w:rFonts w:cs="Times New Roman"/>
        </w:rPr>
        <w:t xml:space="preserve">  Although the reduction in Matsuda ISI was nearly two-fold greater after SR in the former study (22% vs. 43%), insulin sensitivity reported </w:t>
      </w:r>
      <w:r w:rsidR="00F842B1">
        <w:rPr>
          <w:rFonts w:cs="Times New Roman"/>
        </w:rPr>
        <w:t>by Breen et al.</w:t>
      </w:r>
      <w:r w:rsidR="00F842B1">
        <w:rPr>
          <w:rFonts w:cs="Times New Roman"/>
        </w:rPr>
        <w:fldChar w:fldCharType="begin" w:fldLock="1"/>
      </w:r>
      <w:r w:rsidR="003D1F84">
        <w:rPr>
          <w:rFonts w:cs="Times New Roman"/>
        </w:rPr>
        <w:instrText>ADDIN CSL_CITATION { "citationItems" : [ { "id" : "ITEM-1", "itemData" : { "DOI" : "10.1210/jc.2013-1502", "ISBN" : "0000000000000", "ISSN" : "0021972X", "PMID" : "23589526", "abstract" : "BACKGROUND: Alterations in muscle protein metabolism underlie age-related muscle atrophy. During periods of muscle disuse, muscle protein synthesis is blunted, and muscle atrophy occurs in young and old. The impact of a short reduction in physical activity on muscle protein metabolism in older adults is unknown.\\n\\nPURPOSE: The aim of this study was to investigate the impact of 14 days of reduced daily steps on fasted and fed-state rates of myofibrillar protein synthesis (MPS) to provide insight into the mechanisms for changes in muscle mass and markers of metabolic health.\\n\\nMETHODS: Before and after 14 days of reduced daily step-count, 10 healthy older adults (age, 72 \u00b1 1 y) underwent measures of insulin sensitivity, muscle strength, physical function, and body composition. Using a primed constant infusion of L-[ring-(13)C6]phenylalanine with serial muscle biopsies, basal, postabsorptive, and postprandial rates of MPS were determined before and after the 14-day intervention.\\n\\nRESULTS: Daily step-count was reduced by approximately 76% to 1413 \u00b1 110 steps per day. Leg fat-free mass was reduced by approximately 3.9% (P &lt; .001). Postabsorptive insulin resistance was increased by approximately 12%, and postprandial insulin sensitivity was reduced by approximately 43% after step reduction (P &lt; .005). Concentrations of TNF-\u03b1 and C-reactive protein were increased by approximately 12 and 25%, respectively, after step reduction (P &lt; .05). Postprandial rates of MPS were reduced by approximately 26% after the intervention (P = .028), with no difference in postabsorptive rates.\\n\\nCONCLUSION: The present study demonstrates that 14 days of reduced steps in older adults induces small but measurable reductions in muscle mass that appear to be underpinned by reductions in postprandial MPS and are accompanied by impairments in insulin sensitivity and systemic inflammatory markers and postprandial MPS.", "author" : [ { "dropping-particle" : "", "family" : "Breen", "given" : "Leigh", "non-dropping-particle" : "", "parse-names" : false, "suffix" : "" }, { "dropping-particle" : "", "family" : "Stokes", "given" : "Keith a.", "non-dropping-particle" : "", "parse-names" : false, "suffix" : "" }, { "dropping-particle" : "", "family" : "Churchward-Venne", "given" : "Tyler a.", "non-dropping-particle" : "", "parse-names" : false, "suffix" : "" }, { "dropping-particle" : "", "family" : "Moore", "given" : "Daniel R.", "non-dropping-particle" : "", "parse-names" : false, "suffix" : "" }, { "dropping-particle" : "", "family" : "Baker", "given" : "Stephen K.", "non-dropping-particle" : "", "parse-names" : false, "suffix" : "" }, { "dropping-particle" : "", "family" : "Smith", "given" : "Kenneth", "non-dropping-particle" : "", "parse-names" : false, "suffix" : "" }, { "dropping-particle" : "", "family" : "Atherton", "given" : "Philip J.", "non-dropping-particle" : "", "parse-names" : false, "suffix" : "" }, { "dropping-particle" : "", "family" : "Phillips", "given" : "Stuart M.", "non-dropping-particle" : "", "parse-names" : false, "suffix" : "" } ], "container-title" : "Journal of Clinical Endocrinology and Metabolism", "id" : "ITEM-1", "issue" : "6", "issued" : { "date-parts" : [ [ "2013", "6" ] ] }, "note" : "From Duplicate 1 ( ", "page" : "2604-2612", "title" : "Two weeks of reduced activity decreases leg lean mass and induces \"anabolic resistance\" of myofibrillar protein synthesis in healthy elderly", "type" : "article-journal", "volume" : "98" }, "uris" : [ "http://www.mendeley.com/documents/?uuid=7b247101-8e58-4f48-a336-f3d4e1f8abfc" ] } ], "mendeley" : { "formattedCitation" : "&lt;sup&gt;82&lt;/sup&gt;", "plainTextFormattedCitation" : "82", "previouslyFormattedCitation" : "&lt;sup&gt;82&lt;/sup&gt;" }, "properties" : { "noteIndex" : 0 }, "schema" : "https://github.com/citation-style-language/schema/raw/master/csl-citation.json" }</w:instrText>
      </w:r>
      <w:r w:rsidR="00F842B1">
        <w:rPr>
          <w:rFonts w:cs="Times New Roman"/>
        </w:rPr>
        <w:fldChar w:fldCharType="separate"/>
      </w:r>
      <w:r w:rsidR="00F842B1" w:rsidRPr="00F842B1">
        <w:rPr>
          <w:rFonts w:cs="Times New Roman"/>
          <w:noProof/>
          <w:vertAlign w:val="superscript"/>
        </w:rPr>
        <w:t>82</w:t>
      </w:r>
      <w:r w:rsidR="00F842B1">
        <w:rPr>
          <w:rFonts w:cs="Times New Roman"/>
        </w:rPr>
        <w:fldChar w:fldCharType="end"/>
      </w:r>
      <w:r>
        <w:rPr>
          <w:rFonts w:cs="Times New Roman"/>
        </w:rPr>
        <w:t xml:space="preserve"> </w:t>
      </w:r>
      <w:proofErr w:type="gramStart"/>
      <w:r>
        <w:rPr>
          <w:rFonts w:cs="Times New Roman"/>
        </w:rPr>
        <w:t>was</w:t>
      </w:r>
      <w:proofErr w:type="gramEnd"/>
      <w:r>
        <w:rPr>
          <w:rFonts w:cs="Times New Roman"/>
        </w:rPr>
        <w:t xml:space="preserve"> lower at study-entry and the absolute change in sensitivity after SR was nearly four-fold greater in the current study. The difference in pre-intervention insulin </w:t>
      </w:r>
      <w:r>
        <w:rPr>
          <w:rFonts w:cs="Times New Roman"/>
        </w:rPr>
        <w:lastRenderedPageBreak/>
        <w:t>sensitivity may account for differing results between Breen et al.</w:t>
      </w:r>
      <w:r w:rsidR="00E15550">
        <w:rPr>
          <w:rFonts w:cs="Times New Roman"/>
        </w:rPr>
        <w:fldChar w:fldCharType="begin" w:fldLock="1"/>
      </w:r>
      <w:r w:rsidR="00E15550">
        <w:rPr>
          <w:rFonts w:cs="Times New Roman"/>
        </w:rPr>
        <w:instrText>ADDIN CSL_CITATION { "citationItems" : [ { "id" : "ITEM-1", "itemData" : { "DOI" : "10.1210/jc.2013-1502", "ISBN" : "0000000000000", "ISSN" : "0021972X", "PMID" : "23589526", "abstract" : "BACKGROUND: Alterations in muscle protein metabolism underlie age-related muscle atrophy. During periods of muscle disuse, muscle protein synthesis is blunted, and muscle atrophy occurs in young and old. The impact of a short reduction in physical activity on muscle protein metabolism in older adults is unknown.\\n\\nPURPOSE: The aim of this study was to investigate the impact of 14 days of reduced daily steps on fasted and fed-state rates of myofibrillar protein synthesis (MPS) to provide insight into the mechanisms for changes in muscle mass and markers of metabolic health.\\n\\nMETHODS: Before and after 14 days of reduced daily step-count, 10 healthy older adults (age, 72 \u00b1 1 y) underwent measures of insulin sensitivity, muscle strength, physical function, and body composition. Using a primed constant infusion of L-[ring-(13)C6]phenylalanine with serial muscle biopsies, basal, postabsorptive, and postprandial rates of MPS were determined before and after the 14-day intervention.\\n\\nRESULTS: Daily step-count was reduced by approximately 76% to 1413 \u00b1 110 steps per day. Leg fat-free mass was reduced by approximately 3.9% (P &lt; .001). Postabsorptive insulin resistance was increased by approximately 12%, and postprandial insulin sensitivity was reduced by approximately 43% after step reduction (P &lt; .005). Concentrations of TNF-\u03b1 and C-reactive protein were increased by approximately 12 and 25%, respectively, after step reduction (P &lt; .05). Postprandial rates of MPS were reduced by approximately 26% after the intervention (P = .028), with no difference in postabsorptive rates.\\n\\nCONCLUSION: The present study demonstrates that 14 days of reduced steps in older adults induces small but measurable reductions in muscle mass that appear to be underpinned by reductions in postprandial MPS and are accompanied by impairments in insulin sensitivity and systemic inflammatory markers and postprandial MPS.", "author" : [ { "dropping-particle" : "", "family" : "Breen", "given" : "Leigh", "non-dropping-particle" : "", "parse-names" : false, "suffix" : "" }, { "dropping-particle" : "", "family" : "Stokes", "given" : "Keith a.", "non-dropping-particle" : "", "parse-names" : false, "suffix" : "" }, { "dropping-particle" : "", "family" : "Churchward-Venne", "given" : "Tyler a.", "non-dropping-particle" : "", "parse-names" : false, "suffix" : "" }, { "dropping-particle" : "", "family" : "Moore", "given" : "Daniel R.", "non-dropping-particle" : "", "parse-names" : false, "suffix" : "" }, { "dropping-particle" : "", "family" : "Baker", "given" : "Stephen K.", "non-dropping-particle" : "", "parse-names" : false, "suffix" : "" }, { "dropping-particle" : "", "family" : "Smith", "given" : "Kenneth", "non-dropping-particle" : "", "parse-names" : false, "suffix" : "" }, { "dropping-particle" : "", "family" : "Atherton", "given" : "Philip J.", "non-dropping-particle" : "", "parse-names" : false, "suffix" : "" }, { "dropping-particle" : "", "family" : "Phillips", "given" : "Stuart M.", "non-dropping-particle" : "", "parse-names" : false, "suffix" : "" } ], "container-title" : "Journal of Clinical Endocrinology and Metabolism", "id" : "ITEM-1", "issue" : "6", "issued" : { "date-parts" : [ [ "2013", "6" ] ] }, "note" : "From Duplicate 1 ( ", "page" : "2604-2612", "title" : "Two weeks of reduced activity decreases leg lean mass and induces \"anabolic resistance\" of myofibrillar protein synthesis in healthy elderly", "type" : "article-journal", "volume" : "98" }, "uris" : [ "http://www.mendeley.com/documents/?uuid=7b247101-8e58-4f48-a336-f3d4e1f8abfc" ] } ], "mendeley" : { "formattedCitation" : "&lt;sup&gt;82&lt;/sup&gt;", "plainTextFormattedCitation" : "82", "previouslyFormattedCitation" : "&lt;sup&gt;82&lt;/sup&gt;" }, "properties" : { "noteIndex" : 0 }, "schema" : "https://github.com/citation-style-language/schema/raw/master/csl-citation.json" }</w:instrText>
      </w:r>
      <w:r w:rsidR="00E15550">
        <w:rPr>
          <w:rFonts w:cs="Times New Roman"/>
        </w:rPr>
        <w:fldChar w:fldCharType="separate"/>
      </w:r>
      <w:proofErr w:type="gramStart"/>
      <w:r w:rsidR="00E15550" w:rsidRPr="00E15550">
        <w:rPr>
          <w:rFonts w:cs="Times New Roman"/>
          <w:noProof/>
          <w:vertAlign w:val="superscript"/>
        </w:rPr>
        <w:t>82</w:t>
      </w:r>
      <w:r w:rsidR="00E15550">
        <w:rPr>
          <w:rFonts w:cs="Times New Roman"/>
        </w:rPr>
        <w:fldChar w:fldCharType="end"/>
      </w:r>
      <w:r>
        <w:rPr>
          <w:rFonts w:cs="Times New Roman"/>
        </w:rPr>
        <w:t xml:space="preserve"> and our</w:t>
      </w:r>
      <w:r w:rsidR="00F842B1">
        <w:rPr>
          <w:rFonts w:cs="Times New Roman"/>
        </w:rPr>
        <w:t xml:space="preserve"> current</w:t>
      </w:r>
      <w:r>
        <w:rPr>
          <w:rFonts w:cs="Times New Roman"/>
        </w:rPr>
        <w:t xml:space="preserve"> findings.</w:t>
      </w:r>
      <w:proofErr w:type="gramEnd"/>
      <w:r>
        <w:rPr>
          <w:rFonts w:cs="Times New Roman"/>
        </w:rPr>
        <w:t xml:space="preserve"> </w:t>
      </w:r>
    </w:p>
    <w:p w14:paraId="09452E7B" w14:textId="32392007" w:rsidR="00DA792D" w:rsidRDefault="00DA792D" w:rsidP="00DA792D">
      <w:pPr>
        <w:spacing w:line="480" w:lineRule="auto"/>
        <w:ind w:firstLine="720"/>
        <w:rPr>
          <w:rFonts w:cs="Times New Roman"/>
        </w:rPr>
      </w:pPr>
      <w:r>
        <w:rPr>
          <w:rFonts w:cs="Times New Roman"/>
        </w:rPr>
        <w:t>Compared to younger men, the degree of impairment in insulin sensitivity we observed with SR seems to be of a lesser magnitude. For example, after two weeks of SR below 1500 steps per day, a very similar model of inactivity as ours, insulin AUC in younger men was increased by 57-61%</w:t>
      </w:r>
      <w:r>
        <w:rPr>
          <w:rFonts w:cs="Times New Roman"/>
        </w:rPr>
        <w:fldChar w:fldCharType="begin" w:fldLock="1"/>
      </w:r>
      <w:r w:rsidR="00225DB1">
        <w:rPr>
          <w:rFonts w:cs="Times New Roman"/>
        </w:rPr>
        <w:instrText>ADDIN CSL_CITATION { "citationItems" : [ { "id" : "ITEM-1", "itemData" : { "DOI" : "10.1001/jama.299.11.1259", "ISBN" : "1538-3598 (Electronic)", "ISSN" : "0098-7484", "PMID" : "18349087", "author" : [ { "dropping-particle" : "", "family" : "Olsen", "given" : "Rasmus H", "non-dropping-particle" : "", "parse-names" : false, "suffix" : "" }, { "dropping-particle" : "", "family" : "Krogh-Madsen", "given" : "Rikke", "non-dropping-particle" : "", "parse-names" : false, "suffix" : "" }, { "dropping-particle" : "", "family" : "Thomsen", "given" : "Carsten", "non-dropping-particle" : "", "parse-names" : false, "suffix" : "" }, { "dropping-particle" : "", "family" : "Booth", "given" : "Frank W", "non-dropping-particle" : "", "parse-names" : false, "suffix" : "" }, { "dropping-particle" : "", "family" : "Pedersen", "given" : "Bente K", "non-dropping-particle" : "", "parse-names" : false, "suffix" : "" } ], "container-title" : "JAMA : the journal of the American Medical Association", "id" : "ITEM-1", "issue" : "11", "issued" : { "date-parts" : [ [ "2008" ] ] }, "page" : "1261-1263", "title" : "Metabolic responses to reduced daily steps in healthy nonexercising men.", "type" : "article-journal", "volume" : "299" }, "uris" : [ "http://www.mendeley.com/documents/?uuid=7b767cba-3236-4912-90c4-f87b3d9780ad" ] } ], "mendeley" : { "formattedCitation" : "&lt;sup&gt;80&lt;/sup&gt;", "plainTextFormattedCitation" : "80", "previouslyFormattedCitation" : "&lt;sup&gt;80&lt;/sup&gt;"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80</w:t>
      </w:r>
      <w:r>
        <w:rPr>
          <w:rFonts w:cs="Times New Roman"/>
        </w:rPr>
        <w:fldChar w:fldCharType="end"/>
      </w:r>
      <w:r>
        <w:rPr>
          <w:rFonts w:cs="Times New Roman"/>
        </w:rPr>
        <w:t>. Furthermore, Matsuda ISI and HOMA-IR showed greater impairments in younger adults compared to our older adults (ISI: ~30%; HOMA-IR: ~40%) after only 3-5 days of fewer than 5000 steps per day</w:t>
      </w:r>
      <w:r>
        <w:rPr>
          <w:rFonts w:cs="Times New Roman"/>
        </w:rPr>
        <w:fldChar w:fldCharType="begin" w:fldLock="1"/>
      </w:r>
      <w:r w:rsidR="00225DB1">
        <w:rPr>
          <w:rFonts w:cs="Times New Roman"/>
        </w:rPr>
        <w:instrText>ADDIN CSL_CITATION { "citationItems" : [ { "id" : "ITEM-1", "itemData" : { "DOI" : "10.1249/MSS.0b013e31822ac0c0", "ISBN" : "1530-0315 (Electronic)\\n0195-9131 (Linking)", "ISSN" : "01959131", "PMID" : "21716152", "abstract" : "INTRODUCTION: Postprandial glucose (PPG) is an independent predictor of cardiovascular events and death, regardless of diabetes status. Whereas changes in physical activity produce changes in insulin sensitivity, it is not clear whether changes in daily physical activity directly affect PPG in healthy free-living persons.\\n\\nMETHODS: We used continuous glucose monitors to measure PPG and PPG excursions (\u0394PPG, postmeal - premeal blood glucose) at 30-min increments after meals in healthy habitually active volunteers (n = 12, age = 29 \u00b1 1 yr, body mass index = 23.6 \u00b1 0.9 kg\u00b7m(-2), VO2max = 53.6 \u00b1 3.0 mL\u00b7kg(-1)\u00b7min(-1)) during 3 d of habitual (\u226510,000 steps per day) and reduced (&lt;5000 steps per day) physical activity. Diets were standardized across monitoring periods, and fasting-state oral glucose tolerance tests (OGTT) were performed on the fourth day of each monitoring period.\\n\\nRESULTS: During 3 d of reduced physical activity (12,956 \u00b1 769 to 4319 \u00b1 256 steps per day), PPG increased at 30 and 60 min after a meal (6.31 \u00b1 0.19 to 6.68 \u00b1 0.23 mmol\u00b7L(-1) and 5.75 \u00b1 0.16 to 6.26 \u00b1 0.28 mmol\u00b7L(-1), P &lt; 0.05 relative to corresponding active time point), and \u0394PPG increased by 42%, 97%, and 33% at 30, 60, and 90 min after a meal, respectively (P &lt; 0.05). Insulin and C-peptide responses to the OGTT increased after 3 d of reduced activity (P &lt; 0.05), and the glucose response to the OGTT did not change significantly.\\n\\nCONCLUSIONS: Thus, despite evidence of compensatory increases in plasma insulin during an OGTT, \u0394PPG assessed by continuous glucose monitoring systems increased markedly during 3 d of reduced physical activity in otherwise healthy free-living individuals. These data indicate that daily physical activity is an important mediator of glycemic control, even among healthy individuals, and reinforce the utility of physical activity in preventing pathologies associated with elevated PPG.", "author" : [ { "dropping-particle" : "", "family" : "Mikus", "given" : "Catherine R.", "non-dropping-particle" : "", "parse-names" : false, "suffix" : "" }, { "dropping-particle" : "", "family" : "Oberlin", "given" : "Douglas J.", "non-dropping-particle" : "", "parse-names" : false, "suffix" : "" }, { "dropping-particle" : "", "family" : "Libla", "given" : "Jessica L.", "non-dropping-particle" : "", "parse-names" : false, "suffix" : "" }, { "dropping-particle" : "", "family" : "Taylor", "given" : "Angelina M.", "non-dropping-particle" : "", "parse-names" : false, "suffix" : "" }, { "dropping-particle" : "", "family" : "Booth", "given" : "Frank W.", "non-dropping-particle" : "", "parse-names" : false, "suffix" : "" }, { "dropping-particle" : "", "family" : "Thyfault", "given" : "John P.", "non-dropping-particle" : "", "parse-names" : false, "suffix" : "" } ], "container-title" : "Medicine and Science in Sports and Exercise", "id" : "ITEM-1", "issue" : "2", "issued" : { "date-parts" : [ [ "2012", "2" ] ] }, "page" : "225-231", "title" : "Lowering physical activity impairs glycemic control in healthy volunteers", "type" : "article-journal", "volume" : "44" }, "uris" : [ "http://www.mendeley.com/documents/?uuid=acc31cb0-2fb1-42d8-92b8-d5715575448c" ] }, { "id" : "ITEM-2", "itemData" : { "DOI" : "10.1249/MSS.0000000000000508", "ISBN" : "0000000000000", "ISSN" : "0195-9131", "PMID" : "25207931", "abstract" : "PURPOSE: Insulin-stimulated increases in skeletal muscle blood flow play a role in glucose disposal. Indeed, 7 d of aerobic exercise in patients with Type 2 diabetes increased blood flow responses to an oral glucose tolerance test (OGTT) and improved insulin sensitivity. More recent work suggests that reduced daily physical activity impairs glycemic control (GC) in healthy individuals. Herein, we sought to determine whether an acute reduction in daily activity (from &gt;10,000 to &lt;5000 steps per day) for 5 d (RA5) in healthy individuals reduced insulin-stimulated blood flow and GC in parallel and if a 1-d return to activity (RTA1) improved these outcomes. METHODS: OGTT were performed as a stimulus to increase insulin in 14 healthy, recreationally active men (24 \u00b1 1.1 yr) at baseline, RA5, and RTA1. Measures of insulin sensitivity (Matsuda index) and femoral and brachial artery blood flow were made during the OGTT. Free-living measures of GC including peak postprandial glucose (peak PPG) were also made via continuous glucose monitoring. RESULTS: Femoral and brachial artery blood flow increased during the OGTT but neither was significantly impacted by changes in physical activity (P &gt; 0.05). However, insulin sensitivity was decreased by RA5 (11.3 \u00b1 1.5 to 8.0 \u00b1 1.0, P &lt; 0.05). Likewise, free-living GC measures of peak PPG (113 \u00b1 3 to 123 \u00b1 5 mg\u00b7dL(-1), P &lt; 0.05) was significantly increased at RA5. Interestingly, insulin sensitivity and GC as assessed by peak PPG were not restored after RTA1 (P &gt; 0.05). CONCLUSIONS: Thus, acute reductions in physical activity impaired GC and insulin sensitivity; however, blood flow responses to an OGTT were not affected. Further, a 1-d return to activity was not sufficient to normalize GC after 5 d of reduced daily physical activity.", "author" : [ { "dropping-particle" : "", "family" : "Reynolds", "given" : "Leryn J.", "non-dropping-particle" : "", "parse-names" : false, "suffix" : "" }, { "dropping-particle" : "", "family" : "Credeur", "given" : "Daniel P.", "non-dropping-particle" : "", "parse-names" : false, "suffix" : "" }, { "dropping-particle" : "", "family" : "Holwerda", "given" : "Seth W.", "non-dropping-particle" : "", "parse-names" : false, "suffix" : "" }, { "dropping-particle" : "", "family" : "Leidy", "given" : "Heather J.", "non-dropping-particle" : "", "parse-names" : false, "suffix" : "" }, { "dropping-particle" : "", "family" : "Fadel", "given" : "Paul J.", "non-dropping-particle" : "", "parse-names" : false, "suffix" : "" }, { "dropping-particle" : "", "family" : "Thyfault", "given" : "John P.", "non-dropping-particle" : "", "parse-names" : false, "suffix" : "" } ], "container-title" : "Medicine &amp; Science in Sports &amp; Exercise", "id" : "ITEM-2", "issue" : "5", "issued" : { "date-parts" : [ [ "2015", "5" ] ] }, "number-of-pages" : "1087-1094", "title" : "Acute Inactivity Impairs Glycemic Control but Not Blood Flow to Glucose Ingestion", "type" : "book", "volume" : "47" }, "uris" : [ "http://www.mendeley.com/documents/?uuid=3d924708-9176-4587-9749-9b863790250e" ] } ], "mendeley" : { "formattedCitation" : "&lt;sup&gt;77,87&lt;/sup&gt;", "plainTextFormattedCitation" : "77,87", "previouslyFormattedCitation" : "&lt;sup&gt;77,87&lt;/sup&gt;"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77,87</w:t>
      </w:r>
      <w:r>
        <w:rPr>
          <w:rFonts w:cs="Times New Roman"/>
        </w:rPr>
        <w:fldChar w:fldCharType="end"/>
      </w:r>
      <w:r>
        <w:rPr>
          <w:rFonts w:cs="Times New Roman"/>
        </w:rPr>
        <w:t>. A possible reason for this attenuated response is the fact that older participants in the current study presented with substantially impaired values of insulin sensitivity and resistance compared to younger adults at study-entry and prior to SR. The average Matsuda ISI and HOMA-IR in this study were 3.5 and 2.8 respectively, both of which fall beyond the suggested cut-points for whole body insulin resistance (ISI: 5.0; HOMA-IR: 2.3)</w:t>
      </w:r>
      <w:r>
        <w:rPr>
          <w:rFonts w:cs="Times New Roman"/>
        </w:rPr>
        <w:fldChar w:fldCharType="begin" w:fldLock="1"/>
      </w:r>
      <w:r w:rsidR="000709FC">
        <w:rPr>
          <w:rFonts w:cs="Times New Roman"/>
        </w:rPr>
        <w:instrText>ADDIN CSL_CITATION { "citationItems" : [ { "id" : "ITEM-1", "itemData" : { "DOI" : "10.1055/s-2006-924233", "ISBN" : "0947-7349", "ISSN" : "09477349", "PMID" : "16804799", "abstract" : "Demanding measurement of insulin sensitivity using clamp methods does not simplify the identification of insulin resistant subjects in the general population. Other approaches such as fasting- or oral glucose tolerance test-derived insulin sensitivity indices were proposed and validated with the euglycemic clamp. Nevertheless, a lack of reference values for these indices prevents their wider use in epidemiological studies and clinical practice. The aim of our study was therefore to define the cut-off points of insulin resistance indices as well as the ranges of the most frequently obtained values for selected indices. A standard 75 g oral glucose tolerance test was carried out in 1156 subjects from a Caucasian rural population with no previous evidence of diabetes or other dysglycemias. Insulin resistance/sensitivity indices (HOMA-IR, HOMA-IR2, ISI Cederholm, and ISI Matsuda) were calculated. The 75th percentile value as the cut-off point to define IR corresponded with a HOMA-IR of 2.29, a HOMA-IR2 of 1.21, a 25th percentile for ISI Cederholm, and ISI Matsuda of 57 and 5.0, respectively. For the first time, the cut-off points for selected indices and their most frequently obtained values were established for groups of subjects as defined by glucose homeostasis and BMI. Thus, insulin-resistant subjects can be identified using this simple approach.", "author" : [ { "dropping-particle" : "", "family" : "Radikova", "given" : "Z.", "non-dropping-particle" : "", "parse-names" : false, "suffix" : "" }, { "dropping-particle" : "", "family" : "Koska", "given" : "J.", "non-dropping-particle" : "", "parse-names" : false, "suffix" : "" }, { "dropping-particle" : "", "family" : "Huckova", "given" : "M.", "non-dropping-particle" : "", "parse-names" : false, "suffix" : "" }, { "dropping-particle" : "", "family" : "Ksinantova", "given" : "L.", "non-dropping-particle" : "", "parse-names" : false, "suffix" : "" }, { "dropping-particle" : "", "family" : "Imrich", "given" : "R.", "non-dropping-particle" : "", "parse-names" : false, "suffix" : "" }, { "dropping-particle" : "", "family" : "Vigas", "given" : "M.", "non-dropping-particle" : "", "parse-names" : false, "suffix" : "" }, { "dropping-particle" : "", "family" : "Trnovec", "given" : "T.", "non-dropping-particle" : "", "parse-names" : false, "suffix" : "" }, { "dropping-particle" : "", "family" : "Langer", "given" : "P.", "non-dropping-particle" : "", "parse-names" : false, "suffix" : "" }, { "dropping-particle" : "", "family" : "Sebokova", "given" : "E.", "non-dropping-particle" : "", "parse-names" : false, "suffix" : "" }, { "dropping-particle" : "", "family" : "Klimes", "given" : "Iwar", "non-dropping-particle" : "", "parse-names" : false, "suffix" : "" } ], "container-title" : "Experimental and Clinical Endocrinology and Diabetes", "id" : "ITEM-1", "issue" : "5", "issued" : { "date-parts" : [ [ "2006" ] ] }, "page" : "249-256", "title" : "Insulin sensitivity indices: A proposal of cut-off points for simple identification of insulin-resistant subjects", "type" : "article-journal", "volume" : "114" }, "uris" : [ "http://www.mendeley.com/documents/?uuid=16d8c365-5efc-453a-80e0-f3c7a421abce" ] } ], "mendeley" : { "formattedCitation" : "&lt;sup&gt;112&lt;/sup&gt;", "plainTextFormattedCitation" : "112", "previouslyFormattedCitation" : "&lt;sup&gt;112&lt;/sup&gt;"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112</w:t>
      </w:r>
      <w:r>
        <w:rPr>
          <w:rFonts w:cs="Times New Roman"/>
        </w:rPr>
        <w:fldChar w:fldCharType="end"/>
      </w:r>
      <w:r>
        <w:rPr>
          <w:rFonts w:cs="Times New Roman"/>
        </w:rPr>
        <w:t>.  Comparatively, prior to any SR intervention in younger adults, Matsuda ISI and HOMA-IR values were approximately 14.3 and 0.8 respectively</w:t>
      </w:r>
      <w:r>
        <w:rPr>
          <w:rFonts w:cs="Times New Roman"/>
        </w:rPr>
        <w:fldChar w:fldCharType="begin" w:fldLock="1"/>
      </w:r>
      <w:r w:rsidR="00225DB1">
        <w:rPr>
          <w:rFonts w:cs="Times New Roman"/>
        </w:rPr>
        <w:instrText>ADDIN CSL_CITATION { "citationItems" : [ { "id" : "ITEM-1", "itemData" : { "DOI" : "10.1249/MSS.0b013e31822ac0c0", "ISBN" : "1530-0315 (Electronic)\\n0195-9131 (Linking)", "ISSN" : "01959131", "PMID" : "21716152", "abstract" : "INTRODUCTION: Postprandial glucose (PPG) is an independent predictor of cardiovascular events and death, regardless of diabetes status. Whereas changes in physical activity produce changes in insulin sensitivity, it is not clear whether changes in daily physical activity directly affect PPG in healthy free-living persons.\\n\\nMETHODS: We used continuous glucose monitors to measure PPG and PPG excursions (\u0394PPG, postmeal - premeal blood glucose) at 30-min increments after meals in healthy habitually active volunteers (n = 12, age = 29 \u00b1 1 yr, body mass index = 23.6 \u00b1 0.9 kg\u00b7m(-2), VO2max = 53.6 \u00b1 3.0 mL\u00b7kg(-1)\u00b7min(-1)) during 3 d of habitual (\u226510,000 steps per day) and reduced (&lt;5000 steps per day) physical activity. Diets were standardized across monitoring periods, and fasting-state oral glucose tolerance tests (OGTT) were performed on the fourth day of each monitoring period.\\n\\nRESULTS: During 3 d of reduced physical activity (12,956 \u00b1 769 to 4319 \u00b1 256 steps per day), PPG increased at 30 and 60 min after a meal (6.31 \u00b1 0.19 to 6.68 \u00b1 0.23 mmol\u00b7L(-1) and 5.75 \u00b1 0.16 to 6.26 \u00b1 0.28 mmol\u00b7L(-1), P &lt; 0.05 relative to corresponding active time point), and \u0394PPG increased by 42%, 97%, and 33% at 30, 60, and 90 min after a meal, respectively (P &lt; 0.05). Insulin and C-peptide responses to the OGTT increased after 3 d of reduced activity (P &lt; 0.05), and the glucose response to the OGTT did not change significantly.\\n\\nCONCLUSIONS: Thus, despite evidence of compensatory increases in plasma insulin during an OGTT, \u0394PPG assessed by continuous glucose monitoring systems increased markedly during 3 d of reduced physical activity in otherwise healthy free-living individuals. These data indicate that daily physical activity is an important mediator of glycemic control, even among healthy individuals, and reinforce the utility of physical activity in preventing pathologies associated with elevated PPG.", "author" : [ { "dropping-particle" : "", "family" : "Mikus", "given" : "Catherine R.", "non-dropping-particle" : "", "parse-names" : false, "suffix" : "" }, { "dropping-particle" : "", "family" : "Oberlin", "given" : "Douglas J.", "non-dropping-particle" : "", "parse-names" : false, "suffix" : "" }, { "dropping-particle" : "", "family" : "Libla", "given" : "Jessica L.", "non-dropping-particle" : "", "parse-names" : false, "suffix" : "" }, { "dropping-particle" : "", "family" : "Taylor", "given" : "Angelina M.", "non-dropping-particle" : "", "parse-names" : false, "suffix" : "" }, { "dropping-particle" : "", "family" : "Booth", "given" : "Frank W.", "non-dropping-particle" : "", "parse-names" : false, "suffix" : "" }, { "dropping-particle" : "", "family" : "Thyfault", "given" : "John P.", "non-dropping-particle" : "", "parse-names" : false, "suffix" : "" } ], "container-title" : "Medicine and Science in Sports and Exercise", "id" : "ITEM-1", "issue" : "2", "issued" : { "date-parts" : [ [ "2012", "2" ] ] }, "page" : "225-231", "title" : "Lowering physical activity impairs glycemic control in healthy volunteers", "type" : "article-journal", "volume" : "44" }, "uris" : [ "http://www.mendeley.com/documents/?uuid=acc31cb0-2fb1-42d8-92b8-d5715575448c" ] } ], "mendeley" : { "formattedCitation" : "&lt;sup&gt;77&lt;/sup&gt;", "plainTextFormattedCitation" : "77", "previouslyFormattedCitation" : "&lt;sup&gt;77&lt;/sup&gt;"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77</w:t>
      </w:r>
      <w:r>
        <w:rPr>
          <w:rFonts w:cs="Times New Roman"/>
        </w:rPr>
        <w:fldChar w:fldCharType="end"/>
      </w:r>
      <w:r>
        <w:rPr>
          <w:rFonts w:cs="Times New Roman"/>
        </w:rPr>
        <w:t>. Even after SR in younger participants, their Matsuda ISI and HOMA IR values were not beyond insulin resistance cut-point values</w:t>
      </w:r>
      <w:r>
        <w:rPr>
          <w:rFonts w:cs="Times New Roman"/>
        </w:rPr>
        <w:fldChar w:fldCharType="begin" w:fldLock="1"/>
      </w:r>
      <w:r w:rsidR="000709FC">
        <w:rPr>
          <w:rFonts w:cs="Times New Roman"/>
        </w:rPr>
        <w:instrText>ADDIN CSL_CITATION { "citationItems" : [ { "id" : "ITEM-1", "itemData" : { "DOI" : "10.1055/s-2006-924233", "ISBN" : "0947-7349", "ISSN" : "09477349", "PMID" : "16804799", "abstract" : "Demanding measurement of insulin sensitivity using clamp methods does not simplify the identification of insulin resistant subjects in the general population. Other approaches such as fasting- or oral glucose tolerance test-derived insulin sensitivity indices were proposed and validated with the euglycemic clamp. Nevertheless, a lack of reference values for these indices prevents their wider use in epidemiological studies and clinical practice. The aim of our study was therefore to define the cut-off points of insulin resistance indices as well as the ranges of the most frequently obtained values for selected indices. A standard 75 g oral glucose tolerance test was carried out in 1156 subjects from a Caucasian rural population with no previous evidence of diabetes or other dysglycemias. Insulin resistance/sensitivity indices (HOMA-IR, HOMA-IR2, ISI Cederholm, and ISI Matsuda) were calculated. The 75th percentile value as the cut-off point to define IR corresponded with a HOMA-IR of 2.29, a HOMA-IR2 of 1.21, a 25th percentile for ISI Cederholm, and ISI Matsuda of 57 and 5.0, respectively. For the first time, the cut-off points for selected indices and their most frequently obtained values were established for groups of subjects as defined by glucose homeostasis and BMI. Thus, insulin-resistant subjects can be identified using this simple approach.", "author" : [ { "dropping-particle" : "", "family" : "Radikova", "given" : "Z.", "non-dropping-particle" : "", "parse-names" : false, "suffix" : "" }, { "dropping-particle" : "", "family" : "Koska", "given" : "J.", "non-dropping-particle" : "", "parse-names" : false, "suffix" : "" }, { "dropping-particle" : "", "family" : "Huckova", "given" : "M.", "non-dropping-particle" : "", "parse-names" : false, "suffix" : "" }, { "dropping-particle" : "", "family" : "Ksinantova", "given" : "L.", "non-dropping-particle" : "", "parse-names" : false, "suffix" : "" }, { "dropping-particle" : "", "family" : "Imrich", "given" : "R.", "non-dropping-particle" : "", "parse-names" : false, "suffix" : "" }, { "dropping-particle" : "", "family" : "Vigas", "given" : "M.", "non-dropping-particle" : "", "parse-names" : false, "suffix" : "" }, { "dropping-particle" : "", "family" : "Trnovec", "given" : "T.", "non-dropping-particle" : "", "parse-names" : false, "suffix" : "" }, { "dropping-particle" : "", "family" : "Langer", "given" : "P.", "non-dropping-particle" : "", "parse-names" : false, "suffix" : "" }, { "dropping-particle" : "", "family" : "Sebokova", "given" : "E.", "non-dropping-particle" : "", "parse-names" : false, "suffix" : "" }, { "dropping-particle" : "", "family" : "Klimes", "given" : "Iwar", "non-dropping-particle" : "", "parse-names" : false, "suffix" : "" } ], "container-title" : "Experimental and Clinical Endocrinology and Diabetes", "id" : "ITEM-1", "issue" : "5", "issued" : { "date-parts" : [ [ "2006" ] ] }, "page" : "249-256", "title" : "Insulin sensitivity indices: A proposal of cut-off points for simple identification of insulin-resistant subjects", "type" : "article-journal", "volume" : "114" }, "uris" : [ "http://www.mendeley.com/documents/?uuid=16d8c365-5efc-453a-80e0-f3c7a421abce" ] } ], "mendeley" : { "formattedCitation" : "&lt;sup&gt;112&lt;/sup&gt;", "plainTextFormattedCitation" : "112", "previouslyFormattedCitation" : "&lt;sup&gt;112&lt;/sup&gt;"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112</w:t>
      </w:r>
      <w:r>
        <w:rPr>
          <w:rFonts w:cs="Times New Roman"/>
        </w:rPr>
        <w:fldChar w:fldCharType="end"/>
      </w:r>
      <w:r>
        <w:rPr>
          <w:rFonts w:cs="Times New Roman"/>
        </w:rPr>
        <w:t>. While the absolute and relative metabolic response to SR in older adults may be diminished, in a population already exhibiting impairments in glycemic control, the changes in insulin sensitivity we observed could have relevant clinical consequences.</w:t>
      </w:r>
    </w:p>
    <w:p w14:paraId="3E14E3A0" w14:textId="77BF950D" w:rsidR="00DA792D" w:rsidRDefault="00DA792D" w:rsidP="00DA792D">
      <w:pPr>
        <w:spacing w:line="480" w:lineRule="auto"/>
        <w:ind w:firstLine="720"/>
        <w:rPr>
          <w:rFonts w:cs="Times New Roman"/>
        </w:rPr>
      </w:pPr>
      <w:r>
        <w:rPr>
          <w:rFonts w:cs="Times New Roman"/>
        </w:rPr>
        <w:lastRenderedPageBreak/>
        <w:t>The novel finding of this study was the fact that insulin sensitivity (Matsuda ISI) and insulin resistance (HOMA-IR) failed to recover to BL levels with RC. Insulin resistance precedes progression to overt T2DM</w:t>
      </w:r>
      <w:r>
        <w:rPr>
          <w:rFonts w:cs="Times New Roman"/>
        </w:rPr>
        <w:fldChar w:fldCharType="begin" w:fldLock="1"/>
      </w:r>
      <w:r w:rsidR="000709FC">
        <w:rPr>
          <w:rFonts w:cs="Times New Roman"/>
        </w:rPr>
        <w:instrText>ADDIN CSL_CITATION { "citationItems" : [ { "id" : "ITEM-1", "itemData" : { "author" : [ { "dropping-particle" : "", "family" : "Reaven", "given" : "G M", "non-dropping-particle" : "", "parse-names" : false, "suffix" : "" } ], "container-title" : "Diabetes", "id" : "ITEM-1", "issued" : { "date-parts" : [ [ "1988" ] ] }, "title" : "Role of insulin resistance in human disease.", "type" : "article-journal", "volume" : "37" }, "uris" : [ "http://www.mendeley.com/documents/?uuid=e23e55dc-8724-4b33-a136-1211ee0ddbfe" ] } ], "mendeley" : { "formattedCitation" : "&lt;sup&gt;113&lt;/sup&gt;", "plainTextFormattedCitation" : "113", "previouslyFormattedCitation" : "&lt;sup&gt;113&lt;/sup&gt;"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113</w:t>
      </w:r>
      <w:r>
        <w:rPr>
          <w:rFonts w:cs="Times New Roman"/>
        </w:rPr>
        <w:fldChar w:fldCharType="end"/>
      </w:r>
      <w:r>
        <w:rPr>
          <w:rFonts w:cs="Times New Roman"/>
        </w:rPr>
        <w:t xml:space="preserve"> and is proposed to be an initiating factor in a number of chronic diseases including CVD, hypertension, as well as cancer</w:t>
      </w:r>
      <w:r>
        <w:rPr>
          <w:rFonts w:cs="Times New Roman"/>
        </w:rPr>
        <w:fldChar w:fldCharType="begin" w:fldLock="1"/>
      </w:r>
      <w:r w:rsidR="000709FC">
        <w:rPr>
          <w:rFonts w:cs="Times New Roman"/>
        </w:rPr>
        <w:instrText>ADDIN CSL_CITATION { "citationItems" : [ { "id" : "ITEM-1", "itemData" : { "DOI" : "10.1146/annurev.nutr.24.012003.132155", "ISBN" : "0199-9885 (Print)\\r0199-9885 (Linking)", "ISSN" : "0199-9885", "PMID" : "16011472", "abstract" : "The ability of insulin to stimulate glucose disposal varies at least sixfold in apparently healthy individuals, and approximately one-third of the population that is most resistant to this action of insulin is at greatly increased risk to develop a number of adverse clinical outcomes. Type 2 diabetes occurs when insulin resistant individuals are unable to secrete enough insulin to compensate for the defect in insulin action, and this was the first clinical syndrome identified as being related to insulin resistance. Although the majority of insulin-resistant individuals are able to maintain the level of compensatory hyperinsulinemia needed to prevent the development of a significant degree of hyperglycemia, the combination of insulin resistance and hyperinsulinemia greatly increases the likelihood of developing a cluster of closely related abnormalities and the resultant clinical diagnoses that can be considered to make up the insulin resistance syndrome (IRS). Since being overweight/obese and sedentary decreases insulin sensitivity, it is not surprising that the prevalence of the manifestations of the IRS is increasing at a rapid rate. From a dietary standpoint, there are two approaches to attenuating the manifestations of the IRS: (a) weight loss to enhance insulin sensitivity in those overweight/obese individuals who are insulin resistant/hyperinsulinemic; and (b) changes in macronutrient content of diets to avoid the adverse effects of the compensatory hyperinsulinemia. This chapter will focus on defining the abnormalities and clinical syndromes that compose the IRS and evaluating the dietary changes that can ameliorate its adverse consequences.", "author" : [ { "dropping-particle" : "", "family" : "Reaven", "given" : "Gerald M", "non-dropping-particle" : "", "parse-names" : false, "suffix" : "" } ], "container-title" : "Annual review of nutrition", "id" : "ITEM-1", "issued" : { "date-parts" : [ [ "2005" ] ] }, "page" : "391-406", "title" : "The insulin resistance syndrome: definition and dietary approaches to treatment.", "type" : "article-journal", "volume" : "25" }, "uris" : [ "http://www.mendeley.com/documents/?uuid=3cd725aa-13d6-4524-ba17-811da3556160" ] } ], "mendeley" : { "formattedCitation" : "&lt;sup&gt;114&lt;/sup&gt;", "plainTextFormattedCitation" : "114", "previouslyFormattedCitation" : "&lt;sup&gt;114&lt;/sup&gt;"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114</w:t>
      </w:r>
      <w:r>
        <w:rPr>
          <w:rFonts w:cs="Times New Roman"/>
        </w:rPr>
        <w:fldChar w:fldCharType="end"/>
      </w:r>
      <w:r>
        <w:rPr>
          <w:rFonts w:cs="Times New Roman"/>
        </w:rPr>
        <w:t>, which highlights the significance of our finding in an elderly population. To our knowledge, only two other studies have looked at the recovery of glycemic control with a return to habitual activity. In younger men, one day of PA was insufficient to recover insulin sensitivity after five days of SR</w:t>
      </w:r>
      <w:r>
        <w:rPr>
          <w:rFonts w:cs="Times New Roman"/>
        </w:rPr>
        <w:fldChar w:fldCharType="begin" w:fldLock="1"/>
      </w:r>
      <w:r w:rsidR="00225DB1">
        <w:rPr>
          <w:rFonts w:cs="Times New Roman"/>
        </w:rPr>
        <w:instrText>ADDIN CSL_CITATION { "citationItems" : [ { "id" : "ITEM-1", "itemData" : { "DOI" : "10.1249/MSS.0000000000000508", "ISBN" : "0000000000000", "ISSN" : "0195-9131", "PMID" : "25207931", "abstract" : "PURPOSE: Insulin-stimulated increases in skeletal muscle blood flow play a role in glucose disposal. Indeed, 7 d of aerobic exercise in patients with Type 2 diabetes increased blood flow responses to an oral glucose tolerance test (OGTT) and improved insulin sensitivity. More recent work suggests that reduced daily physical activity impairs glycemic control (GC) in healthy individuals. Herein, we sought to determine whether an acute reduction in daily activity (from &gt;10,000 to &lt;5000 steps per day) for 5 d (RA5) in healthy individuals reduced insulin-stimulated blood flow and GC in parallel and if a 1-d return to activity (RTA1) improved these outcomes. METHODS: OGTT were performed as a stimulus to increase insulin in 14 healthy, recreationally active men (24 \u00b1 1.1 yr) at baseline, RA5, and RTA1. Measures of insulin sensitivity (Matsuda index) and femoral and brachial artery blood flow were made during the OGTT. Free-living measures of GC including peak postprandial glucose (peak PPG) were also made via continuous glucose monitoring. RESULTS: Femoral and brachial artery blood flow increased during the OGTT but neither was significantly impacted by changes in physical activity (P &gt; 0.05). However, insulin sensitivity was decreased by RA5 (11.3 \u00b1 1.5 to 8.0 \u00b1 1.0, P &lt; 0.05). Likewise, free-living GC measures of peak PPG (113 \u00b1 3 to 123 \u00b1 5 mg\u00b7dL(-1), P &lt; 0.05) was significantly increased at RA5. Interestingly, insulin sensitivity and GC as assessed by peak PPG were not restored after RTA1 (P &gt; 0.05). CONCLUSIONS: Thus, acute reductions in physical activity impaired GC and insulin sensitivity; however, blood flow responses to an OGTT were not affected. Further, a 1-d return to activity was not sufficient to normalize GC after 5 d of reduced daily physical activity.", "author" : [ { "dropping-particle" : "", "family" : "Reynolds", "given" : "Leryn J.", "non-dropping-particle" : "", "parse-names" : false, "suffix" : "" }, { "dropping-particle" : "", "family" : "Credeur", "given" : "Daniel P.", "non-dropping-particle" : "", "parse-names" : false, "suffix" : "" }, { "dropping-particle" : "", "family" : "Holwerda", "given" : "Seth W.", "non-dropping-particle" : "", "parse-names" : false, "suffix" : "" }, { "dropping-particle" : "", "family" : "Leidy", "given" : "Heather J.", "non-dropping-particle" : "", "parse-names" : false, "suffix" : "" }, { "dropping-particle" : "", "family" : "Fadel", "given" : "Paul J.", "non-dropping-particle" : "", "parse-names" : false, "suffix" : "" }, { "dropping-particle" : "", "family" : "Thyfault", "given" : "John P.", "non-dropping-particle" : "", "parse-names" : false, "suffix" : "" } ], "container-title" : "Medicine &amp; Science in Sports &amp; Exercise", "id" : "ITEM-1", "issue" : "5", "issued" : { "date-parts" : [ [ "2015", "5" ] ] }, "number-of-pages" : "1087-1094", "title" : "Acute Inactivity Impairs Glycemic Control but Not Blood Flow to Glucose Ingestion", "type" : "book", "volume" : "47" }, "uris" : [ "http://www.mendeley.com/documents/?uuid=3d924708-9176-4587-9749-9b863790250e" ] } ], "mendeley" : { "formattedCitation" : "&lt;sup&gt;87&lt;/sup&gt;", "plainTextFormattedCitation" : "87", "previouslyFormattedCitation" : "&lt;sup&gt;87&lt;/sup&gt;"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87</w:t>
      </w:r>
      <w:r>
        <w:rPr>
          <w:rFonts w:cs="Times New Roman"/>
        </w:rPr>
        <w:fldChar w:fldCharType="end"/>
      </w:r>
      <w:r>
        <w:rPr>
          <w:rFonts w:cs="Times New Roman"/>
        </w:rPr>
        <w:t>, however two weeks of habitual ambulation returned all measures of glycemic control back to study-entry levels in another study</w:t>
      </w:r>
      <w:r>
        <w:rPr>
          <w:rFonts w:cs="Times New Roman"/>
        </w:rPr>
        <w:fldChar w:fldCharType="begin" w:fldLock="1"/>
      </w:r>
      <w:r w:rsidR="00225DB1">
        <w:rPr>
          <w:rFonts w:cs="Times New Roman"/>
        </w:rPr>
        <w:instrText>ADDIN CSL_CITATION { "citationItems" : [ { "id" : "ITEM-1", "itemData" : { "DOI" : "10.1152/japplphysiol.00189.2011", "ISBN" : "8750-7587\\r1522-1601", "ISSN" : "8750-7587", "PMID" : "22556394", "abstract" : "A lifestyle characterized by inactivity and a high-calorie diet is a known risk factor for impaired insulin sensitivity and development of Type 2 diabetes mellitus. To investigate possible links, nine young healthy men (24 \u00b1 3 yr; body mass index of 21.6 \u00b1 2.5 kg/m(2)) completed 14 days of step reduction (10,000 to 1,500 steps/day) and overfeeding (+50% kcal). Body composition (dual X-ray absorptiometry, MRI), aerobic fitness (maximal O(2) consumption), systemic inflammation and insulin sensitivity [oral glucose tolerance test (OGTT), hyperinsulinemic euglycemic clamp] were assessed before (day 0), during (days 3 and 7), and immediately after the intervention (day 14), with follow-up tests (day 30). Body weight had increased at days 7 and 14 (P &lt; 0.05). The amount of visceral fat had increased at day 14 compared with day 0 (P &lt; 0.05). The insulin response to the OGTT had increased at days 7 and 14 (P &lt; 0.05). Insulin sensitivity, estimated using the Matsuda index, had decreased at days 3 and 7 (P &lt; 0.01). At day 14, glucose infusion rates had decreased by \u223c44% during the euglycemic clamps (P &lt; 0.05). Also, plasma levels of leptin and adiponectin had increased (P &lt; 0.05), whereas no changes were seen in inflammatory markers. At day 30, body weight and whole body adiposity were still elevated compared with day 0 (P &lt; 0.05), whereas the insulin sensitivity as well as the insulin response to the OGTT did not differ from baseline. The glucose response to the OGTT was only affected at day 30, with a decrease compared with day 0. Our data show that insulin sensitivity was impaired after 3 days of inactivity and overfeeding. Impairments in insulin sensitivity occurred before changes in body composition, supporting the notion that the initial steps in impairment of insulin sensitivity may be linked directly to the effects of inactivity and a high calorie intake.", "author" : [ { "dropping-particle" : "", "family" : "Knudsen", "given" : "S. H.", "non-dropping-particle" : "", "parse-names" : false, "suffix" : "" }, { "dropping-particle" : "", "family" : "Hansen", "given" : "L. S.", "non-dropping-particle" : "", "parse-names" : false, "suffix" : "" }, { "dropping-particle" : "", "family" : "Pedersen", "given" : "M.", "non-dropping-particle" : "", "parse-names" : false, "suffix" : "" }, { "dropping-particle" : "", "family" : "Dejgaard", "given" : "T.", "non-dropping-particle" : "", "parse-names" : false, "suffix" : "" }, { "dropping-particle" : "", "family" : "Hansen", "given" : "J.", "non-dropping-particle" : "", "parse-names" : false, "suffix" : "" }, { "dropping-particle" : "V.", "family" : "Hall", "given" : "G.", "non-dropping-particle" : "", "parse-names" : false, "suffix" : "" }, { "dropping-particle" : "", "family" : "Thomsen", "given" : "C.", "non-dropping-particle" : "", "parse-names" : false, "suffix" : "" }, { "dropping-particle" : "", "family" : "Solomon", "given" : "T. P. J.", "non-dropping-particle" : "", "parse-names" : false, "suffix" : "" }, { "dropping-particle" : "", "family" : "Pedersen", "given" : "B. K.", "non-dropping-particle" : "", "parse-names" : false, "suffix" : "" }, { "dropping-particle" : "", "family" : "Krogh-Madsen", "given" : "R.", "non-dropping-particle" : "", "parse-names" : false, "suffix" : "" } ], "container-title" : "Journal of Applied Physiology", "id" : "ITEM-1", "issue" : "1", "issued" : { "date-parts" : [ [ "2012", "7" ] ] }, "page" : "7-15", "title" : "Changes in insulin sensitivity precede changes in body composition during 14 days of step reduction combined with overfeeding in healthy young men", "type" : "article-journal", "volume" : "113" }, "uris" : [ "http://www.mendeley.com/documents/?uuid=fd55b369-3ad5-4fab-a9be-62ff792b9582" ] } ], "mendeley" : { "formattedCitation" : "&lt;sup&gt;79&lt;/sup&gt;", "plainTextFormattedCitation" : "79", "previouslyFormattedCitation" : "&lt;sup&gt;79&lt;/sup&gt;"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79</w:t>
      </w:r>
      <w:r>
        <w:rPr>
          <w:rFonts w:cs="Times New Roman"/>
        </w:rPr>
        <w:fldChar w:fldCharType="end"/>
      </w:r>
      <w:r>
        <w:rPr>
          <w:rFonts w:cs="Times New Roman"/>
        </w:rPr>
        <w:t>. Our study is, to our knowledge, the first evidence that older adults are not able to recover from the consequences of SR</w:t>
      </w:r>
      <w:r w:rsidR="00F842B1">
        <w:rPr>
          <w:rFonts w:cs="Times New Roman"/>
        </w:rPr>
        <w:t>,</w:t>
      </w:r>
      <w:r>
        <w:rPr>
          <w:rFonts w:cs="Times New Roman"/>
        </w:rPr>
        <w:t xml:space="preserve"> from the perspective of glucose control. While this finding supports our hypothesis, it is still conceptually surprising when you consider observations</w:t>
      </w:r>
      <w:r w:rsidR="00E15550">
        <w:rPr>
          <w:rFonts w:cs="Times New Roman"/>
        </w:rPr>
        <w:t xml:space="preserve"> that</w:t>
      </w:r>
      <w:r>
        <w:rPr>
          <w:rFonts w:cs="Times New Roman"/>
        </w:rPr>
        <w:t xml:space="preserve"> a single bout of moderate intensity exercise can increase insulin sensitivity,</w:t>
      </w:r>
      <w:r>
        <w:rPr>
          <w:rFonts w:cs="Times New Roman"/>
        </w:rPr>
        <w:fldChar w:fldCharType="begin" w:fldLock="1"/>
      </w:r>
      <w:r w:rsidR="000709FC">
        <w:rPr>
          <w:rFonts w:cs="Times New Roman"/>
        </w:rPr>
        <w:instrText>ADDIN CSL_CITATION { "citationItems" : [ { "id" : "ITEM-1", "itemData" : { "ISSN" : "0161-7567", "PMID" : "6352578", "abstract" : "Physically trained individuals have a markedly blunted insulin response to a glucose load and yet have normal glucose tolerance. This phenomenon has generally been ascribed to long-term adaptations to training which correlate with maximal oxygen uptake (VO2max) and reduced adiposity. Our study was undertaken to test the hypothesis that residual effects of the last bouts of exercise play an important role in this phenomenon. Eight well-trained subjects stopped training for 10 days. There were no significant changes in VO2max (58.6 +/- 2.2 vs. 57.6 +/- 2.1 ml/kg), estimated percent body fat (12.5 +/- 0.7 vs. 12.5 +/- 0.8%), or body weight. The maximum rise in plasma insulin concentration in response to a 100-g oral glucose load was 100% higher after 10 days without exercise than when the subjects were exercising regularly. Despite the increased insulin levels, blood glucose concentrations were higher after 10 days without exercise. Insulin binding to monocytes also decreased with physical inactivity. One bout of exercise after 11 days without exercise returned insulin binding and the insulin and glucose responses to an oral 100-g glucose load almost to the initial \"trained\" value. These results support our hypothesis.", "author" : [ { "dropping-particle" : "", "family" : "Heath", "given" : "G W", "non-dropping-particle" : "", "parse-names" : false, "suffix" : "" }, { "dropping-particle" : "", "family" : "Gavin", "given" : "J R", "non-dropping-particle" : "", "parse-names" : false, "suffix" : "" }, { "dropping-particle" : "", "family" : "Hinderliter", "given" : "J M", "non-dropping-particle" : "", "parse-names" : false, "suffix" : "" }, { "dropping-particle" : "", "family" : "Hagberg", "given" : "J M", "non-dropping-particle" : "", "parse-names" : false, "suffix" : "" }, { "dropping-particle" : "", "family" : "Bloomfield", "given" : "S A", "non-dropping-particle" : "", "parse-names" : false, "suffix" : "" }, { "dropping-particle" : "", "family" : "Holloszy", "given" : "J O", "non-dropping-particle" : "", "parse-names" : false, "suffix" : "" } ], "container-title" : "Journal of applied physiology (Bethesda, Md. : 1985)", "id" : "ITEM-1", "issue" : "2", "issued" : { "date-parts" : [ [ "1983" ] ] }, "page" : "512-517", "title" : "Effects of exercise and lack of exercise on glucose tolerance and insulin sensitivity.", "type" : "article-journal", "volume" : "55" }, "uris" : [ "http://www.mendeley.com/documents/?uuid=387bd3d2-cb86-4993-ac51-6b535d061810" ] } ], "mendeley" : { "formattedCitation" : "&lt;sup&gt;115&lt;/sup&gt;", "plainTextFormattedCitation" : "115", "previouslyFormattedCitation" : "&lt;sup&gt;115&lt;/sup&gt;"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115</w:t>
      </w:r>
      <w:r>
        <w:rPr>
          <w:rFonts w:cs="Times New Roman"/>
        </w:rPr>
        <w:fldChar w:fldCharType="end"/>
      </w:r>
      <w:r>
        <w:rPr>
          <w:rFonts w:cs="Times New Roman"/>
        </w:rPr>
        <w:t xml:space="preserve"> minimal PA is associated with improved glycemic control</w:t>
      </w:r>
      <w:r>
        <w:rPr>
          <w:rFonts w:cs="Times New Roman"/>
        </w:rPr>
        <w:fldChar w:fldCharType="begin" w:fldLock="1"/>
      </w:r>
      <w:r w:rsidR="000709FC">
        <w:rPr>
          <w:rFonts w:cs="Times New Roman"/>
        </w:rPr>
        <w:instrText>ADDIN CSL_CITATION { "citationItems" : [ { "id" : "ITEM-1", "itemData" : { "DOI" : "10.1016/S0091-7435(03)00144-0", "ISBN" : "0091-7435", "ISSN" : "00917435", "PMID" : "14507493", "abstract" : "Background. Physical activity (PA) has been shown to benefit glucose tolerance. Walking is a convenient low-impact mode of PA and is reported to be the most commonly performed activity for those with diabetes. The purpose of this study was to determine whether a recommendation to accumulate 10,000 steps/day for 8 weeks was effective at improving glucose tolerance in overweight, inactive women. Methods. Eighteen women (53.3 \u00b1 7.0 years old, 35.0 \u00b1 5.1 kg/m2) with a family history of type 2 diabetes completed a 4-week control period followed by an 8-week walking program with no changes in diet. The walking program provided a goal of accumulating at least 10,000 steps/day, monitored by a pedometer. Results. During the control period, participants walked 4972 steps/day. During the intervention period, the participants increased their accumulated steps/day by 85% to 9213, which resulted in beneficial changes in 2-h postload glucose levels (P &lt; 0.001), AUCglucose (P = 0.025), systolic blood pressure (P &lt; 0.001), and diastolic blood pressure (P = 0.002). There were no changes in body mass, body fat percentage, and waist circumference during the walking intervention. Conclusions. The 10,000 steps/day recommendation resulted in improved glucose tolerance and a reduction in systolic and diastolic blood pressure in overweight women at risk for type 2 diabetes. This demonstrates that activity can be accumulated throughout the day and does not have to result in weight loss to benefit this population. \u00a9 2003 American Health Foundation and Elsevier Inc. All rights reserved.", "author" : [ { "dropping-particle" : "", "family" : "Swartz", "given" : "Ann M.", "non-dropping-particle" : "", "parse-names" : false, "suffix" : "" }, { "dropping-particle" : "", "family" : "Strath", "given" : "Scott J.", "non-dropping-particle" : "", "parse-names" : false, "suffix" : "" }, { "dropping-particle" : "", "family" : "Bassett", "given" : "David R.", "non-dropping-particle" : "", "parse-names" : false, "suffix" : "" }, { "dropping-particle" : "", "family" : "Moore", "given" : "J. Brian", "non-dropping-particle" : "", "parse-names" : false, "suffix" : "" }, { "dropping-particle" : "", "family" : "Redwine", "given" : "Beth a.", "non-dropping-particle" : "", "parse-names" : false, "suffix" : "" }, { "dropping-particle" : "", "family" : "Gro\u00ebr", "given" : "Maureen", "non-dropping-particle" : "", "parse-names" : false, "suffix" : "" }, { "dropping-particle" : "", "family" : "Thompson", "given" : "Dixie L.", "non-dropping-particle" : "", "parse-names" : false, "suffix" : "" } ], "container-title" : "Preventive Medicine", "id" : "ITEM-1", "issue" : "4", "issued" : { "date-parts" : [ [ "2003", "10" ] ] }, "page" : "356-362", "title" : "Increasing daily walking improves glucose tolerance in overweight women", "type" : "article-journal", "volume" : "37" }, "uris" : [ "http://www.mendeley.com/documents/?uuid=f9661c66-7156-4f48-918a-b22671cdee9e" ] }, { "id" : "ITEM-2", "itemData" : { "DOI" : "10.1007/s00125-010-1785-x", "ISBN" : "1432-0428 (Electronic)\\r0012-186X (Linking)", "ISSN" : "0012186X", "PMID" : "20495973", "abstract" : "AIMS/HYPOTHESIS: We examined whether small amounts of low-intensity physical activity were associated with reduced risk of developing type 2 diabetes in a national sample of people aged 50 years and over. METHODS: The sample comprised 7,466 individuals (55.9% women) free from self-reported doctor-diagnosed diabetes and was prospectively followed for a mean of 45.3 months. Baseline self-reported physical activity was categorised as physical inactivity, low- and vigorous/moderate-intensity physical activity at least once a week. Cox proportional hazard regression was used to model the association between baseline physical activity and incident type 2 diabetes. RESULTS: Vigorous/moderate-intensity physical activity at least once a week was associated with reduced risk of type 2 diabetes (HR 0.64, 95% CI 0.43-0.95, p = 0.026) but low-intensity physical activity at least once a week was not (HR 0.87, 95% CI 0.58-1.30, p = 0.497) after adjustment for all covariates. However, age-stratified analysis showed that low-intensity physical activity at least once a week was associated with reduced risk of type 2 diabetes for those aged 70 years and over (HR 0.53, 95% CI 0.28-1.02, p = 0.059), but not for those aged 50 to 59 years (HR 1.09, 95% CI 0.52-2.29, p = 0.828) or those aged 60 to 69 years (HR 1.15, 95% CI 0.55-2.41, p = 0.715) after adjustment for all covariates. CONCLUSIONS/INTERPRETATION: Compared with physical inactivity, any type of physical activity was associated with reduced risk of type 2 diabetes in adults aged 70 years and over, while in adults aged 50 to 69 years, physical activity needed to be vigorous/moderate in intensity to be associated with reduced risk of type 2 diabetes.", "author" : [ { "dropping-particle" : "", "family" : "Demakakos", "given" : "P.", "non-dropping-particle" : "", "parse-names" : false, "suffix" : "" }, { "dropping-particle" : "", "family" : "Hamer", "given" : "M.", "non-dropping-particle" : "", "parse-names" : false, "suffix" : "" }, { "dropping-particle" : "", "family" : "Stamatakis", "given" : "E.", "non-dropping-particle" : "", "parse-names" : false, "suffix" : "" }, { "dropping-particle" : "", "family" : "Steptoe", "given" : "a.", "non-dropping-particle" : "", "parse-names" : false, "suffix" : "" } ], "container-title" : "Diabetologia", "id" : "ITEM-2", "issue" : "9", "issued" : { "date-parts" : [ [ "2010", "9" ] ] }, "page" : "1877-1885", "title" : "Low-intensity physical activity is associated with reduced risk of incident type 2 diabetes in older adults: Evidence from the English Longitudinal Study of Ageing", "type" : "article-journal", "volume" : "53" }, "uris" : [ "http://www.mendeley.com/documents/?uuid=565389a1-626e-46b7-8c6e-ee3fe5af66d9" ] } ], "mendeley" : { "formattedCitation" : "&lt;sup&gt;37,116&lt;/sup&gt;", "plainTextFormattedCitation" : "37,116", "previouslyFormattedCitation" : "&lt;sup&gt;37,116&lt;/sup&gt;"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37,116</w:t>
      </w:r>
      <w:r>
        <w:rPr>
          <w:rFonts w:cs="Times New Roman"/>
        </w:rPr>
        <w:fldChar w:fldCharType="end"/>
      </w:r>
      <w:r>
        <w:rPr>
          <w:rFonts w:cs="Times New Roman"/>
        </w:rPr>
        <w:t xml:space="preserve"> and moderate intensity exercise can acutely enhance glucose homeostasis in impaired glucose tolerant older adults</w:t>
      </w:r>
      <w:r>
        <w:rPr>
          <w:rFonts w:cs="Times New Roman"/>
        </w:rPr>
        <w:fldChar w:fldCharType="begin" w:fldLock="1"/>
      </w:r>
      <w:r w:rsidR="000709FC">
        <w:rPr>
          <w:rFonts w:cs="Times New Roman"/>
        </w:rPr>
        <w:instrText>ADDIN CSL_CITATION { "citationItems" : [ { "id" : "ITEM-1", "itemData" : { "DOI" : "10.1210/jc.2007-1734", "ISSN" : "0021-972X", "PMID" : "18000089", "abstract" : "BACKGROUND: There is a high prevalence of diabetes and impaired glucose tolerance (IGT) in the older population. Normal aging is associated with insulin resistance and impaired insulin secretion, with greater defects in people with IGT. Short-term exercise has been found to increase insulin sensitivity, but little is known about acute exercise effects on beta-cell function in older people with IGT. METHODS: We assessed the effects of 7 consecutive days of supervised aerobic exercise (1 h/d at 60-70% heart rate reserve) in 12 sedentary older people with IGT. Screening included oral glucose tolerance test, stress/maximal O(2) uptake test, and dual-energy x-ray absorptiometry scan. Participants had a frequently sampled iv glucose tolerance test at baseline and 15-20 h after the seventh exercise session. Insulin sensitivity (S(I)), glucose disappearance constant (Kg, a measure of iv glucose tolerance), acute insulin response to glucose (AIRg), and disposition index (AIRg x S(I)), a measure of beta-cell function in relation to insulin resistance, were calculated. RESULTS: Exercise was well tolerated. Body weight, fasting glucose, fasting insulin, and iv glucose tolerance were unchanged with exercise. S(I) increased by 59%, AIRg decreased by 12%, and disposition index increased by 31%. There was no significant change in fasting lipid, catecholamine, leptin, or adiponectin levels. CONCLUSIONS: Short-term exercise not only improved insulin resistance but also significantly enhanced beta-cell function in older people with IGT. These effects of short-term exercise on beta-cell function cannot be explained by changes in body weight or circulating levels of lipids, leptin, adiponectin, or catecholamines.", "author" : [ { "dropping-particle" : "", "family" : "Bloem", "given" : "Cathie J", "non-dropping-particle" : "", "parse-names" : false, "suffix" : "" }, { "dropping-particle" : "", "family" : "Chang", "given" : "Annette M", "non-dropping-particle" : "", "parse-names" : false, "suffix" : "" } ], "container-title" : "The Journal of clinical endocrinology and metabolism", "id" : "ITEM-1", "issue" : "2", "issued" : { "date-parts" : [ [ "2008" ] ] }, "page" : "387-392", "title" : "Short-term exercise improves beta-cell function and insulin resistance in older people with impaired glucose tolerance.", "type" : "article-journal", "volume" : "93" }, "uris" : [ "http://www.mendeley.com/documents/?uuid=37d6cc5e-aa2b-40a1-84fa-9133412c33a3" ] } ], "mendeley" : { "formattedCitation" : "&lt;sup&gt;117&lt;/sup&gt;", "plainTextFormattedCitation" : "117", "previouslyFormattedCitation" : "&lt;sup&gt;117&lt;/sup&gt;"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117</w:t>
      </w:r>
      <w:r>
        <w:rPr>
          <w:rFonts w:cs="Times New Roman"/>
        </w:rPr>
        <w:fldChar w:fldCharType="end"/>
      </w:r>
      <w:r>
        <w:rPr>
          <w:rFonts w:cs="Times New Roman"/>
        </w:rPr>
        <w:t xml:space="preserve">. Thus, despite returning to their normal activity patterns, the recovery period (14d) for older adults after inactivity was insufficient to recover </w:t>
      </w:r>
      <w:r w:rsidR="00D124CC">
        <w:rPr>
          <w:rFonts w:cs="Times New Roman"/>
        </w:rPr>
        <w:t xml:space="preserve">insulin sensitivity. The </w:t>
      </w:r>
      <w:r>
        <w:rPr>
          <w:rFonts w:cs="Times New Roman"/>
        </w:rPr>
        <w:t>recovery</w:t>
      </w:r>
      <w:r w:rsidR="00E15550">
        <w:rPr>
          <w:rFonts w:cs="Times New Roman"/>
        </w:rPr>
        <w:t xml:space="preserve"> of glycemic control</w:t>
      </w:r>
      <w:r>
        <w:rPr>
          <w:rFonts w:cs="Times New Roman"/>
        </w:rPr>
        <w:t xml:space="preserve"> </w:t>
      </w:r>
      <w:r w:rsidR="00D124CC">
        <w:rPr>
          <w:rFonts w:cs="Times New Roman"/>
        </w:rPr>
        <w:t xml:space="preserve">and </w:t>
      </w:r>
      <w:r w:rsidR="00C548CB">
        <w:rPr>
          <w:rFonts w:cs="Times New Roman"/>
        </w:rPr>
        <w:t xml:space="preserve">insulin sensitivity, </w:t>
      </w:r>
      <w:r>
        <w:rPr>
          <w:rFonts w:cs="Times New Roman"/>
        </w:rPr>
        <w:t>at least in older persons by comparison young</w:t>
      </w:r>
      <w:r w:rsidR="00E15550">
        <w:rPr>
          <w:rFonts w:cs="Times New Roman"/>
        </w:rPr>
        <w:t>er</w:t>
      </w:r>
      <w:r>
        <w:rPr>
          <w:rFonts w:cs="Times New Roman"/>
        </w:rPr>
        <w:t xml:space="preserve"> persons, is protracted and may last for an unknown period of time. Further research elucidating the time course of recovery of glycemic control </w:t>
      </w:r>
      <w:r w:rsidR="00C548CB">
        <w:rPr>
          <w:rFonts w:cs="Times New Roman"/>
        </w:rPr>
        <w:t xml:space="preserve">and insulin sensitivity </w:t>
      </w:r>
      <w:r>
        <w:rPr>
          <w:rFonts w:cs="Times New Roman"/>
        </w:rPr>
        <w:t xml:space="preserve">in older adults for </w:t>
      </w:r>
      <w:r>
        <w:rPr>
          <w:rFonts w:cs="Times New Roman"/>
        </w:rPr>
        <w:lastRenderedPageBreak/>
        <w:t xml:space="preserve">periods of inactivity would be instrumental in understanding how long the effects of reduced PA due to, as an example, influenza or inclement weather may persist. </w:t>
      </w:r>
    </w:p>
    <w:p w14:paraId="426D3AC8" w14:textId="5684DB73" w:rsidR="00DA792D" w:rsidRDefault="00DA792D" w:rsidP="00DA792D">
      <w:pPr>
        <w:spacing w:line="480" w:lineRule="auto"/>
        <w:ind w:firstLine="720"/>
        <w:rPr>
          <w:rFonts w:cs="Times New Roman"/>
        </w:rPr>
      </w:pPr>
      <w:r>
        <w:rPr>
          <w:rFonts w:cs="Times New Roman"/>
        </w:rPr>
        <w:t>Krogh-Madsen et al.</w:t>
      </w:r>
      <w:r>
        <w:rPr>
          <w:rFonts w:cs="Times New Roman"/>
        </w:rPr>
        <w:fldChar w:fldCharType="begin" w:fldLock="1"/>
      </w:r>
      <w:r w:rsidR="00225DB1">
        <w:rPr>
          <w:rFonts w:cs="Times New Roman"/>
        </w:rPr>
        <w:instrText>ADDIN CSL_CITATION { "citationItems" : [ { "id" : "ITEM-1", "itemData" : { "DOI" : "10.1152/japplphysiol.00977.2009", "ISBN" : "8750-7587\\r1522-1601", "ISSN" : "8750-7587", "PMID" : "20044474", "abstract" : "US adults take between approximately 2,000 and approximately 12,000 steps per day, a wide range of ambulatory activity that at the low range could increase risk for developing chronic metabolic diseases. Dramatic reductions in physical activity induce insulin resistance; however, it is uncertain if and how low ambulatory activity would influence peripheral insulin sensitivity. We aimed to explore if healthy, nonexercising subjects who went from a normal to a low level of ambulatory activity for 2 wk would display metabolic alterations including reduced peripheral insulin sensitivity. To do this, ten healthy young men decreased their daily activity level from a mean of 10,501+/-808 to 1,344+/-33 steps/day for 2 wk. Hyperinsulinemic-euglycemic clamps with stable isotopes and muscle biopsies, maximal oxygen consumption (VO2 max) tests, and blood samples were performed pre- and postintervention. A reduced number of daily steps induced a significant reduction of 17% in the glucose infusion rate (GIR) during the clamp. This reduction was due to a decline in peripheral insulin sensitivity with no effect on hepatic endogenous glucose production. The insulin-stimulated ratio of pAktthr308/total Akt decreased after step reduction, with a post hoc analysis revealing the most pronounced effect after 4 h of insulin infusion. In addition, the 2-wk period induced a 7% decline in VO2 max (ml/min; cardiovascular fitness). Lean mass of legs, but not arms and trunk, decreased concurrently. Taken together, one possible biological cause for the public health problem of Type 2 diabetes has been identified. Reduced ambulatory activity for 2 wk in healthy, nonexercising young men significantly reduced peripheral insulin sensitivity, cardiovascular fitness, and lean leg mass.", "author" : [ { "dropping-particle" : "", "family" : "Krogh-Madsen", "given" : "Rikke", "non-dropping-particle" : "", "parse-names" : false, "suffix" : "" }, { "dropping-particle" : "", "family" : "Thyfault", "given" : "John P", "non-dropping-particle" : "", "parse-names" : false, "suffix" : "" }, { "dropping-particle" : "", "family" : "Broholm", "given" : "Christa", "non-dropping-particle" : "", "parse-names" : false, "suffix" : "" }, { "dropping-particle" : "", "family" : "Mortensen", "given" : "Ole Hartvig", "non-dropping-particle" : "", "parse-names" : false, "suffix" : "" }, { "dropping-particle" : "", "family" : "Olsen", "given" : "Rasmus H", "non-dropping-particle" : "", "parse-names" : false, "suffix" : "" }, { "dropping-particle" : "", "family" : "Mounier", "given" : "Remi", "non-dropping-particle" : "", "parse-names" : false, "suffix" : "" }, { "dropping-particle" : "", "family" : "Plomgaard", "given" : "Peter", "non-dropping-particle" : "", "parse-names" : false, "suffix" : "" }, { "dropping-particle" : "", "family" : "Hall", "given" : "Gerrit", "non-dropping-particle" : "van", "parse-names" : false, "suffix" : "" }, { "dropping-particle" : "", "family" : "Booth", "given" : "Frank W", "non-dropping-particle" : "", "parse-names" : false, "suffix" : "" }, { "dropping-particle" : "", "family" : "Pedersen", "given" : "Bente K", "non-dropping-particle" : "", "parse-names" : false, "suffix" : "" } ], "container-title" : "Journal of applied physiology (Bethesda, Md. : 1985)", "id" : "ITEM-1", "issue" : "5", "issued" : { "date-parts" : [ [ "2010", "5" ] ] }, "note" : "From Duplicate 1 ( ", "page" : "1034-1040", "title" : "A 2-wk reduction of ambulatory activity attenuates peripheral insulin sensitivity.", "type" : "article-journal", "volume" : "108" }, "uris" : [ "http://www.mendeley.com/documents/?uuid=e79211db-25b4-4bf9-a2d1-c4c657021667" ] } ], "mendeley" : { "formattedCitation" : "&lt;sup&gt;78&lt;/sup&gt;", "plainTextFormattedCitation" : "78", "previouslyFormattedCitation" : "&lt;sup&gt;78&lt;/sup&gt;"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78</w:t>
      </w:r>
      <w:r>
        <w:rPr>
          <w:rFonts w:cs="Times New Roman"/>
        </w:rPr>
        <w:fldChar w:fldCharType="end"/>
      </w:r>
      <w:r>
        <w:rPr>
          <w:rFonts w:cs="Times New Roman"/>
        </w:rPr>
        <w:t xml:space="preserve"> found that the metabolic consequences of SR manifests prior to changes in body composition,</w:t>
      </w:r>
      <w:r w:rsidR="00C548CB">
        <w:rPr>
          <w:rFonts w:cs="Times New Roman"/>
        </w:rPr>
        <w:t xml:space="preserve"> a finding that strongly agrees with the current study.</w:t>
      </w:r>
      <w:r>
        <w:rPr>
          <w:rFonts w:cs="Times New Roman"/>
        </w:rPr>
        <w:t xml:space="preserve"> </w:t>
      </w:r>
      <w:r w:rsidR="00C548CB">
        <w:rPr>
          <w:rFonts w:cs="Times New Roman"/>
        </w:rPr>
        <w:t>This evidence</w:t>
      </w:r>
      <w:r>
        <w:rPr>
          <w:rFonts w:cs="Times New Roman"/>
        </w:rPr>
        <w:t xml:space="preserve"> </w:t>
      </w:r>
      <w:r w:rsidR="00C548CB">
        <w:rPr>
          <w:rFonts w:cs="Times New Roman"/>
        </w:rPr>
        <w:t xml:space="preserve">suggests that </w:t>
      </w:r>
      <w:r>
        <w:rPr>
          <w:rFonts w:cs="Times New Roman"/>
        </w:rPr>
        <w:t>muscle atrophy and increased adipose tissue</w:t>
      </w:r>
      <w:r w:rsidR="00C548CB">
        <w:rPr>
          <w:rFonts w:cs="Times New Roman"/>
        </w:rPr>
        <w:t xml:space="preserve"> may be limited in their role </w:t>
      </w:r>
      <w:proofErr w:type="gramStart"/>
      <w:r w:rsidR="00C548CB">
        <w:rPr>
          <w:rFonts w:cs="Times New Roman"/>
        </w:rPr>
        <w:t>as a</w:t>
      </w:r>
      <w:r>
        <w:rPr>
          <w:rFonts w:cs="Times New Roman"/>
        </w:rPr>
        <w:t xml:space="preserve"> potential mechanisms</w:t>
      </w:r>
      <w:proofErr w:type="gramEnd"/>
      <w:r>
        <w:rPr>
          <w:rFonts w:cs="Times New Roman"/>
        </w:rPr>
        <w:t xml:space="preserve"> for SR-mediated insulin resistance. In fact, with as little as three days of fewer than 5000 daily steps, younger men and women exhibited a 31% decrease in Matsuda ISI and 49% increase in HOMA-IR</w:t>
      </w:r>
      <w:r>
        <w:rPr>
          <w:rFonts w:cs="Times New Roman"/>
        </w:rPr>
        <w:fldChar w:fldCharType="begin" w:fldLock="1"/>
      </w:r>
      <w:r w:rsidR="00225DB1">
        <w:rPr>
          <w:rFonts w:cs="Times New Roman"/>
        </w:rPr>
        <w:instrText>ADDIN CSL_CITATION { "citationItems" : [ { "id" : "ITEM-1", "itemData" : { "DOI" : "10.1249/MSS.0b013e31822ac0c0", "ISBN" : "1530-0315 (Electronic)\\n0195-9131 (Linking)", "ISSN" : "01959131", "PMID" : "21716152", "abstract" : "INTRODUCTION: Postprandial glucose (PPG) is an independent predictor of cardiovascular events and death, regardless of diabetes status. Whereas changes in physical activity produce changes in insulin sensitivity, it is not clear whether changes in daily physical activity directly affect PPG in healthy free-living persons.\\n\\nMETHODS: We used continuous glucose monitors to measure PPG and PPG excursions (\u0394PPG, postmeal - premeal blood glucose) at 30-min increments after meals in healthy habitually active volunteers (n = 12, age = 29 \u00b1 1 yr, body mass index = 23.6 \u00b1 0.9 kg\u00b7m(-2), VO2max = 53.6 \u00b1 3.0 mL\u00b7kg(-1)\u00b7min(-1)) during 3 d of habitual (\u226510,000 steps per day) and reduced (&lt;5000 steps per day) physical activity. Diets were standardized across monitoring periods, and fasting-state oral glucose tolerance tests (OGTT) were performed on the fourth day of each monitoring period.\\n\\nRESULTS: During 3 d of reduced physical activity (12,956 \u00b1 769 to 4319 \u00b1 256 steps per day), PPG increased at 30 and 60 min after a meal (6.31 \u00b1 0.19 to 6.68 \u00b1 0.23 mmol\u00b7L(-1) and 5.75 \u00b1 0.16 to 6.26 \u00b1 0.28 mmol\u00b7L(-1), P &lt; 0.05 relative to corresponding active time point), and \u0394PPG increased by 42%, 97%, and 33% at 30, 60, and 90 min after a meal, respectively (P &lt; 0.05). Insulin and C-peptide responses to the OGTT increased after 3 d of reduced activity (P &lt; 0.05), and the glucose response to the OGTT did not change significantly.\\n\\nCONCLUSIONS: Thus, despite evidence of compensatory increases in plasma insulin during an OGTT, \u0394PPG assessed by continuous glucose monitoring systems increased markedly during 3 d of reduced physical activity in otherwise healthy free-living individuals. These data indicate that daily physical activity is an important mediator of glycemic control, even among healthy individuals, and reinforce the utility of physical activity in preventing pathologies associated with elevated PPG.", "author" : [ { "dropping-particle" : "", "family" : "Mikus", "given" : "Catherine R.", "non-dropping-particle" : "", "parse-names" : false, "suffix" : "" }, { "dropping-particle" : "", "family" : "Oberlin", "given" : "Douglas J.", "non-dropping-particle" : "", "parse-names" : false, "suffix" : "" }, { "dropping-particle" : "", "family" : "Libla", "given" : "Jessica L.", "non-dropping-particle" : "", "parse-names" : false, "suffix" : "" }, { "dropping-particle" : "", "family" : "Taylor", "given" : "Angelina M.", "non-dropping-particle" : "", "parse-names" : false, "suffix" : "" }, { "dropping-particle" : "", "family" : "Booth", "given" : "Frank W.", "non-dropping-particle" : "", "parse-names" : false, "suffix" : "" }, { "dropping-particle" : "", "family" : "Thyfault", "given" : "John P.", "non-dropping-particle" : "", "parse-names" : false, "suffix" : "" } ], "container-title" : "Medicine and Science in Sports and Exercise", "id" : "ITEM-1", "issue" : "2", "issued" : { "date-parts" : [ [ "2012", "2" ] ] }, "page" : "225-231", "title" : "Lowering physical activity impairs glycemic control in healthy volunteers", "type" : "article-journal", "volume" : "44" }, "uris" : [ "http://www.mendeley.com/documents/?uuid=acc31cb0-2fb1-42d8-92b8-d5715575448c" ] } ], "mendeley" : { "formattedCitation" : "&lt;sup&gt;77&lt;/sup&gt;", "plainTextFormattedCitation" : "77", "previouslyFormattedCitation" : "&lt;sup&gt;77&lt;/sup&gt;"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77</w:t>
      </w:r>
      <w:r>
        <w:rPr>
          <w:rFonts w:cs="Times New Roman"/>
        </w:rPr>
        <w:fldChar w:fldCharType="end"/>
      </w:r>
      <w:r>
        <w:rPr>
          <w:rFonts w:cs="Times New Roman"/>
        </w:rPr>
        <w:t xml:space="preserve"> </w:t>
      </w:r>
      <w:r w:rsidR="00E15550">
        <w:rPr>
          <w:rFonts w:cs="Times New Roman"/>
        </w:rPr>
        <w:t xml:space="preserve">while </w:t>
      </w:r>
      <w:r>
        <w:rPr>
          <w:rFonts w:cs="Times New Roman"/>
        </w:rPr>
        <w:t>significant impairments can manifest after only 24 hours of sitting and lying down with significantly reduced PA</w:t>
      </w:r>
      <w:r>
        <w:rPr>
          <w:rFonts w:cs="Times New Roman"/>
        </w:rPr>
        <w:fldChar w:fldCharType="begin" w:fldLock="1"/>
      </w:r>
      <w:r w:rsidR="000709FC">
        <w:rPr>
          <w:rFonts w:cs="Times New Roman"/>
        </w:rPr>
        <w:instrText>ADDIN CSL_CITATION { "citationItems" : [ { "id" : "ITEM-1", "itemData" : { "DOI" : "10.1016/j.metabol.2010.08.014", "ISSN" : "1532-8600", "PMID" : "21067784", "abstract" : "Prolonged periods of limited muscle activity can reduce insulin action. Acute changes in low muscle activity (ie, sitting) have not been assessed. In addition, unless energy intake is reduced during sitting to match low expenditure, the concurrent energy surplus may explain lower insulin action. The objective of the study was to evaluate the acute effect of sitting, with and without energy surplus, on insulin action. Fourteen young (26.1 \u00b1 4.5 years, mean \u00b1 SD), nonobese (23.7% \u00b1 7.1% fat), fit (peak oxygen consumption = 49.1 \u00b1 3.3 mL\u00b7kg(-1)\u00b7min(-1)) men (n = 7) and women (n = 7) completed three 24-hour conditions: (1) an active, no-sitting condition (high energy expenditure of 2944 \u00b1 124 kcal with energy intake matched to expenditure) = NO-SIT; (2) low energy expenditure (sitting) of 2195 \u00b1 121 kcal with no reduction in energy intake (energy surplus) = SIT; and (3) sitting with energy intake reduced to 2139 \u00b1 118 kcal to match low expenditure (energy balance) = SIT-BAL. Insulin action was measured the following morning during a continuous infusion of [6,6-(2)H]-glucose. Data were analyzed using linear mixed-effects models with planned contrasts. Compared with NO-SIT, insulin action, defined as whole-body rate of glucose disappearance normalized to mean plasma insulin, was reduced by 39% in SIT (P &lt; .001) and by 18% in SIT-BAL (P = .07). Insulin action was higher in SIT-BAL compared with SIT (P = .04). One day of sitting considerably reduced insulin action; this effect was minimized, but not prevented, when energy intake was reduced to match expenditure. Strategies to limit daily sitting may reduce metabolic disease risk.", "author" : [ { "dropping-particle" : "", "family" : "Stephens", "given" : "Brooke R", "non-dropping-particle" : "", "parse-names" : false, "suffix" : "" }, { "dropping-particle" : "", "family" : "Granados", "given" : "Kirsten", "non-dropping-particle" : "", "parse-names" : false, "suffix" : "" }, { "dropping-particle" : "", "family" : "Zderic", "given" : "Theodore W", "non-dropping-particle" : "", "parse-names" : false, "suffix" : "" }, { "dropping-particle" : "", "family" : "Hamilton", "given" : "Marc T", "non-dropping-particle" : "", "parse-names" : false, "suffix" : "" }, { "dropping-particle" : "", "family" : "Braun", "given" : "Barry", "non-dropping-particle" : "", "parse-names" : false, "suffix" : "" } ], "container-title" : "Metabolism: clinical and experimental", "id" : "ITEM-1", "issue" : "7", "issued" : { "date-parts" : [ [ "2011", "7" ] ] }, "page" : "941-9", "publisher" : "Elsevier Inc.", "title" : "Effects of 1 day of inactivity on insulin action in healthy men and women: interaction with energy intake.", "type" : "article-journal", "volume" : "60" }, "uris" : [ "http://www.mendeley.com/documents/?uuid=ad7b1c7e-2c89-4da1-9fa7-6b23026b26eb" ] } ], "mendeley" : { "formattedCitation" : "&lt;sup&gt;118&lt;/sup&gt;", "plainTextFormattedCitation" : "118", "previouslyFormattedCitation" : "&lt;sup&gt;118&lt;/sup&gt;"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118</w:t>
      </w:r>
      <w:r>
        <w:rPr>
          <w:rFonts w:cs="Times New Roman"/>
        </w:rPr>
        <w:fldChar w:fldCharType="end"/>
      </w:r>
      <w:r>
        <w:rPr>
          <w:rFonts w:cs="Times New Roman"/>
        </w:rPr>
        <w:t>. Despite the indexes of insulin sensitivity/resistance used in this study being estimations of whole body insulin sensitivity, the use of the clamp technique in similar models of SR in younger adults suggest that the insulin resistance exhibited with SR is peripheral</w:t>
      </w:r>
      <w:r>
        <w:rPr>
          <w:rFonts w:cs="Times New Roman"/>
        </w:rPr>
        <w:fldChar w:fldCharType="begin" w:fldLock="1"/>
      </w:r>
      <w:r w:rsidR="00225DB1">
        <w:rPr>
          <w:rFonts w:cs="Times New Roman"/>
        </w:rPr>
        <w:instrText>ADDIN CSL_CITATION { "citationItems" : [ { "id" : "ITEM-1", "itemData" : { "DOI" : "10.1152/japplphysiol.00977.2009", "ISBN" : "8750-7587\\r1522-1601", "ISSN" : "8750-7587", "PMID" : "20044474", "abstract" : "US adults take between approximately 2,000 and approximately 12,000 steps per day, a wide range of ambulatory activity that at the low range could increase risk for developing chronic metabolic diseases. Dramatic reductions in physical activity induce insulin resistance; however, it is uncertain if and how low ambulatory activity would influence peripheral insulin sensitivity. We aimed to explore if healthy, nonexercising subjects who went from a normal to a low level of ambulatory activity for 2 wk would display metabolic alterations including reduced peripheral insulin sensitivity. To do this, ten healthy young men decreased their daily activity level from a mean of 10,501+/-808 to 1,344+/-33 steps/day for 2 wk. Hyperinsulinemic-euglycemic clamps with stable isotopes and muscle biopsies, maximal oxygen consumption (VO2 max) tests, and blood samples were performed pre- and postintervention. A reduced number of daily steps induced a significant reduction of 17% in the glucose infusion rate (GIR) during the clamp. This reduction was due to a decline in peripheral insulin sensitivity with no effect on hepatic endogenous glucose production. The insulin-stimulated ratio of pAktthr308/total Akt decreased after step reduction, with a post hoc analysis revealing the most pronounced effect after 4 h of insulin infusion. In addition, the 2-wk period induced a 7% decline in VO2 max (ml/min; cardiovascular fitness). Lean mass of legs, but not arms and trunk, decreased concurrently. Taken together, one possible biological cause for the public health problem of Type 2 diabetes has been identified. Reduced ambulatory activity for 2 wk in healthy, nonexercising young men significantly reduced peripheral insulin sensitivity, cardiovascular fitness, and lean leg mass.", "author" : [ { "dropping-particle" : "", "family" : "Krogh-Madsen", "given" : "Rikke", "non-dropping-particle" : "", "parse-names" : false, "suffix" : "" }, { "dropping-particle" : "", "family" : "Thyfault", "given" : "John P", "non-dropping-particle" : "", "parse-names" : false, "suffix" : "" }, { "dropping-particle" : "", "family" : "Broholm", "given" : "Christa", "non-dropping-particle" : "", "parse-names" : false, "suffix" : "" }, { "dropping-particle" : "", "family" : "Mortensen", "given" : "Ole Hartvig", "non-dropping-particle" : "", "parse-names" : false, "suffix" : "" }, { "dropping-particle" : "", "family" : "Olsen", "given" : "Rasmus H", "non-dropping-particle" : "", "parse-names" : false, "suffix" : "" }, { "dropping-particle" : "", "family" : "Mounier", "given" : "Remi", "non-dropping-particle" : "", "parse-names" : false, "suffix" : "" }, { "dropping-particle" : "", "family" : "Plomgaard", "given" : "Peter", "non-dropping-particle" : "", "parse-names" : false, "suffix" : "" }, { "dropping-particle" : "", "family" : "Hall", "given" : "Gerrit", "non-dropping-particle" : "van", "parse-names" : false, "suffix" : "" }, { "dropping-particle" : "", "family" : "Booth", "given" : "Frank W", "non-dropping-particle" : "", "parse-names" : false, "suffix" : "" }, { "dropping-particle" : "", "family" : "Pedersen", "given" : "Bente K", "non-dropping-particle" : "", "parse-names" : false, "suffix" : "" } ], "container-title" : "Journal of applied physiology (Bethesda, Md. : 1985)", "id" : "ITEM-1", "issue" : "5", "issued" : { "date-parts" : [ [ "2010", "5" ] ] }, "note" : "From Duplicate 1 ( ", "page" : "1034-1040", "title" : "A 2-wk reduction of ambulatory activity attenuates peripheral insulin sensitivity.", "type" : "article-journal", "volume" : "108" }, "uris" : [ "http://www.mendeley.com/documents/?uuid=e79211db-25b4-4bf9-a2d1-c4c657021667" ] } ], "mendeley" : { "formattedCitation" : "&lt;sup&gt;78&lt;/sup&gt;", "plainTextFormattedCitation" : "78", "previouslyFormattedCitation" : "&lt;sup&gt;78&lt;/sup&gt;"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78</w:t>
      </w:r>
      <w:r>
        <w:rPr>
          <w:rFonts w:cs="Times New Roman"/>
        </w:rPr>
        <w:fldChar w:fldCharType="end"/>
      </w:r>
      <w:r>
        <w:rPr>
          <w:rFonts w:cs="Times New Roman"/>
        </w:rPr>
        <w:t xml:space="preserve">. Therefore potential mechanisms for peripheral insulin action are of interest, as are the underlying causes of metabolic disruption with SR. </w:t>
      </w:r>
    </w:p>
    <w:p w14:paraId="7374D355" w14:textId="28FC525B" w:rsidR="00DA792D" w:rsidRPr="004508AB" w:rsidRDefault="00DA792D" w:rsidP="00DA792D">
      <w:pPr>
        <w:spacing w:line="480" w:lineRule="auto"/>
        <w:ind w:firstLine="720"/>
        <w:rPr>
          <w:rFonts w:cs="Times New Roman"/>
        </w:rPr>
      </w:pPr>
      <w:r>
        <w:rPr>
          <w:rFonts w:cs="Times New Roman"/>
        </w:rPr>
        <w:t>An OGTT by itself is not considered the ‘gold standard’ procedure for determining insulin sensitivity, but when compared to insulinemic-euglycemic clamp, both ISI and HOMA-IR independently show a strong association</w:t>
      </w:r>
      <w:r>
        <w:rPr>
          <w:rFonts w:cs="Times New Roman"/>
        </w:rPr>
        <w:fldChar w:fldCharType="begin" w:fldLock="1"/>
      </w:r>
      <w:r w:rsidR="000709FC">
        <w:rPr>
          <w:rFonts w:cs="Times New Roman"/>
        </w:rPr>
        <w:instrText>ADDIN CSL_CITATION { "citationItems" : [ { "id" : "ITEM-1", "itemData" : { "DOI" : "10.2337/diacare.23.3.295", "ISBN" : "0149-5992; 0149-5992", "ISSN" : "0149-5992", "PMID" : "10868854", "abstract" : "OBJECTIVE: The oral glucose tolerance test (OGTT) has often been used to evaluate apparent insulin release and insulin resistance in various clinical settings. However, because insulin sensitivity and insulin release are interdependent, to what extent they can be predicted from an OGTT is unclear. RESEARCH DESIGN AND METHODS: We studied insulin sensitivity using the euglycemic-hyperinsulinemic clamp and insulin release using the hyperglycemic clamp in 104 nondiabetic volunteers who had also undergone an OGTT. Demographic parameters (BMI, waist-to-hip ratio, age) and plasma glucose and insulin values from the OGTT were subjected to multiple linear regression to predict the metabolic clearance rate (MCR) of glucose, the insulin sensitivity index (ISI), and first-phase (1st PH) and second-phase (2nd PH) insulin release as measured with the respective clamps. RESULTS: The equations predicting MCR and ISI contained BMI, insulin (120 min), and glucose (90 min) and were highly correlated with the measured MCR (r = 0.80, P &lt; 0.00005) and ISI (r = 0.79, P &lt; 0.00005). The equations predicting 1st PH and 2nd PH contained insulin (0 and 30 min) and glucose (30 min) and were also highly correlated with the measured 1st PH (r = 0.78, P &lt; 0.00005) and 2nd PH (r = 0.79, P &lt; 0.00005). The parameters predicted by our equations correlated better with the measured parameters than homeostasis model assessment for secretion and resistance, the delta30-min insulin/delta30-min glucose ratio for secretion and insulin (120 min) for insulin resistance taken from the OGTT. CONCLUSIONS: We thus conclude that predicting insulin sensitivity and insulin release with reasonable accuracy from simple demographic parameters and values obtained during an OGTT is possible. The derived equations should be used in various clinical settings in which the use of clamps or the minimal model would be impractical.", "author" : [ { "dropping-particle" : "", "family" : "Stumvoll", "given" : "M", "non-dropping-particle" : "", "parse-names" : false, "suffix" : "" }, { "dropping-particle" : "", "family" : "Mitrakou", "given" : "a", "non-dropping-particle" : "", "parse-names" : false, "suffix" : "" }, { "dropping-particle" : "", "family" : "Pimenta", "given" : "W", "non-dropping-particle" : "", "parse-names" : false, "suffix" : "" }, { "dropping-particle" : "", "family" : "Jenssen", "given" : "T", "non-dropping-particle" : "", "parse-names" : false, "suffix" : "" }, { "dropping-particle" : "", "family" : "Yki-J\u00e4rvinen", "given" : "H", "non-dropping-particle" : "", "parse-names" : false, "suffix" : "" }, { "dropping-particle" : "", "family" : "Haeften", "given" : "T", "non-dropping-particle" : "Van", "parse-names" : false, "suffix" : "" }, { "dropping-particle" : "", "family" : "Renn", "given" : "W", "non-dropping-particle" : "", "parse-names" : false, "suffix" : "" }, { "dropping-particle" : "", "family" : "Gerich", "given" : "J", "non-dropping-particle" : "", "parse-names" : false, "suffix" : "" } ], "container-title" : "Diabetes care", "id" : "ITEM-1", "issue" : "3", "issued" : { "date-parts" : [ [ "2000" ] ] }, "page" : "295-301", "title" : "Use of the oral glucose tolerance test to assess insulin release and insulin sensitivity.", "type" : "article-journal", "volume" : "23" }, "uris" : [ "http://www.mendeley.com/documents/?uuid=238b14d6-8263-42e7-ba6a-33ba69534dc6" ] } ], "mendeley" : { "formattedCitation" : "&lt;sup&gt;119&lt;/sup&gt;", "plainTextFormattedCitation" : "119", "previouslyFormattedCitation" : "&lt;sup&gt;119&lt;/sup&gt;"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119</w:t>
      </w:r>
      <w:r>
        <w:rPr>
          <w:rFonts w:cs="Times New Roman"/>
        </w:rPr>
        <w:fldChar w:fldCharType="end"/>
      </w:r>
      <w:r>
        <w:rPr>
          <w:rFonts w:cs="Times New Roman"/>
        </w:rPr>
        <w:t>. It should also be noted here that there was a lack of statistical agreement between measurement techniques used for blood glucose concentration analysis</w:t>
      </w:r>
      <w:r w:rsidR="00F842B1">
        <w:rPr>
          <w:rFonts w:cs="Times New Roman"/>
        </w:rPr>
        <w:t xml:space="preserve"> in the current study</w:t>
      </w:r>
      <w:r>
        <w:rPr>
          <w:rFonts w:cs="Times New Roman"/>
        </w:rPr>
        <w:t>. In particular, statistically significant increases in glucose AUC, [</w:t>
      </w:r>
      <w:proofErr w:type="gramStart"/>
      <w:r>
        <w:rPr>
          <w:rFonts w:cs="Times New Roman"/>
        </w:rPr>
        <w:t>G]</w:t>
      </w:r>
      <w:r>
        <w:rPr>
          <w:rFonts w:cs="Times New Roman"/>
          <w:vertAlign w:val="subscript"/>
        </w:rPr>
        <w:t>max</w:t>
      </w:r>
      <w:proofErr w:type="gramEnd"/>
      <w:r>
        <w:rPr>
          <w:rFonts w:cs="Times New Roman"/>
          <w:sz w:val="26"/>
        </w:rPr>
        <w:t xml:space="preserve"> </w:t>
      </w:r>
      <w:r>
        <w:rPr>
          <w:rFonts w:cs="Times New Roman"/>
          <w:sz w:val="26"/>
        </w:rPr>
        <w:softHyphen/>
      </w:r>
      <w:r>
        <w:rPr>
          <w:rFonts w:cs="Times New Roman"/>
          <w:sz w:val="26"/>
        </w:rPr>
        <w:softHyphen/>
      </w:r>
      <w:r>
        <w:rPr>
          <w:rFonts w:cs="Times New Roman"/>
        </w:rPr>
        <w:t>and [G]</w:t>
      </w:r>
      <w:r>
        <w:rPr>
          <w:rFonts w:cs="Times New Roman"/>
          <w:vertAlign w:val="subscript"/>
        </w:rPr>
        <w:t>120</w:t>
      </w:r>
      <w:r>
        <w:rPr>
          <w:rFonts w:cs="Times New Roman"/>
        </w:rPr>
        <w:t xml:space="preserve"> were seen with capillary blood measurements using finger </w:t>
      </w:r>
      <w:r>
        <w:rPr>
          <w:rFonts w:cs="Times New Roman"/>
        </w:rPr>
        <w:lastRenderedPageBreak/>
        <w:t>prick-point-of-care glucose monitors while only [G]</w:t>
      </w:r>
      <w:r>
        <w:rPr>
          <w:rFonts w:cs="Times New Roman"/>
          <w:vertAlign w:val="subscript"/>
        </w:rPr>
        <w:t>max</w:t>
      </w:r>
      <w:r>
        <w:rPr>
          <w:rFonts w:cs="Times New Roman"/>
        </w:rPr>
        <w:t xml:space="preserve"> was significantly increased according to plasma-measured glucose concentration. Interestingly, we observed no significant differences with CGMS. Numerically, however, all three methods reported increases in measures of blood glucose concentration with SR. Glucose meters are subject to many sources of error and it is suggested that only 63% of readings from the best available meter fall within 5% of true blood glucose concentrations</w:t>
      </w:r>
      <w:r>
        <w:rPr>
          <w:rFonts w:cs="Times New Roman"/>
        </w:rPr>
        <w:fldChar w:fldCharType="begin" w:fldLock="1"/>
      </w:r>
      <w:r w:rsidR="000709FC">
        <w:rPr>
          <w:rFonts w:cs="Times New Roman"/>
        </w:rPr>
        <w:instrText>ADDIN CSL_CITATION { "citationItems" : [ { "id" : "ITEM-1", "itemData" : { "DOI" : "10.1177/193229680900300438", "ISSN" : "1932-2968", "PMID" : "20144340", "abstract" : "Glucose monitoring has become an integral part of diabetes care but has some limitations in accuracy. Accuracy may be limited due to strip manufacturing variances, strip storage, and aging. They may also be due to limitations on the environment such as temperature or altitude or to patient factors such as improper coding, incorrect hand washing, altered hematocrit, or naturally occurring interfering substances. Finally, exogenous interfering substances may contribute errors to the system evaluation of blood glucose. In this review, I discuss the measurement of error in blood glucose, the sources of error, and their mechanism and potential solutions to improve accuracy in the hands of the patient. I also discuss the clinical measurement of system accuracy and methods of judging the suitability of clinical trials and finally some methods of overcoming the inaccuracies. I have included comments about additional information or education that could be done today by manufacturers in the appropriate sections. Areas that require additional work are discussed in the final section.", "author" : [ { "dropping-particle" : "", "family" : "Ginsberg", "given" : "Barry H", "non-dropping-particle" : "", "parse-names" : false, "suffix" : "" } ], "container-title" : "Journal of diabetes science and technology (Online)", "id" : "ITEM-1", "issue" : "4", "issued" : { "date-parts" : [ [ "2009" ] ] }, "page" : "903-913", "title" : "Factors affecting blood glucose monitoring: sources of errors in measurement.", "type" : "article-journal", "volume" : "3" }, "uris" : [ "http://www.mendeley.com/documents/?uuid=0611166f-5737-45d0-a52b-62bf09bd15d3" ] } ], "mendeley" : { "formattedCitation" : "&lt;sup&gt;120&lt;/sup&gt;", "plainTextFormattedCitation" : "120", "previouslyFormattedCitation" : "&lt;sup&gt;120&lt;/sup&gt;"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120</w:t>
      </w:r>
      <w:r>
        <w:rPr>
          <w:rFonts w:cs="Times New Roman"/>
        </w:rPr>
        <w:fldChar w:fldCharType="end"/>
      </w:r>
      <w:r>
        <w:rPr>
          <w:rFonts w:cs="Times New Roman"/>
        </w:rPr>
        <w:t>. Venous plasma samples are considered the most accurate measure of blood glucose</w:t>
      </w:r>
      <w:r w:rsidR="002463EB">
        <w:rPr>
          <w:rFonts w:cs="Times New Roman"/>
        </w:rPr>
        <w:t xml:space="preserve"> and by comparison</w:t>
      </w:r>
      <w:r>
        <w:rPr>
          <w:rFonts w:cs="Times New Roman"/>
        </w:rPr>
        <w:t xml:space="preserve"> capillary </w:t>
      </w:r>
      <w:r w:rsidR="002463EB">
        <w:rPr>
          <w:rFonts w:cs="Times New Roman"/>
        </w:rPr>
        <w:t xml:space="preserve">whole </w:t>
      </w:r>
      <w:r>
        <w:rPr>
          <w:rFonts w:cs="Times New Roman"/>
        </w:rPr>
        <w:t>blood glucose</w:t>
      </w:r>
      <w:r w:rsidR="002463EB">
        <w:rPr>
          <w:rFonts w:cs="Times New Roman"/>
        </w:rPr>
        <w:t xml:space="preserve"> concentrations are 10-15% lower on average</w:t>
      </w:r>
      <w:r w:rsidR="002463EB">
        <w:rPr>
          <w:rFonts w:cs="Times New Roman"/>
        </w:rPr>
        <w:fldChar w:fldCharType="begin" w:fldLock="1"/>
      </w:r>
      <w:r w:rsidR="002463EB">
        <w:rPr>
          <w:rFonts w:cs="Times New Roman"/>
        </w:rPr>
        <w:instrText>ADDIN CSL_CITATION { "citationItems" : [ { "id" : "ITEM-1", "itemData" : { "DOI" : "10.1046/j.1464-5491.2003.01048.x", "ISSN" : "07423071", "PMID" : "14632723", "abstract" : "AIM: Diabetes and glucose intolerance are diagnosed by measurement of glucose in blood. Glucose is usually measured as venous plasma or capillary whole blood and diagnostic criteria frequently provide equivalence estimates for these two methods. This study examined the relationship between glucose measured in capillary and venous samples collected at random, fasting and 2 h after oral glucose. METHODS: Simultaneous measurements of venous plasma and capillary blood glucose were performed on random samples in 609 people, fasting samples in 685 people, and 2 h after oral glucose samples in 463 people. Separate capillary and venous samples were collected each time. A variance component model was used to construct conversion algorithms between venous and capillary results. RESULTS: The relationship between venous and capillary glucose values varied, with venous plasma being higher than capillary blood for random and fasting samples but lower for sampling 2 h after oral glucose. Discrepancies were observed between measured capillary blood values and the published WHO capillary blood equivalence values for venous plasma values for all except a fasting venous value of 7.0 mmol/l. For example, for a fasting venous plasma glucose of 6.1 mmol/l the WHO equivalent value is 5.6 mmol/l, while the measured value was 5.2 mmol/l, and for a 2-h venous plasma glucose of 11.1 mmol/l the WHO value is 11.1 mmol/l, while the measured result was 11.7 mmol/l. CONCLUSIONS: These results highlight the difficulty in equating glucose levels from one sampling and measuring procedure to another, and raise uncertainties about current published equivalence values which could lead to misclassifications in glucose tolerance status.", "author" : [ { "dropping-particle" : "", "family" : "Colagiuri", "given" : "Stephen", "non-dropping-particle" : "", "parse-names" : false, "suffix" : "" }, { "dropping-particle" : "", "family" : "Sandb\u00e6k", "given" : "a.", "non-dropping-particle" : "", "parse-names" : false, "suffix" : "" }, { "dropping-particle" : "", "family" : "Carstensen", "given" : "B.", "non-dropping-particle" : "", "parse-names" : false, "suffix" : "" }, { "dropping-particle" : "", "family" : "Christensen", "given" : "J.", "non-dropping-particle" : "", "parse-names" : false, "suffix" : "" }, { "dropping-particle" : "", "family" : "Glumer", "given" : "C.", "non-dropping-particle" : "", "parse-names" : false, "suffix" : "" }, { "dropping-particle" : "", "family" : "Lauritzen", "given" : "T.", "non-dropping-particle" : "", "parse-names" : false, "suffix" : "" }, { "dropping-particle" : "", "family" : "Borch-Johnsen", "given" : "K.", "non-dropping-particle" : "", "parse-names" : false, "suffix" : "" } ], "container-title" : "Diabetic Medicine", "id" : "ITEM-1", "issue" : "11", "issued" : { "date-parts" : [ [ "2003" ] ] }, "page" : "953-956", "title" : "Comparability of venous and capillary glucose measurements in blood", "type" : "article-journal", "volume" : "20" }, "uris" : [ "http://www.mendeley.com/documents/?uuid=2c27e27f-9191-4136-943d-099c8679c7fe" ] } ], "mendeley" : { "formattedCitation" : "&lt;sup&gt;121&lt;/sup&gt;", "plainTextFormattedCitation" : "121", "previouslyFormattedCitation" : "&lt;sup&gt;121&lt;/sup&gt;" }, "properties" : { "noteIndex" : 0 }, "schema" : "https://github.com/citation-style-language/schema/raw/master/csl-citation.json" }</w:instrText>
      </w:r>
      <w:r w:rsidR="002463EB">
        <w:rPr>
          <w:rFonts w:cs="Times New Roman"/>
        </w:rPr>
        <w:fldChar w:fldCharType="separate"/>
      </w:r>
      <w:r w:rsidR="002463EB" w:rsidRPr="002463EB">
        <w:rPr>
          <w:rFonts w:cs="Times New Roman"/>
          <w:noProof/>
          <w:vertAlign w:val="superscript"/>
        </w:rPr>
        <w:t>121</w:t>
      </w:r>
      <w:r w:rsidR="002463EB">
        <w:rPr>
          <w:rFonts w:cs="Times New Roman"/>
        </w:rPr>
        <w:fldChar w:fldCharType="end"/>
      </w:r>
      <w:r w:rsidR="002463EB">
        <w:rPr>
          <w:rFonts w:cs="Times New Roman"/>
        </w:rPr>
        <w:t xml:space="preserve"> and</w:t>
      </w:r>
      <w:r w:rsidR="004B0E12">
        <w:rPr>
          <w:rFonts w:cs="Times New Roman"/>
        </w:rPr>
        <w:t xml:space="preserve"> elevated </w:t>
      </w:r>
      <w:r>
        <w:rPr>
          <w:rFonts w:cs="Times New Roman"/>
        </w:rPr>
        <w:t xml:space="preserve">by 8% </w:t>
      </w:r>
      <w:r w:rsidR="004B0E12">
        <w:rPr>
          <w:rFonts w:cs="Times New Roman"/>
        </w:rPr>
        <w:t xml:space="preserve">compared to </w:t>
      </w:r>
      <w:r>
        <w:rPr>
          <w:rFonts w:cs="Times New Roman"/>
        </w:rPr>
        <w:t>venous samples after an oral glucose load</w:t>
      </w:r>
      <w:r>
        <w:rPr>
          <w:rFonts w:cs="Times New Roman"/>
        </w:rPr>
        <w:fldChar w:fldCharType="begin" w:fldLock="1"/>
      </w:r>
      <w:r w:rsidR="002463EB">
        <w:rPr>
          <w:rFonts w:cs="Times New Roman"/>
        </w:rPr>
        <w:instrText>ADDIN CSL_CITATION { "citationItems" : [ { "id" : "ITEM-1", "itemData" : { "DOI" : "10.1111/j.1464-5491.1990.tb01370.x", "ISSN" : "07423071", "PMID" : "2139389", "author" : [ { "dropping-particle" : "", "family" : "Burrin", "given" : "J M", "non-dropping-particle" : "", "parse-names" : false, "suffix" : "" }, { "dropping-particle" : "", "family" : "Alberti", "given" : "K G", "non-dropping-particle" : "", "parse-names" : false, "suffix" : "" } ], "container-title" : "Diabetic medicine : a journal of the British Diabetic Association", "id" : "ITEM-1", "issue" : "3", "issued" : { "date-parts" : [ [ "0" ] ] }, "page" : "199-206", "title" : "What is blood glucose: can it be measured?", "type" : "article-journal", "volume" : "7" }, "uris" : [ "http://www.mendeley.com/documents/?uuid=f4bbf02c-d668-4e8e-bb90-700634ae02e5" ] } ], "mendeley" : { "formattedCitation" : "&lt;sup&gt;122&lt;/sup&gt;", "plainTextFormattedCitation" : "122", "previouslyFormattedCitation" : "&lt;sup&gt;122&lt;/sup&gt;"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122</w:t>
      </w:r>
      <w:r>
        <w:rPr>
          <w:rFonts w:cs="Times New Roman"/>
        </w:rPr>
        <w:fldChar w:fldCharType="end"/>
      </w:r>
      <w:r>
        <w:rPr>
          <w:rFonts w:cs="Times New Roman"/>
        </w:rPr>
        <w:t>. Interstitial fluid glucose concentrations are used to estimate blood glucose concentrations with CGMS, yet there is a reported lag between venous glucose and interstitial fluid which can range from 0</w:t>
      </w:r>
      <w:r>
        <w:rPr>
          <w:rFonts w:cs="Times New Roman"/>
        </w:rPr>
        <w:fldChar w:fldCharType="begin" w:fldLock="1"/>
      </w:r>
      <w:r w:rsidR="002463EB">
        <w:rPr>
          <w:rFonts w:cs="Times New Roman"/>
        </w:rPr>
        <w:instrText>ADDIN CSL_CITATION { "citationItems" : [ { "id" : "ITEM-1", "itemData" : { "DOI" : "10.1111/1523-1747.ep12616676", "ISBN" : "0022-202X (Print)\\r0022-202X (Linking)", "ISSN" : "0022-202X", "PMID" : "1512473", "abstract" : "The purpose of this study was to evaluate the usefulness of a microdialysis technique for measurement of substances in the interstitial water space in intact human skin. Glucose was selected to validate the method. The cutaneous glucose concentration was measured by microdialysis and compared to that in venous blood. Single dialysis fibers (length 20 mm, 2,000 Da molecular weight cutoff) were glued to nylon tubings and inserted in forearm skin by means of a fine needle. Dialysis fibers were inserted in duplicate. Seven subjects were investigated after an overnight fast. Intradermal position of the dialysis probes was established by C-mode ultrasound scanning. The implantation trauma lasted 90-135 min as measured by laser Doppler flowmetry. Each dialysis fiber was calibrated in vivo by perfusing it with four to five different glucose concentrations. The perfusion rate was 3 microliters/min. Regression analysis of the calibration curves yielded the relative in vivo recovery of glucose. The skin glucose concentration was calculated as that particular perfusate glucose concentration that resulted in no net glucose transport across the dialysis membrane. Correlation coefficient of the regression lines was 0.93 +/- 0.03 (mean +/- SEM). After the injection trauma had vanished, recovery was 20.5 +/- 0.7%. Coefficient of variation (CV) on recovery was 10.9%. The cutaneous glucose concentration was 99.1 +/- 1.8% of the glucose concentration in venous plasma water (CV 4.1%). These findings suggest that the microdialysis technique accurately and precisely can reflect biochemical events in the interstitial water space in human skin in vivo.", "author" : [ { "dropping-particle" : "", "family" : "Petersen", "given" : "L J", "non-dropping-particle" : "", "parse-names" : false, "suffix" : "" }, { "dropping-particle" : "", "family" : "Kristensen", "given" : "J K", "non-dropping-particle" : "", "parse-names" : false, "suffix" : "" }, { "dropping-particle" : "", "family" : "B\u00fclow", "given" : "J", "non-dropping-particle" : "", "parse-names" : false, "suffix" : "" } ], "container-title" : "The Journal of investigative dermatology", "id" : "ITEM-1", "issue" : "3", "issued" : { "date-parts" : [ [ "1992" ] ] }, "page" : "357-360", "title" : "Microdialysis of the interstitial water space in human skin in vivo: quantitative measurement of cutaneous glucose concentrations.", "type" : "article-journal", "volume" : "99" }, "uris" : [ "http://www.mendeley.com/documents/?uuid=3791c72f-e3ec-4edd-b14c-2bd49715a98c" ] } ], "mendeley" : { "formattedCitation" : "&lt;sup&gt;123&lt;/sup&gt;", "plainTextFormattedCitation" : "123", "previouslyFormattedCitation" : "&lt;sup&gt;123&lt;/sup&gt;"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123</w:t>
      </w:r>
      <w:r>
        <w:rPr>
          <w:rFonts w:cs="Times New Roman"/>
        </w:rPr>
        <w:fldChar w:fldCharType="end"/>
      </w:r>
      <w:r>
        <w:rPr>
          <w:rFonts w:cs="Times New Roman"/>
        </w:rPr>
        <w:t xml:space="preserve"> to 30 minutes</w:t>
      </w:r>
      <w:r>
        <w:rPr>
          <w:rFonts w:cs="Times New Roman"/>
        </w:rPr>
        <w:fldChar w:fldCharType="begin" w:fldLock="1"/>
      </w:r>
      <w:r w:rsidR="002463EB">
        <w:rPr>
          <w:rFonts w:cs="Times New Roman"/>
        </w:rPr>
        <w:instrText>ADDIN CSL_CITATION { "citationItems" : [ { "id" : "ITEM-1", "itemData" : { "DOI" : "10.1046/j.1365-2281.1999.00174.x", "ISSN" : "0144-5979", "PMID" : "10361615", "abstract" : "In vitro data have suggested that the skin is a significant lactate source. The purpose of the present study was to measure lactate and glucose concentrations in intact human skin in vivo using the microdialysis technique. Microdialysis fibres of 216 microns were inserted intradermally and perfused at a rate of 3 microliters min-1. In the first experimental protocol, dialysis fibres were calibrated by the method of no net flux in eight subjects. Skin lactate concentrations of 2.48 +/- 0.17 mmol l-1 were significantly greater than lactate concentrations of 0.84 +/- 0.15 mmol l-1 in venous plasma (P &lt; 0.01). Glucose concentrations in skin and venous plasma were similar (5.49 +/- 0.18 vs. 5.26 +/- 0.24 mmol l-1). In the second experimental protocol, changes in lactate and glucose levels were studied in 10 subjects after an oral glucose tolerance test (OGTT). After the OGTT, plasma glucose and lactate levels increased by 54% and 39% to peak levels at 30 and 60 min respectively. In comparison, skin glucose and lactate increased by 41% and 18% at 60 and 90 min. No changes in skin blood flow were observed during the OGTT. The data suggest that resting skin is a significant lactate source with no significant lactate production during OGTT. The cellular source of lactate in the skin remains undetermined to date.", "author" : [ { "dropping-particle" : "", "family" : "Petersen", "given" : "L J", "non-dropping-particle" : "", "parse-names" : false, "suffix" : "" } ], "container-title" : "Clinical physiology (Oxford, England)", "id" : "ITEM-1", "issue" : "3", "issued" : { "date-parts" : [ [ "1999" ] ] }, "page" : "246-250", "title" : "Interstitial lactate levels in human skin at rest and during an oral glucose load: a microdialysis study.", "type" : "article-journal", "volume" : "19" }, "uris" : [ "http://www.mendeley.com/documents/?uuid=7083a7a2-0ff4-449d-abdc-efc4fb9e712b" ] } ], "mendeley" : { "formattedCitation" : "&lt;sup&gt;124&lt;/sup&gt;", "plainTextFormattedCitation" : "124", "previouslyFormattedCitation" : "&lt;sup&gt;124&lt;/sup&gt;"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124</w:t>
      </w:r>
      <w:r>
        <w:rPr>
          <w:rFonts w:cs="Times New Roman"/>
        </w:rPr>
        <w:fldChar w:fldCharType="end"/>
      </w:r>
      <w:r>
        <w:rPr>
          <w:rFonts w:cs="Times New Roman"/>
        </w:rPr>
        <w:t>. CGMS measurements vary ±12-13% from venous measurements</w:t>
      </w:r>
      <w:r>
        <w:rPr>
          <w:rFonts w:cs="Times New Roman"/>
        </w:rPr>
        <w:fldChar w:fldCharType="begin" w:fldLock="1"/>
      </w:r>
      <w:r w:rsidR="002463EB">
        <w:rPr>
          <w:rFonts w:cs="Times New Roman"/>
        </w:rPr>
        <w:instrText>ADDIN CSL_CITATION { "citationItems" : [ { "id" : "ITEM-1", "itemData" : { "DOI" : "10.2337/dc06-1602", "ISBN" : "1935-5548 (Electronic)\\r0149-5992 (Linking)", "ISSN" : "01495992", "PMID" : "17337488", "abstract" : "OBJECTIVE: The purpose of this study was to compare the accuracy of measurements of glucose in interstitial fluid made with the FreeStyle Navigator Continuous Glucose Monitoring System with Yellow Springs Instrument laboratory reference measurements of venous blood glucose. RESEARCH DESIGN AND METHODS: Fifty-eight subjects with type 1 diabetes, aged 18-64 years, were enrolled in a multicenter, prospective, single-arm study. Each subject wore two sensors simultaneously, which were calibrated with capillary fingerstick measurements at 10, 12, 24, and 72 h after insertion. Measurements from the FreeStyle Navigator system were collected at 1-min intervals and compared with venous measurements taken once every 15 min for 50 h over the 5-day period of sensor wear in an in-patient clinical research center. Periods of high rates of change of glucose were induced by insulin and glucose challenges. RESULTS: Comparison of the FreeStyle Navigator measurements with the laboratory reference method (n = 20,362) gave mean and median absolute relative differences (ARDs) of 12.8 and 9.3%, respectively. The percentage in the clinically accurate Clarke error grid A zone was 81.7% and that in the in the benign error B zone was 16.7%. During low rates of change (&lt; +/-1 mg x dl(-1) x min(-1)), the percentage in the A zone was higher (84.9%) and the mean and median ARDs were lower (11.7 and 8.5%, respectively). CONCLUSIONS: Measurements with the FreeStyle Navigator system were found to be consistent and accurate compared with venous measurements made using a laboratory reference method over 5 days of sensor wear (82.5% in the A zone on day 1 and 80.9% on day 5).", "author" : [ { "dropping-particle" : "", "family" : "Weinstein", "given" : "Richard L.", "non-dropping-particle" : "", "parse-names" : false, "suffix" : "" }, { "dropping-particle" : "", "family" : "Schwartz", "given" : "Sherwyn L.", "non-dropping-particle" : "", "parse-names" : false, "suffix" : "" }, { "dropping-particle" : "", "family" : "Brazg", "given" : "Ronald L.", "non-dropping-particle" : "", "parse-names" : false, "suffix" : "" }, { "dropping-particle" : "", "family" : "Bugler", "given" : "Jolyon R.", "non-dropping-particle" : "", "parse-names" : false, "suffix" : "" }, { "dropping-particle" : "", "family" : "Peyser", "given" : "Thomas a.", "non-dropping-particle" : "", "parse-names" : false, "suffix" : "" }, { "dropping-particle" : "V.", "family" : "McGarraugh", "given" : "Geoffrey", "non-dropping-particle" : "", "parse-names" : false, "suffix" : "" } ], "container-title" : "Diabetes Care", "id" : "ITEM-1", "issue" : "5", "issued" : { "date-parts" : [ [ "2007", "5" ] ] }, "page" : "1125-1130", "title" : "Accuracy of the 5-day FreeStyle Navigator Continuous Glucose Monitoring System: Comparison with frequent laboratory reference measurements", "type" : "article-journal", "volume" : "30" }, "uris" : [ "http://www.mendeley.com/documents/?uuid=78e26088-03ac-4a5c-bc0c-9c0e1106fec0" ] } ], "mendeley" : { "formattedCitation" : "&lt;sup&gt;125&lt;/sup&gt;", "plainTextFormattedCitation" : "125", "previouslyFormattedCitation" : "&lt;sup&gt;125&lt;/sup&gt;"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125</w:t>
      </w:r>
      <w:r>
        <w:rPr>
          <w:rFonts w:cs="Times New Roman"/>
        </w:rPr>
        <w:fldChar w:fldCharType="end"/>
      </w:r>
      <w:r>
        <w:rPr>
          <w:rFonts w:cs="Times New Roman"/>
        </w:rPr>
        <w:t xml:space="preserve"> and have a coefficient of variation of ~3%</w:t>
      </w:r>
      <w:r>
        <w:rPr>
          <w:rFonts w:cs="Times New Roman"/>
        </w:rPr>
        <w:fldChar w:fldCharType="begin" w:fldLock="1"/>
      </w:r>
      <w:r w:rsidR="002463EB">
        <w:rPr>
          <w:rFonts w:cs="Times New Roman"/>
        </w:rPr>
        <w:instrText>ADDIN CSL_CITATION { "citationItems" : [ { "id" : "ITEM-1", "itemData" : { "DOI" : "10.1152/japplphysiol.00921.2011", "ISBN" : "1522-1601; 0161-7567", "ISSN" : "8750-7587", "PMID" : "21868679", "abstract" : "Low-volume high-intensity interval training (HIT) is emerging as a time-efficient exercise strategy for improving health and fitness. This form of exercise has not been tested in type 2 diabetes and thus we examined the effects of low-volume HIT on glucose regulation and skeletal muscle metabolic capacity in patients with type 2 diabetes. Eight patients with type 2 diabetes (63 \u00b1 8 yr, body mass index 32 \u00b1 6 kg/m(2), Hb(A1C) 6.9 \u00b1 0.7%) volunteered to participate in this study. Participants performed six sessions of HIT (10 \u00d7 60-s cycling bouts eliciting \u223c90% maximal heart rate, interspersed with 60 s rest) over 2 wk. Before training and from \u223c48 to 72 h after the last training bout, glucose regulation was assessed using 24-h continuous glucose monitoring under standardized dietary conditions. Markers of skeletal muscle metabolic capacity were measured in biopsy samples (vastus lateralis) before and after (72 h) training. Average 24-h blood glucose concentration was reduced after training (7.6 \u00b1 1.0 vs. 6.6 \u00b1 0.7 mmol/l) as was the sum of the 3-h postprandial areas under the glucose curve for breakfast, lunch, and dinner (both P &lt; 0.05). Training increased muscle mitochondrial capacity as evidenced by higher citrate synthase maximal activity (\u223c20%) and protein content of Complex II 70 kDa subunit (\u223c37%), Complex III Core 2 protein (\u223c51%), and Complex IV subunit IV (\u223c68%, all P &lt; 0.05). Mitofusin 2 (\u223c71%) and GLUT4 (\u223c369%) protein content were also higher after training (both P &lt; 0.05). Our findings indicate that low-volume HIT can rapidly improve glucose control and induce adaptations in skeletal muscle that are linked to improved metabolic health in patients with type 2 diabetes.", "author" : [ { "dropping-particle" : "", "family" : "Little", "given" : "J. P.", "non-dropping-particle" : "", "parse-names" : false, "suffix" : "" }, { "dropping-particle" : "", "family" : "Gillen", "given" : "J. B.", "non-dropping-particle" : "", "parse-names" : false, "suffix" : "" }, { "dropping-particle" : "", "family" : "Percival", "given" : "M. E.", "non-dropping-particle" : "", "parse-names" : false, "suffix" : "" }, { "dropping-particle" : "", "family" : "Safdar", "given" : "a.", "non-dropping-particle" : "", "parse-names" : false, "suffix" : "" }, { "dropping-particle" : "", "family" : "Tarnopolsky", "given" : "M. a.", "non-dropping-particle" : "", "parse-names" : false, "suffix" : "" }, { "dropping-particle" : "", "family" : "Punthakee", "given" : "Z.", "non-dropping-particle" : "", "parse-names" : false, "suffix" : "" }, { "dropping-particle" : "", "family" : "Jung", "given" : "M. E.", "non-dropping-particle" : "", "parse-names" : false, "suffix" : "" }, { "dropping-particle" : "", "family" : "Gibala", "given" : "M. J.", "non-dropping-particle" : "", "parse-names" : false, "suffix" : "" } ], "container-title" : "Journal of Applied Physiology", "id" : "ITEM-1", "issue" : "6", "issued" : { "date-parts" : [ [ "2011", "12" ] ] }, "page" : "1554-1560", "title" : "Low-volume high-intensity interval training reduces hyperglycemia and increases muscle mitochondrial capacity in patients with type 2 diabetes", "type" : "article-journal", "volume" : "111" }, "uris" : [ "http://www.mendeley.com/documents/?uuid=b30c31a4-0f16-4f3f-be26-72e7c71e3771" ] } ], "mendeley" : { "formattedCitation" : "&lt;sup&gt;126&lt;/sup&gt;", "plainTextFormattedCitation" : "126", "previouslyFormattedCitation" : "&lt;sup&gt;126&lt;/sup&gt;"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126</w:t>
      </w:r>
      <w:r>
        <w:rPr>
          <w:rFonts w:cs="Times New Roman"/>
        </w:rPr>
        <w:fldChar w:fldCharType="end"/>
      </w:r>
      <w:r>
        <w:rPr>
          <w:rFonts w:cs="Times New Roman"/>
        </w:rPr>
        <w:t xml:space="preserve">. While not all measures agree, they each offer unique advantages related to </w:t>
      </w:r>
      <w:r w:rsidR="00E15550">
        <w:rPr>
          <w:rFonts w:cs="Times New Roman"/>
        </w:rPr>
        <w:t xml:space="preserve">practicality </w:t>
      </w:r>
      <w:r>
        <w:rPr>
          <w:rFonts w:cs="Times New Roman"/>
        </w:rPr>
        <w:t>(capillary), frequency of measures (CGMS) and accuracy (venous plasma). It is likely that the current sample size was too small and thus we were underpowered to detect statistically significant changes with all methods.</w:t>
      </w:r>
    </w:p>
    <w:p w14:paraId="63DC6B6C" w14:textId="77777777" w:rsidR="00DA792D" w:rsidRDefault="00DA792D" w:rsidP="00DA792D">
      <w:pPr>
        <w:spacing w:line="480" w:lineRule="auto"/>
        <w:rPr>
          <w:rFonts w:cs="Times New Roman"/>
          <w:b/>
          <w:i/>
        </w:rPr>
      </w:pPr>
    </w:p>
    <w:p w14:paraId="1A11FEB4" w14:textId="77777777" w:rsidR="00DA792D" w:rsidRDefault="00DA792D" w:rsidP="00DA792D">
      <w:pPr>
        <w:pStyle w:val="Heading3"/>
      </w:pPr>
      <w:bookmarkStart w:id="62" w:name="_Toc296814808"/>
      <w:bookmarkStart w:id="63" w:name="_Toc296932787"/>
      <w:r w:rsidRPr="00BB6B3E">
        <w:t>Free-living glycemic control</w:t>
      </w:r>
      <w:r>
        <w:t xml:space="preserve"> (CGMS)</w:t>
      </w:r>
      <w:bookmarkEnd w:id="62"/>
      <w:bookmarkEnd w:id="63"/>
    </w:p>
    <w:p w14:paraId="3F650B85" w14:textId="5AF4A24B" w:rsidR="00DA792D" w:rsidRPr="00015039" w:rsidRDefault="00DA792D" w:rsidP="00DA792D">
      <w:pPr>
        <w:spacing w:line="480" w:lineRule="auto"/>
        <w:ind w:firstLine="720"/>
        <w:rPr>
          <w:rFonts w:cs="Times New Roman"/>
        </w:rPr>
      </w:pPr>
      <w:r>
        <w:rPr>
          <w:rFonts w:cs="Times New Roman"/>
        </w:rPr>
        <w:t xml:space="preserve">Measures of blood glucose homeostasis in settings outside of the laboratory provide unique insight into metabolic function in free-living persons. </w:t>
      </w:r>
      <w:r>
        <w:rPr>
          <w:rFonts w:cs="Times New Roman"/>
        </w:rPr>
        <w:lastRenderedPageBreak/>
        <w:t>Of particular importance are the changes in PPG and whether this is reaching hyperglycemic concentrations, which have been shown to precede T2DM</w:t>
      </w:r>
      <w:r>
        <w:rPr>
          <w:rFonts w:cs="Times New Roman"/>
        </w:rPr>
        <w:fldChar w:fldCharType="begin" w:fldLock="1"/>
      </w:r>
      <w:r w:rsidR="002463EB">
        <w:rPr>
          <w:rFonts w:cs="Times New Roman"/>
        </w:rPr>
        <w:instrText>ADDIN CSL_CITATION { "citationItems" : [ { "id" : "ITEM-1", "itemData" : { "DOI" : "10.2337/diacare.26.4.1211", "ISBN" : "0149-5992 (Print)", "ISSN" : "01495992", "PMID" : "12663599", "abstract" : "OBJECTIVE: Isolated postchallenge hyperglycemia (IPH), defined as fasting plasma glucose (FPG) level &lt;7.0 mmol/l and 2-h plasma glucose (PG) level &gt;/=11.1 mmol/l, is a subtype of early-stage diabetes. This study evaluates the metabolic profiles of insulin secretion and insulin sensitivity in IPH to clarify the factors responsible for development of this form of type 2 diabetes. RESEARCH DESIGN AND METHODS: We conducted cross-sectional analysis of 231 Japanese men aged 20-70 years. The subjects were classified into the following three groups, based on the results of a 75-g oral glucose tolerance test (OGTT): 1) normal glucose tolerance (NGT), defined as FPG level &lt;6.1 mmol/l and 2-h PG level &lt;7.8 mmol/l (n = 89); 2) impaired glucose tolerance (IGT), defined as FPG level &lt;7.0 mmol/l and 2-h PG level of 7.8-11.1 mmol/l (n = 94); and 3) IPH (n = 48). We compared the three groups for insulin secretion (insulinogenic index) and insulin sensitivity (index of insulin resistance using homeostasis model assessment [HOMA-IR]). RESULTS: The insulinogenic index in IPH was the lowest of the three groups (P &lt; 0.001 versus NGT). The HOMA-IR in the IGT and IPH groups were significantly higher than in the NGT group (P &lt; 0.001), but both were similar. By linear regression analysis, the insulinogenic index rather than fasting insulin or HOMA-IR was the more significant factor in the 2-h PG level in IGT and IPH. CONCLUSIONS: Subjects with IPH exhibited distinctly impaired early-phase insulin secretion and only mild insulin resistance, indicating that reduced insulin secretion is the primary determinant of deterioration from NGT to IGT and IPH in development of type 2 diabetes in these subjects.", "author" : [ { "dropping-particle" : "", "family" : "Suzuki", "given" : "Haruhiko", "non-dropping-particle" : "", "parse-names" : false, "suffix" : "" }, { "dropping-particle" : "", "family" : "Fukushima", "given" : "Mitsuo", "non-dropping-particle" : "", "parse-names" : false, "suffix" : "" }, { "dropping-particle" : "", "family" : "Usami", "given" : "Masaru", "non-dropping-particle" : "", "parse-names" : false, "suffix" : "" }, { "dropping-particle" : "", "family" : "Ikeda", "given" : "Masaki", "non-dropping-particle" : "", "parse-names" : false, "suffix" : "" }, { "dropping-particle" : "", "family" : "Taniguchi", "given" : "Ataru", "non-dropping-particle" : "", "parse-names" : false, "suffix" : "" }, { "dropping-particle" : "", "family" : "Nakai", "given" : "Yosikatsu", "non-dropping-particle" : "", "parse-names" : false, "suffix" : "" }, { "dropping-particle" : "", "family" : "Matsuura", "given" : "Toshifumi", "non-dropping-particle" : "", "parse-names" : false, "suffix" : "" }, { "dropping-particle" : "", "family" : "Kuroe", "given" : "Akira", "non-dropping-particle" : "", "parse-names" : false, "suffix" : "" }, { "dropping-particle" : "", "family" : "Yasuda", "given" : "Koichiro", "non-dropping-particle" : "", "parse-names" : false, "suffix" : "" }, { "dropping-particle" : "", "family" : "Kurose", "given" : "Takeshi", "non-dropping-particle" : "", "parse-names" : false, "suffix" : "" }, { "dropping-particle" : "", "family" : "Seino", "given" : "Yutaka", "non-dropping-particle" : "", "parse-names" : false, "suffix" : "" }, { "dropping-particle" : "", "family" : "Yamada", "given" : "Yuichiro", "non-dropping-particle" : "", "parse-names" : false, "suffix" : "" } ], "container-title" : "Diabetes Care", "id" : "ITEM-1", "issue" : "4", "issued" : { "date-parts" : [ [ "2003" ] ] }, "page" : "1211-1215", "title" : "Factors responsible for development from normal glucose tolerance to isolated postchallenge hyperglycemia", "type" : "article-journal", "volume" : "26" }, "uris" : [ "http://www.mendeley.com/documents/?uuid=3337bffa-1b86-4679-a6d0-7b7b790e8f18" ] } ], "mendeley" : { "formattedCitation" : "&lt;sup&gt;127&lt;/sup&gt;", "plainTextFormattedCitation" : "127", "previouslyFormattedCitation" : "&lt;sup&gt;127&lt;/sup&gt;"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127</w:t>
      </w:r>
      <w:r>
        <w:rPr>
          <w:rFonts w:cs="Times New Roman"/>
        </w:rPr>
        <w:fldChar w:fldCharType="end"/>
      </w:r>
      <w:r>
        <w:rPr>
          <w:rFonts w:cs="Times New Roman"/>
        </w:rPr>
        <w:t xml:space="preserve"> and CVD</w:t>
      </w:r>
      <w:r>
        <w:rPr>
          <w:rFonts w:cs="Times New Roman"/>
        </w:rPr>
        <w:fldChar w:fldCharType="begin" w:fldLock="1"/>
      </w:r>
      <w:r w:rsidR="002463EB">
        <w:rPr>
          <w:rFonts w:cs="Times New Roman"/>
        </w:rPr>
        <w:instrText>ADDIN CSL_CITATION { "citationItems" : [ { "id" : "ITEM-1", "itemData" : { "DOI" : "10.1001/archinte.164.19.2147", "ISSN" : "0003-9926", "PMID" : "15505129", "abstract" : "BACKGROUND: Although hyperglycemia increases the risk of cardiovascular disease (CVD) in diabetic patients, the risk associated with blood glucose levels in the nondiabetic range remains unsettled. METHODS: We identified 38 reports in which CVD incidence or mortality was an end point, blood glucose levels were measured prospectively, and the relative risk (RR) and information necessary to calculate the variance were reported comparing groups of nondiabetic people. These reports were prospective studies, published in English-language journals. First author, publication year, participant age and sex, study duration, CVD end points, glucose assessment methods, control for confounding, range of blood glucose levels, RR, and confidence intervals (CIs) or P values were extracted. Using a random effects model, we calculated pooled RRs and 95% CIs. RESULTS: The group with the highest postchallenge blood glucose level (midpoint range, 150-194 mg/dL [8.3-10.8 mmol/L]) had a 27% greater risk for CVD compared with the group with the lowest level (midpoint range, 69-107 mg/dL [3.8-5.9 mmol/L]) (RR, 1.27 [95% CI, 1.09-1.48]). The results were similar when combining studies regardless of type of blood glucose assessment (RR, 1.36 [95% CI, 1.23-1.52]) and when using strict criteria for exclusion of diabetic subjects (RR, 1.26 [95% CI, 1.11-1.43]). Adjustment for CVD risk factors attenuated but did not abolish this relationship (RR, 1.19 [95% CI, 1.07-1.32]). The RR was greater in cohorts including women than in cohorts of men (RR, 1.56 vs 1.24 [P = .03]). CONCLUSION: Blood glucose level is a risk marker for CVD among apparently healthy individuals without diabetes.", "author" : [ { "dropping-particle" : "", "family" : "Levitan", "given" : "Emily B", "non-dropping-particle" : "", "parse-names" : false, "suffix" : "" }, { "dropping-particle" : "", "family" : "Song", "given" : "Yiqing", "non-dropping-particle" : "", "parse-names" : false, "suffix" : "" }, { "dropping-particle" : "", "family" : "Ford", "given" : "Earl S", "non-dropping-particle" : "", "parse-names" : false, "suffix" : "" }, { "dropping-particle" : "", "family" : "Liu", "given" : "Simin", "non-dropping-particle" : "", "parse-names" : false, "suffix" : "" } ], "container-title" : "Archives of internal medicine", "id" : "ITEM-1", "issue" : "19", "issued" : { "date-parts" : [ [ "2004" ] ] }, "page" : "2147-2155", "title" : "Is nondiabetic hyperglycemia a risk factor for cardiovascular disease? A meta-analysis of prospective studies.", "type" : "article-journal", "volume" : "164" }, "uris" : [ "http://www.mendeley.com/documents/?uuid=474181e4-9f59-4265-9633-2a403155a6c0" ] } ], "mendeley" : { "formattedCitation" : "&lt;sup&gt;128&lt;/sup&gt;", "plainTextFormattedCitation" : "128", "previouslyFormattedCitation" : "&lt;sup&gt;128&lt;/sup&gt;"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128</w:t>
      </w:r>
      <w:r>
        <w:rPr>
          <w:rFonts w:cs="Times New Roman"/>
        </w:rPr>
        <w:fldChar w:fldCharType="end"/>
      </w:r>
      <w:r>
        <w:rPr>
          <w:rFonts w:cs="Times New Roman"/>
        </w:rPr>
        <w:t>. Although it did not reach statistical significance in this study, after SR both older men and women exhibited elevated PPG</w:t>
      </w:r>
      <w:r>
        <w:rPr>
          <w:rFonts w:cs="Times New Roman"/>
          <w:vertAlign w:val="subscript"/>
        </w:rPr>
        <w:t>AUC</w:t>
      </w:r>
      <w:r>
        <w:rPr>
          <w:rFonts w:cs="Times New Roman"/>
        </w:rPr>
        <w:t>, ∆PPG</w:t>
      </w:r>
      <w:r>
        <w:rPr>
          <w:rFonts w:cs="Times New Roman"/>
          <w:vertAlign w:val="subscript"/>
        </w:rPr>
        <w:t>peak</w:t>
      </w:r>
      <w:r>
        <w:rPr>
          <w:rFonts w:cs="Times New Roman"/>
        </w:rPr>
        <w:t xml:space="preserve"> and time spent above the threshold for non-insulin resistant postprandial hyperglycemia</w:t>
      </w:r>
      <w:r>
        <w:rPr>
          <w:rFonts w:cs="Times New Roman"/>
        </w:rPr>
        <w:fldChar w:fldCharType="begin" w:fldLock="1"/>
      </w:r>
      <w:r w:rsidR="000709FC">
        <w:rPr>
          <w:rFonts w:cs="Times New Roman"/>
        </w:rPr>
        <w:instrText>ADDIN CSL_CITATION { "citationItems" : [ { "id" : "ITEM-1", "itemData" : { "DOI" : "10.2337/dc13-S067", "ISBN" : "92 4 159493 4", "ISSN" : "01495992", "PMID" : "23264425", "abstract" : "A report on reviewing and updating the current WHO guidelines on diabetes.", "author" : [ { "dropping-particle" : "", "family" : "World Health Organization", "given" : "", "non-dropping-particle" : "", "parse-names" : false, "suffix" : "" } ], "container-title" : "Report of a WHO/IDF consultation. Geneva: World Health Organization", "id" : "ITEM-1", "issued" : { "date-parts" : [ [ "2006" ] ] }, "title" : "Definition and diagnosis of diabetes mellitus and intermediate hyperglycaemia", "type" : "report" }, "uris" : [ "http://www.mendeley.com/documents/?uuid=9d0f54a5-8ff0-4654-9030-16ddf380d57a" ] } ], "mendeley" : { "formattedCitation" : "&lt;sup&gt;109&lt;/sup&gt;", "plainTextFormattedCitation" : "109", "previouslyFormattedCitation" : "&lt;sup&gt;109&lt;/sup&gt;"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109</w:t>
      </w:r>
      <w:r>
        <w:rPr>
          <w:rFonts w:cs="Times New Roman"/>
        </w:rPr>
        <w:fldChar w:fldCharType="end"/>
      </w:r>
      <w:r>
        <w:rPr>
          <w:rFonts w:cs="Times New Roman"/>
        </w:rPr>
        <w:t>. These elevated excursions in blood glucose after mixed meals remained above BL levels despite a return to habitual activity, in line with the metabolic impairments reported by OGTT. After 3-5 days of SR below 5000 daily steps in younger adults, CGMS reported increases in max PPG ranging between 9%</w:t>
      </w:r>
      <w:r>
        <w:rPr>
          <w:rFonts w:cs="Times New Roman"/>
        </w:rPr>
        <w:fldChar w:fldCharType="begin" w:fldLock="1"/>
      </w:r>
      <w:r w:rsidR="00225DB1">
        <w:rPr>
          <w:rFonts w:cs="Times New Roman"/>
        </w:rPr>
        <w:instrText>ADDIN CSL_CITATION { "citationItems" : [ { "id" : "ITEM-1", "itemData" : { "DOI" : "10.1249/MSS.0000000000000508", "ISBN" : "0000000000000", "ISSN" : "0195-9131", "PMID" : "25207931", "abstract" : "PURPOSE: Insulin-stimulated increases in skeletal muscle blood flow play a role in glucose disposal. Indeed, 7 d of aerobic exercise in patients with Type 2 diabetes increased blood flow responses to an oral glucose tolerance test (OGTT) and improved insulin sensitivity. More recent work suggests that reduced daily physical activity impairs glycemic control (GC) in healthy individuals. Herein, we sought to determine whether an acute reduction in daily activity (from &gt;10,000 to &lt;5000 steps per day) for 5 d (RA5) in healthy individuals reduced insulin-stimulated blood flow and GC in parallel and if a 1-d return to activity (RTA1) improved these outcomes. METHODS: OGTT were performed as a stimulus to increase insulin in 14 healthy, recreationally active men (24 \u00b1 1.1 yr) at baseline, RA5, and RTA1. Measures of insulin sensitivity (Matsuda index) and femoral and brachial artery blood flow were made during the OGTT. Free-living measures of GC including peak postprandial glucose (peak PPG) were also made via continuous glucose monitoring. RESULTS: Femoral and brachial artery blood flow increased during the OGTT but neither was significantly impacted by changes in physical activity (P &gt; 0.05). However, insulin sensitivity was decreased by RA5 (11.3 \u00b1 1.5 to 8.0 \u00b1 1.0, P &lt; 0.05). Likewise, free-living GC measures of peak PPG (113 \u00b1 3 to 123 \u00b1 5 mg\u00b7dL(-1), P &lt; 0.05) was significantly increased at RA5. Interestingly, insulin sensitivity and GC as assessed by peak PPG were not restored after RTA1 (P &gt; 0.05). CONCLUSIONS: Thus, acute reductions in physical activity impaired GC and insulin sensitivity; however, blood flow responses to an OGTT were not affected. Further, a 1-d return to activity was not sufficient to normalize GC after 5 d of reduced daily physical activity.", "author" : [ { "dropping-particle" : "", "family" : "Reynolds", "given" : "Leryn J.", "non-dropping-particle" : "", "parse-names" : false, "suffix" : "" }, { "dropping-particle" : "", "family" : "Credeur", "given" : "Daniel P.", "non-dropping-particle" : "", "parse-names" : false, "suffix" : "" }, { "dropping-particle" : "", "family" : "Holwerda", "given" : "Seth W.", "non-dropping-particle" : "", "parse-names" : false, "suffix" : "" }, { "dropping-particle" : "", "family" : "Leidy", "given" : "Heather J.", "non-dropping-particle" : "", "parse-names" : false, "suffix" : "" }, { "dropping-particle" : "", "family" : "Fadel", "given" : "Paul J.", "non-dropping-particle" : "", "parse-names" : false, "suffix" : "" }, { "dropping-particle" : "", "family" : "Thyfault", "given" : "John P.", "non-dropping-particle" : "", "parse-names" : false, "suffix" : "" } ], "container-title" : "Medicine &amp; Science in Sports &amp; Exercise", "id" : "ITEM-1", "issue" : "5", "issued" : { "date-parts" : [ [ "2015", "5" ] ] }, "number-of-pages" : "1087-1094", "title" : "Acute Inactivity Impairs Glycemic Control but Not Blood Flow to Glucose Ingestion", "type" : "book", "volume" : "47" }, "uris" : [ "http://www.mendeley.com/documents/?uuid=3d924708-9176-4587-9749-9b863790250e" ] } ], "mendeley" : { "formattedCitation" : "&lt;sup&gt;87&lt;/sup&gt;", "plainTextFormattedCitation" : "87", "previouslyFormattedCitation" : "&lt;sup&gt;87&lt;/sup&gt;"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87</w:t>
      </w:r>
      <w:r>
        <w:rPr>
          <w:rFonts w:cs="Times New Roman"/>
        </w:rPr>
        <w:fldChar w:fldCharType="end"/>
      </w:r>
      <w:r>
        <w:rPr>
          <w:rFonts w:cs="Times New Roman"/>
        </w:rPr>
        <w:t xml:space="preserve"> and 26% and ∆PPG</w:t>
      </w:r>
      <w:r>
        <w:rPr>
          <w:rFonts w:cs="Times New Roman"/>
          <w:vertAlign w:val="subscript"/>
        </w:rPr>
        <w:t>peak</w:t>
      </w:r>
      <w:r>
        <w:rPr>
          <w:rFonts w:cs="Times New Roman"/>
        </w:rPr>
        <w:t xml:space="preserve"> from 30% to 50%</w:t>
      </w:r>
      <w:r>
        <w:rPr>
          <w:rFonts w:cs="Times New Roman"/>
        </w:rPr>
        <w:fldChar w:fldCharType="begin" w:fldLock="1"/>
      </w:r>
      <w:r w:rsidR="00225DB1">
        <w:rPr>
          <w:rFonts w:cs="Times New Roman"/>
        </w:rPr>
        <w:instrText>ADDIN CSL_CITATION { "citationItems" : [ { "id" : "ITEM-1", "itemData" : { "DOI" : "10.1249/MSS.0b013e31822ac0c0", "ISBN" : "1530-0315 (Electronic)\\n0195-9131 (Linking)", "ISSN" : "01959131", "PMID" : "21716152", "abstract" : "INTRODUCTION: Postprandial glucose (PPG) is an independent predictor of cardiovascular events and death, regardless of diabetes status. Whereas changes in physical activity produce changes in insulin sensitivity, it is not clear whether changes in daily physical activity directly affect PPG in healthy free-living persons.\\n\\nMETHODS: We used continuous glucose monitors to measure PPG and PPG excursions (\u0394PPG, postmeal - premeal blood glucose) at 30-min increments after meals in healthy habitually active volunteers (n = 12, age = 29 \u00b1 1 yr, body mass index = 23.6 \u00b1 0.9 kg\u00b7m(-2), VO2max = 53.6 \u00b1 3.0 mL\u00b7kg(-1)\u00b7min(-1)) during 3 d of habitual (\u226510,000 steps per day) and reduced (&lt;5000 steps per day) physical activity. Diets were standardized across monitoring periods, and fasting-state oral glucose tolerance tests (OGTT) were performed on the fourth day of each monitoring period.\\n\\nRESULTS: During 3 d of reduced physical activity (12,956 \u00b1 769 to 4319 \u00b1 256 steps per day), PPG increased at 30 and 60 min after a meal (6.31 \u00b1 0.19 to 6.68 \u00b1 0.23 mmol\u00b7L(-1) and 5.75 \u00b1 0.16 to 6.26 \u00b1 0.28 mmol\u00b7L(-1), P &lt; 0.05 relative to corresponding active time point), and \u0394PPG increased by 42%, 97%, and 33% at 30, 60, and 90 min after a meal, respectively (P &lt; 0.05). Insulin and C-peptide responses to the OGTT increased after 3 d of reduced activity (P &lt; 0.05), and the glucose response to the OGTT did not change significantly.\\n\\nCONCLUSIONS: Thus, despite evidence of compensatory increases in plasma insulin during an OGTT, \u0394PPG assessed by continuous glucose monitoring systems increased markedly during 3 d of reduced physical activity in otherwise healthy free-living individuals. These data indicate that daily physical activity is an important mediator of glycemic control, even among healthy individuals, and reinforce the utility of physical activity in preventing pathologies associated with elevated PPG.", "author" : [ { "dropping-particle" : "", "family" : "Mikus", "given" : "Catherine R.", "non-dropping-particle" : "", "parse-names" : false, "suffix" : "" }, { "dropping-particle" : "", "family" : "Oberlin", "given" : "Douglas J.", "non-dropping-particle" : "", "parse-names" : false, "suffix" : "" }, { "dropping-particle" : "", "family" : "Libla", "given" : "Jessica L.", "non-dropping-particle" : "", "parse-names" : false, "suffix" : "" }, { "dropping-particle" : "", "family" : "Taylor", "given" : "Angelina M.", "non-dropping-particle" : "", "parse-names" : false, "suffix" : "" }, { "dropping-particle" : "", "family" : "Booth", "given" : "Frank W.", "non-dropping-particle" : "", "parse-names" : false, "suffix" : "" }, { "dropping-particle" : "", "family" : "Thyfault", "given" : "John P.", "non-dropping-particle" : "", "parse-names" : false, "suffix" : "" } ], "container-title" : "Medicine and Science in Sports and Exercise", "id" : "ITEM-1", "issue" : "2", "issued" : { "date-parts" : [ [ "2012", "2" ] ] }, "page" : "225-231", "title" : "Lowering physical activity impairs glycemic control in healthy volunteers", "type" : "article-journal", "volume" : "44" }, "uris" : [ "http://www.mendeley.com/documents/?uuid=acc31cb0-2fb1-42d8-92b8-d5715575448c" ] } ], "mendeley" : { "formattedCitation" : "&lt;sup&gt;77&lt;/sup&gt;", "plainTextFormattedCitation" : "77", "previouslyFormattedCitation" : "&lt;sup&gt;77&lt;/sup&gt;"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77</w:t>
      </w:r>
      <w:r>
        <w:rPr>
          <w:rFonts w:cs="Times New Roman"/>
        </w:rPr>
        <w:fldChar w:fldCharType="end"/>
      </w:r>
      <w:r>
        <w:rPr>
          <w:rFonts w:cs="Times New Roman"/>
        </w:rPr>
        <w:t xml:space="preserve">. Population, SR protocol and meal composition differences between previous studies and the current investigation limit </w:t>
      </w:r>
      <w:r w:rsidR="00F842B1">
        <w:rPr>
          <w:rFonts w:cs="Times New Roman"/>
        </w:rPr>
        <w:t>comparisons</w:t>
      </w:r>
      <w:r>
        <w:rPr>
          <w:rFonts w:cs="Times New Roman"/>
        </w:rPr>
        <w:t>, however, collectively the findings indicate SR negatively affects PPG. The study by Mikus et al.</w:t>
      </w:r>
      <w:r w:rsidRPr="003274B7">
        <w:rPr>
          <w:rFonts w:cs="Times New Roman"/>
        </w:rPr>
        <w:fldChar w:fldCharType="begin" w:fldLock="1"/>
      </w:r>
      <w:r w:rsidR="00225DB1" w:rsidRPr="003274B7">
        <w:rPr>
          <w:rFonts w:cs="Times New Roman"/>
        </w:rPr>
        <w:instrText>ADDIN CSL_CITATION { "citationItems" : [ { "id" : "ITEM-1", "itemData" : { "DOI" : "10.1249/MSS.0b013e31822ac0c0", "ISBN" : "1530-0315 (Electronic)\\n0195-9131 (Linking)", "ISSN" : "01959131", "PMID" : "21716152", "abstract" : "INTRODUCTION: Postprandial glucose (PPG) is an independent predictor of cardiovascular events and death, regardless of diabetes status. Whereas changes in physical activity produce changes in insulin sensitivity, it is not clear whether changes in daily physical activity directly affect PPG in healthy free-living persons.\\n\\nMETHODS: We used continuous glucose monitors to measure PPG and PPG excursions (\u0394PPG, postmeal - premeal blood glucose) at 30-min increments after meals in healthy habitually active volunteers (n = 12, age = 29 \u00b1 1 yr, body mass index = 23.6 \u00b1 0.9 kg\u00b7m(-2), VO2max = 53.6 \u00b1 3.0 mL\u00b7kg(-1)\u00b7min(-1)) during 3 d of habitual (\u226510,000 steps per day) and reduced (&lt;5000 steps per day) physical activity. Diets were standardized across monitoring periods, and fasting-state oral glucose tolerance tests (OGTT) were performed on the fourth day of each monitoring period.\\n\\nRESULTS: During 3 d of reduced physical activity (12,956 \u00b1 769 to 4319 \u00b1 256 steps per day), PPG increased at 30 and 60 min after a meal (6.31 \u00b1 0.19 to 6.68 \u00b1 0.23 mmol\u00b7L(-1) and 5.75 \u00b1 0.16 to 6.26 \u00b1 0.28 mmol\u00b7L(-1), P &lt; 0.05 relative to corresponding active time point), and \u0394PPG increased by 42%, 97%, and 33% at 30, 60, and 90 min after a meal, respectively (P &lt; 0.05). Insulin and C-peptide responses to the OGTT increased after 3 d of reduced activity (P &lt; 0.05), and the glucose response to the OGTT did not change significantly.\\n\\nCONCLUSIONS: Thus, despite evidence of compensatory increases in plasma insulin during an OGTT, \u0394PPG assessed by continuous glucose monitoring systems increased markedly during 3 d of reduced physical activity in otherwise healthy free-living individuals. These data indicate that daily physical activity is an important mediator of glycemic control, even among healthy individuals, and reinforce the utility of physical activity in preventing pathologies associated with elevated PPG.", "author" : [ { "dropping-particle" : "", "family" : "Mikus", "given" : "Catherine R.", "non-dropping-particle" : "", "parse-names" : false, "suffix" : "" }, { "dropping-particle" : "", "family" : "Oberlin", "given" : "Douglas J.", "non-dropping-particle" : "", "parse-names" : false, "suffix" : "" }, { "dropping-particle" : "", "family" : "Libla", "given" : "Jessica L.", "non-dropping-particle" : "", "parse-names" : false, "suffix" : "" }, { "dropping-particle" : "", "family" : "Taylor", "given" : "Angelina M.", "non-dropping-particle" : "", "parse-names" : false, "suffix" : "" }, { "dropping-particle" : "", "family" : "Booth", "given" : "Frank W.", "non-dropping-particle" : "", "parse-names" : false, "suffix" : "" }, { "dropping-particle" : "", "family" : "Thyfault", "given" : "John P.", "non-dropping-particle" : "", "parse-names" : false, "suffix" : "" } ], "container-title" : "Medicine and Science in Sports and Exercise", "id" : "ITEM-1", "issue" : "2", "issued" : { "date-parts" : [ [ "2012", "2" ] ] }, "page" : "225-231", "title" : "Lowering physical activity impairs glycemic control in healthy volunteers", "type" : "article-journal", "volume" : "44" }, "uris" : [ "http://www.mendeley.com/documents/?uuid=acc31cb0-2fb1-42d8-92b8-d5715575448c" ] } ], "mendeley" : { "formattedCitation" : "&lt;sup&gt;77&lt;/sup&gt;", "plainTextFormattedCitation" : "77", "previouslyFormattedCitation" : "&lt;sup&gt;77&lt;/sup&gt;" }, "properties" : { "noteIndex" : 0 }, "schema" : "https://github.com/citation-style-language/schema/raw/master/csl-citation.json" }</w:instrText>
      </w:r>
      <w:r w:rsidRPr="003274B7">
        <w:rPr>
          <w:rFonts w:cs="Times New Roman"/>
        </w:rPr>
        <w:fldChar w:fldCharType="separate"/>
      </w:r>
      <w:r w:rsidR="003605CC" w:rsidRPr="003274B7">
        <w:rPr>
          <w:rFonts w:cs="Times New Roman"/>
          <w:noProof/>
          <w:vertAlign w:val="superscript"/>
        </w:rPr>
        <w:t>77</w:t>
      </w:r>
      <w:r w:rsidRPr="003274B7">
        <w:rPr>
          <w:rFonts w:cs="Times New Roman"/>
        </w:rPr>
        <w:fldChar w:fldCharType="end"/>
      </w:r>
      <w:r>
        <w:rPr>
          <w:rFonts w:cs="Times New Roman"/>
        </w:rPr>
        <w:t xml:space="preserve"> did not show the same consequences of SR</w:t>
      </w:r>
      <w:r w:rsidR="00E15550">
        <w:rPr>
          <w:rFonts w:cs="Times New Roman"/>
        </w:rPr>
        <w:t xml:space="preserve"> in younger adults</w:t>
      </w:r>
      <w:r>
        <w:rPr>
          <w:rFonts w:cs="Times New Roman"/>
        </w:rPr>
        <w:t>, revealing impairments in PPG glycemic control via CGMS but no increase in OGTT glucose AUC. Comparatively, our study indicated both an increase in OGTT glucose AUC and free-living PPG, potentially strengthening the concept that SR is more consequential to older adults. Reynolds et al.</w:t>
      </w:r>
      <w:r w:rsidRPr="00F80945">
        <w:rPr>
          <w:rFonts w:cs="Times New Roman"/>
        </w:rPr>
        <w:fldChar w:fldCharType="begin" w:fldLock="1"/>
      </w:r>
      <w:r w:rsidR="00225DB1">
        <w:rPr>
          <w:rFonts w:cs="Times New Roman"/>
        </w:rPr>
        <w:instrText>ADDIN CSL_CITATION { "citationItems" : [ { "id" : "ITEM-1", "itemData" : { "DOI" : "10.1249/MSS.0000000000000508", "ISBN" : "0000000000000", "ISSN" : "0195-9131", "PMID" : "25207931", "abstract" : "PURPOSE: Insulin-stimulated increases in skeletal muscle blood flow play a role in glucose disposal. Indeed, 7 d of aerobic exercise in patients with Type 2 diabetes increased blood flow responses to an oral glucose tolerance test (OGTT) and improved insulin sensitivity. More recent work suggests that reduced daily physical activity impairs glycemic control (GC) in healthy individuals. Herein, we sought to determine whether an acute reduction in daily activity (from &gt;10,000 to &lt;5000 steps per day) for 5 d (RA5) in healthy individuals reduced insulin-stimulated blood flow and GC in parallel and if a 1-d return to activity (RTA1) improved these outcomes. METHODS: OGTT were performed as a stimulus to increase insulin in 14 healthy, recreationally active men (24 \u00b1 1.1 yr) at baseline, RA5, and RTA1. Measures of insulin sensitivity (Matsuda index) and femoral and brachial artery blood flow were made during the OGTT. Free-living measures of GC including peak postprandial glucose (peak PPG) were also made via continuous glucose monitoring. RESULTS: Femoral and brachial artery blood flow increased during the OGTT but neither was significantly impacted by changes in physical activity (P &gt; 0.05). However, insulin sensitivity was decreased by RA5 (11.3 \u00b1 1.5 to 8.0 \u00b1 1.0, P &lt; 0.05). Likewise, free-living GC measures of peak PPG (113 \u00b1 3 to 123 \u00b1 5 mg\u00b7dL(-1), P &lt; 0.05) was significantly increased at RA5. Interestingly, insulin sensitivity and GC as assessed by peak PPG were not restored after RTA1 (P &gt; 0.05). CONCLUSIONS: Thus, acute reductions in physical activity impaired GC and insulin sensitivity; however, blood flow responses to an OGTT were not affected. Further, a 1-d return to activity was not sufficient to normalize GC after 5 d of reduced daily physical activity.", "author" : [ { "dropping-particle" : "", "family" : "Reynolds", "given" : "Leryn J.", "non-dropping-particle" : "", "parse-names" : false, "suffix" : "" }, { "dropping-particle" : "", "family" : "Credeur", "given" : "Daniel P.", "non-dropping-particle" : "", "parse-names" : false, "suffix" : "" }, { "dropping-particle" : "", "family" : "Holwerda", "given" : "Seth W.", "non-dropping-particle" : "", "parse-names" : false, "suffix" : "" }, { "dropping-particle" : "", "family" : "Leidy", "given" : "Heather J.", "non-dropping-particle" : "", "parse-names" : false, "suffix" : "" }, { "dropping-particle" : "", "family" : "Fadel", "given" : "Paul J.", "non-dropping-particle" : "", "parse-names" : false, "suffix" : "" }, { "dropping-particle" : "", "family" : "Thyfault", "given" : "John P.", "non-dropping-particle" : "", "parse-names" : false, "suffix" : "" } ], "container-title" : "Medicine &amp; Science in Sports &amp; Exercise", "id" : "ITEM-1", "issue" : "5", "issued" : { "date-parts" : [ [ "2015", "5" ] ] }, "number-of-pages" : "1087-1094", "title" : "Acute Inactivity Impairs Glycemic Control but Not Blood Flow to Glucose Ingestion", "type" : "book", "volume" : "47" }, "uris" : [ "http://www.mendeley.com/documents/?uuid=3d924708-9176-4587-9749-9b863790250e" ] } ], "mendeley" : { "formattedCitation" : "&lt;sup&gt;87&lt;/sup&gt;", "plainTextFormattedCitation" : "87", "previouslyFormattedCitation" : "&lt;sup&gt;87&lt;/sup&gt;" }, "properties" : { "noteIndex" : 0 }, "schema" : "https://github.com/citation-style-language/schema/raw/master/csl-citation.json" }</w:instrText>
      </w:r>
      <w:r w:rsidRPr="00F80945">
        <w:rPr>
          <w:rFonts w:cs="Times New Roman"/>
        </w:rPr>
        <w:fldChar w:fldCharType="separate"/>
      </w:r>
      <w:r w:rsidR="003605CC" w:rsidRPr="003605CC">
        <w:rPr>
          <w:rFonts w:cs="Times New Roman"/>
          <w:noProof/>
          <w:vertAlign w:val="superscript"/>
        </w:rPr>
        <w:t>87</w:t>
      </w:r>
      <w:r w:rsidRPr="00F80945">
        <w:rPr>
          <w:rFonts w:cs="Times New Roman"/>
        </w:rPr>
        <w:fldChar w:fldCharType="end"/>
      </w:r>
      <w:r w:rsidRPr="00C46AD1">
        <w:rPr>
          <w:rFonts w:cs="Times New Roman"/>
        </w:rPr>
        <w:t xml:space="preserve"> </w:t>
      </w:r>
      <w:r>
        <w:rPr>
          <w:rFonts w:cs="Times New Roman"/>
        </w:rPr>
        <w:t>found that one day of PA failed to return PPG</w:t>
      </w:r>
      <w:r>
        <w:rPr>
          <w:rFonts w:cs="Times New Roman"/>
          <w:vertAlign w:val="subscript"/>
        </w:rPr>
        <w:t>peak</w:t>
      </w:r>
      <w:r>
        <w:rPr>
          <w:rFonts w:cs="Times New Roman"/>
        </w:rPr>
        <w:t xml:space="preserve"> and PPG AUC (NS) to pre-intervention levels in younger men, a finding analogous to our finding</w:t>
      </w:r>
      <w:r w:rsidR="00E15550">
        <w:rPr>
          <w:rFonts w:cs="Times New Roman"/>
        </w:rPr>
        <w:t>,</w:t>
      </w:r>
      <w:r>
        <w:rPr>
          <w:rFonts w:cs="Times New Roman"/>
        </w:rPr>
        <w:t xml:space="preserve"> but after two weeks in older adults. Measures of free-living glycemic control therefore provide continued evidence that the impaired glycemic control seen after acute </w:t>
      </w:r>
      <w:r>
        <w:rPr>
          <w:rFonts w:cs="Times New Roman"/>
        </w:rPr>
        <w:lastRenderedPageBreak/>
        <w:t>periods of physical inactivity in older adults are pronounced and protracted despite a return to normal daily ambulation.</w:t>
      </w:r>
    </w:p>
    <w:p w14:paraId="2277B5C6" w14:textId="77777777" w:rsidR="00DA792D" w:rsidRDefault="00DA792D" w:rsidP="00DA792D">
      <w:pPr>
        <w:spacing w:line="480" w:lineRule="auto"/>
        <w:rPr>
          <w:rFonts w:cs="Times New Roman"/>
          <w:b/>
          <w:i/>
        </w:rPr>
      </w:pPr>
    </w:p>
    <w:p w14:paraId="65853934" w14:textId="77777777" w:rsidR="00DA792D" w:rsidRDefault="00DA792D" w:rsidP="00DA792D">
      <w:pPr>
        <w:pStyle w:val="Heading3"/>
      </w:pPr>
      <w:bookmarkStart w:id="64" w:name="_Toc296814809"/>
      <w:bookmarkStart w:id="65" w:name="_Toc296932788"/>
      <w:r w:rsidRPr="00BB6B3E">
        <w:t>Body composition</w:t>
      </w:r>
      <w:r>
        <w:t>.</w:t>
      </w:r>
      <w:bookmarkEnd w:id="64"/>
      <w:bookmarkEnd w:id="65"/>
      <w:r>
        <w:t xml:space="preserve"> </w:t>
      </w:r>
    </w:p>
    <w:p w14:paraId="42F07CA5" w14:textId="51E46426" w:rsidR="00DA792D" w:rsidRDefault="00DA792D" w:rsidP="00DA792D">
      <w:pPr>
        <w:spacing w:line="480" w:lineRule="auto"/>
        <w:ind w:firstLine="720"/>
        <w:rPr>
          <w:rFonts w:cs="Times New Roman"/>
        </w:rPr>
      </w:pPr>
      <w:r>
        <w:rPr>
          <w:rFonts w:cs="Times New Roman"/>
        </w:rPr>
        <w:t>Unexpectedly, all measures of body composition remained statistically unchanged with two weeks of SR. The ~3% increase in VAT reported in this study is the first reported increase of visceral fat mass</w:t>
      </w:r>
      <w:r w:rsidR="00C548CB">
        <w:rPr>
          <w:rFonts w:cs="Times New Roman"/>
        </w:rPr>
        <w:t xml:space="preserve"> </w:t>
      </w:r>
      <w:r>
        <w:rPr>
          <w:rFonts w:cs="Times New Roman"/>
        </w:rPr>
        <w:t>with acute physical inactivity in older adults</w:t>
      </w:r>
      <w:r w:rsidR="00B86EE7">
        <w:rPr>
          <w:rFonts w:cs="Times New Roman"/>
        </w:rPr>
        <w:t xml:space="preserve">, </w:t>
      </w:r>
      <w:r>
        <w:rPr>
          <w:rFonts w:cs="Times New Roman"/>
        </w:rPr>
        <w:t>yet is less than the ~7% increases in IAFM seen in younger men after SR</w:t>
      </w:r>
      <w:r>
        <w:rPr>
          <w:rFonts w:cs="Times New Roman"/>
        </w:rPr>
        <w:fldChar w:fldCharType="begin" w:fldLock="1"/>
      </w:r>
      <w:r w:rsidR="00225DB1">
        <w:rPr>
          <w:rFonts w:cs="Times New Roman"/>
        </w:rPr>
        <w:instrText>ADDIN CSL_CITATION { "citationItems" : [ { "id" : "ITEM-1", "itemData" : { "DOI" : "10.1001/jama.299.11.1259", "ISBN" : "1538-3598 (Electronic)", "ISSN" : "0098-7484", "PMID" : "18349087", "author" : [ { "dropping-particle" : "", "family" : "Olsen", "given" : "Rasmus H", "non-dropping-particle" : "", "parse-names" : false, "suffix" : "" }, { "dropping-particle" : "", "family" : "Krogh-Madsen", "given" : "Rikke", "non-dropping-particle" : "", "parse-names" : false, "suffix" : "" }, { "dropping-particle" : "", "family" : "Thomsen", "given" : "Carsten", "non-dropping-particle" : "", "parse-names" : false, "suffix" : "" }, { "dropping-particle" : "", "family" : "Booth", "given" : "Frank W", "non-dropping-particle" : "", "parse-names" : false, "suffix" : "" }, { "dropping-particle" : "", "family" : "Pedersen", "given" : "Bente K", "non-dropping-particle" : "", "parse-names" : false, "suffix" : "" } ], "container-title" : "JAMA : the journal of the American Medical Association", "id" : "ITEM-1", "issue" : "11", "issued" : { "date-parts" : [ [ "2008" ] ] }, "page" : "1261-1263", "title" : "Metabolic responses to reduced daily steps in healthy nonexercising men.", "type" : "article-journal", "volume" : "299" }, "uris" : [ "http://www.mendeley.com/documents/?uuid=7b767cba-3236-4912-90c4-f87b3d9780ad" ] } ], "mendeley" : { "formattedCitation" : "&lt;sup&gt;80&lt;/sup&gt;", "plainTextFormattedCitation" : "80", "previouslyFormattedCitation" : "&lt;sup&gt;80&lt;/sup&gt;"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80</w:t>
      </w:r>
      <w:r>
        <w:rPr>
          <w:rFonts w:cs="Times New Roman"/>
        </w:rPr>
        <w:fldChar w:fldCharType="end"/>
      </w:r>
      <w:r>
        <w:rPr>
          <w:rFonts w:cs="Times New Roman"/>
        </w:rPr>
        <w:t>. Furthermore, we observed only moderate declines in leg LM after SR. These findings are in agreement with previous studies employing the two-week SR model in both young and older adults (Table 1), however, the losses in leg LM we report here</w:t>
      </w:r>
      <w:r w:rsidR="00E15550">
        <w:rPr>
          <w:rFonts w:cs="Times New Roman"/>
        </w:rPr>
        <w:t xml:space="preserve"> (~0.8%)</w:t>
      </w:r>
      <w:r>
        <w:rPr>
          <w:rFonts w:cs="Times New Roman"/>
        </w:rPr>
        <w:t xml:space="preserve"> are attenuated by comparison. Disuse-induced muscle atrophy is generally more pronounced in younger adults than older adults</w:t>
      </w:r>
      <w:r>
        <w:rPr>
          <w:rFonts w:cs="Times New Roman"/>
        </w:rPr>
        <w:fldChar w:fldCharType="begin" w:fldLock="1"/>
      </w:r>
      <w:r w:rsidR="00225DB1">
        <w:rPr>
          <w:rFonts w:cs="Times New Roman"/>
        </w:rPr>
        <w:instrText>ADDIN CSL_CITATION { "citationItems" : [ { "id" : "ITEM-1",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"ITEM-1", "issue" : "4", "issued" : { "date-parts" : [ [ "2009", "10" ] ] }, "page" : "1172-1180", "title" : "Effects of aging on human skeletal muscle after immobilization and retraining.", "type" : "article-journal", "volume" : "107" }, "uris" : [ "http://www.mendeley.com/documents/?uuid=03fe0af6-3cbe-40fc-8c94-5ae48ae103c2" ] } ], "mendeley" : { "formattedCitation" : "&lt;sup&gt;56&lt;/sup&gt;", "plainTextFormattedCitation" : "56", "previouslyFormattedCitation" : "&lt;sup&gt;56&lt;/sup&gt;"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56</w:t>
      </w:r>
      <w:r>
        <w:rPr>
          <w:rFonts w:cs="Times New Roman"/>
        </w:rPr>
        <w:fldChar w:fldCharType="end"/>
      </w:r>
      <w:r>
        <w:rPr>
          <w:rFonts w:cs="Times New Roman"/>
        </w:rPr>
        <w:t>, however, previous studies using the less aggressive SR model report equivocal losses of LM, regardless of age</w:t>
      </w:r>
      <w:r>
        <w:rPr>
          <w:rFonts w:cs="Times New Roman"/>
        </w:rPr>
        <w:fldChar w:fldCharType="begin" w:fldLock="1"/>
      </w:r>
      <w:r w:rsidR="00225DB1">
        <w:rPr>
          <w:rFonts w:cs="Times New Roman"/>
        </w:rPr>
        <w:instrText>ADDIN CSL_CITATION { "citationItems" : [ { "id" : "ITEM-1", "itemData" : { "DOI" : "10.1001/jama.299.11.1259", "ISBN" : "1538-3598 (Electronic)", "ISSN" : "0098-7484", "PMID" : "18349087", "author" : [ { "dropping-particle" : "", "family" : "Olsen", "given" : "Rasmus H", "non-dropping-particle" : "", "parse-names" : false, "suffix" : "" }, { "dropping-particle" : "", "family" : "Krogh-Madsen", "given" : "Rikke", "non-dropping-particle" : "", "parse-names" : false, "suffix" : "" }, { "dropping-particle" : "", "family" : "Thomsen", "given" : "Carsten", "non-dropping-particle" : "", "parse-names" : false, "suffix" : "" }, { "dropping-particle" : "", "family" : "Booth", "given" : "Frank W", "non-dropping-particle" : "", "parse-names" : false, "suffix" : "" }, { "dropping-particle" : "", "family" : "Pedersen", "given" : "Bente K", "non-dropping-particle" : "", "parse-names" : false, "suffix" : "" } ], "container-title" : "JAMA : the journal of the American Medical Association", "id" : "ITEM-1", "issue" : "11", "issued" : { "date-parts" : [ [ "2008" ] ] }, "page" : "1261-1263", "title" : "Metabolic responses to reduced daily steps in healthy nonexercising men.", "type" : "article-journal", "volume" : "299" }, "uris" : [ "http://www.mendeley.com/documents/?uuid=7b767cba-3236-4912-90c4-f87b3d9780ad" ] }, { "id" : "ITEM-2", "itemData" : { "DOI" : "10.1152/japplphysiol.00977.2009", "ISBN" : "8750-7587\\r1522-1601", "ISSN" : "8750-7587", "PMID" : "20044474", "abstract" : "US adults take between approximately 2,000 and approximately 12,000 steps per day, a wide range of ambulatory activity that at the low range could increase risk for developing chronic metabolic diseases. Dramatic reductions in physical activity induce insulin resistance; however, it is uncertain if and how low ambulatory activity would influence peripheral insulin sensitivity. We aimed to explore if healthy, nonexercising subjects who went from a normal to a low level of ambulatory activity for 2 wk would display metabolic alterations including reduced peripheral insulin sensitivity. To do this, ten healthy young men decreased their daily activity level from a mean of 10,501+/-808 to 1,344+/-33 steps/day for 2 wk. Hyperinsulinemic-euglycemic clamps with stable isotopes and muscle biopsies, maximal oxygen consumption (VO2 max) tests, and blood samples were performed pre- and postintervention. A reduced number of daily steps induced a significant reduction of 17% in the glucose infusion rate (GIR) during the clamp. This reduction was due to a decline in peripheral insulin sensitivity with no effect on hepatic endogenous glucose production. The insulin-stimulated ratio of pAktthr308/total Akt decreased after step reduction, with a post hoc analysis revealing the most pronounced effect after 4 h of insulin infusion. In addition, the 2-wk period induced a 7% decline in VO2 max (ml/min; cardiovascular fitness). Lean mass of legs, but not arms and trunk, decreased concurrently. Taken together, one possible biological cause for the public health problem of Type 2 diabetes has been identified. Reduced ambulatory activity for 2 wk in healthy, nonexercising young men significantly reduced peripheral insulin sensitivity, cardiovascular fitness, and lean leg mass.", "author" : [ { "dropping-particle" : "", "family" : "Krogh-Madsen", "given" : "Rikke", "non-dropping-particle" : "", "parse-names" : false, "suffix" : "" }, { "dropping-particle" : "", "family" : "Thyfault", "given" : "John P", "non-dropping-particle" : "", "parse-names" : false, "suffix" : "" }, { "dropping-particle" : "", "family" : "Broholm", "given" : "Christa", "non-dropping-particle" : "", "parse-names" : false, "suffix" : "" }, { "dropping-particle" : "", "family" : "Mortensen", "given" : "Ole Hartvig", "non-dropping-particle" : "", "parse-names" : false, "suffix" : "" }, { "dropping-particle" : "", "family" : "Olsen", "given" : "Rasmus H", "non-dropping-particle" : "", "parse-names" : false, "suffix" : "" }, { "dropping-particle" : "", "family" : "Mounier", "given" : "Remi", "non-dropping-particle" : "", "parse-names" : false, "suffix" : "" }, { "dropping-particle" : "", "family" : "Plomgaard", "given" : "Peter", "non-dropping-particle" : "", "parse-names" : false, "suffix" : "" }, { "dropping-particle" : "", "family" : "Hall", "given" : "Gerrit", "non-dropping-particle" : "van", "parse-names" : false, "suffix" : "" }, { "dropping-particle" : "", "family" : "Booth", "given" : "Frank W", "non-dropping-particle" : "", "parse-names" : false, "suffix" : "" }, { "dropping-particle" : "", "family" : "Pedersen", "given" : "Bente K", "non-dropping-particle" : "", "parse-names" : false, "suffix" : "" } ], "container-title" : "Journal of applied physiology (Bethesda, Md. : 1985)", "id" : "ITEM-2", "issue" : "5", "issued" : { "date-parts" : [ [ "2010", "5" ] ] }, "note" : "From Duplicate 1 ( ", "page" : "1034-1040", "title" : "A 2-wk reduction of ambulatory activity attenuates peripheral insulin sensitivity.", "type" : "article-journal", "volume" : "108" }, "uris" : [ "http://www.mendeley.com/documents/?uuid=e79211db-25b4-4bf9-a2d1-c4c657021667" ] } ], "mendeley" : { "formattedCitation" : "&lt;sup&gt;78,80&lt;/sup&gt;", "plainTextFormattedCitation" : "78,80", "previouslyFormattedCitation" : "&lt;sup&gt;78,80&lt;/sup&gt;"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78,80</w:t>
      </w:r>
      <w:r>
        <w:rPr>
          <w:rFonts w:cs="Times New Roman"/>
        </w:rPr>
        <w:fldChar w:fldCharType="end"/>
      </w:r>
      <w:r w:rsidR="00E15550">
        <w:rPr>
          <w:rFonts w:cs="Times New Roman"/>
        </w:rPr>
        <w:t>.</w:t>
      </w:r>
      <w:r>
        <w:rPr>
          <w:rFonts w:cs="Times New Roman"/>
        </w:rPr>
        <w:t xml:space="preserve"> Nonetheless, recent reports suggest that two weeks of SR in older adults can induce reductions in leg LM of 1.4%</w:t>
      </w:r>
      <w:r>
        <w:rPr>
          <w:rFonts w:cs="Times New Roman"/>
        </w:rPr>
        <w:fldChar w:fldCharType="begin" w:fldLock="1"/>
      </w:r>
      <w:r w:rsidR="000709FC">
        <w:rPr>
          <w:rFonts w:cs="Times New Roman"/>
        </w:rPr>
        <w:instrText>ADDIN CSL_CITATION { "citationItems" : [ { "id" : "ITEM-1", "itemData" : { "author" : [ { "dropping-particle" : "", "family" : "Devries", "given" : "M", "non-dropping-particle" : "", "parse-names" : false, "suffix" : "" }, { "dropping-particle" : "", "family" : "Breen", "given" : "L", "non-dropping-particle" : "", "parse-names" : false, "suffix" : "" }, { "dropping-particle" : "", "family" : "Allmen", "given" : "M", "non-dropping-particle" : "von", "parse-names" : false, "suffix" : "" }, { "dropping-particle" : "", "family" : "Moore", "given" : "D", "non-dropping-particle" : "", "parse-names" : false, "suffix" : "" }, { "dropping-particle" : "", "family" : "Phillips", "given" : "SM", "non-dropping-particle" : "", "parse-names" : false, "suffix" : "" } ], "container-title" : "Unpublished - personal communication", "id" : "ITEM-1", "issued" : { "date-parts" : [ [ "0" ] ] }, "title" : "Low-load resistance training during step-reduction attenuates declines in muscle mass and strength and enhances anabolic sensitivity in older men", "type" : "article-journal" }, "uris" : [ "http://www.mendeley.com/documents/?uuid=5cdfb8ee-470a-446b-aab6-1051a07d2fae" ] } ], "mendeley" : { "formattedCitation" : "&lt;sup&gt;89&lt;/sup&gt;", "plainTextFormattedCitation" : "89", "previouslyFormattedCitation" : "&lt;sup&gt;89&lt;/sup&gt;"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89</w:t>
      </w:r>
      <w:r>
        <w:rPr>
          <w:rFonts w:cs="Times New Roman"/>
        </w:rPr>
        <w:fldChar w:fldCharType="end"/>
      </w:r>
      <w:r>
        <w:rPr>
          <w:rFonts w:cs="Times New Roman"/>
        </w:rPr>
        <w:t xml:space="preserve"> to 3.7%</w:t>
      </w:r>
      <w:r>
        <w:rPr>
          <w:rFonts w:cs="Times New Roman"/>
        </w:rPr>
        <w:fldChar w:fldCharType="begin" w:fldLock="1"/>
      </w:r>
      <w:r w:rsidR="00225DB1">
        <w:rPr>
          <w:rFonts w:cs="Times New Roman"/>
        </w:rPr>
        <w:instrText>ADDIN CSL_CITATION { "citationItems" : [ { "id" : "ITEM-1", "itemData" : { "DOI" : "10.1210/jc.2013-1502", "ISBN" : "0000000000000", "ISSN" : "0021972X", "PMID" : "23589526", "abstract" : "BACKGROUND: Alterations in muscle protein metabolism underlie age-related muscle atrophy. During periods of muscle disuse, muscle protein synthesis is blunted, and muscle atrophy occurs in young and old. The impact of a short reduction in physical activity on muscle protein metabolism in older adults is unknown.\\n\\nPURPOSE: The aim of this study was to investigate the impact of 14 days of reduced daily steps on fasted and fed-state rates of myofibrillar protein synthesis (MPS) to provide insight into the mechanisms for changes in muscle mass and markers of metabolic health.\\n\\nMETHODS: Before and after 14 days of reduced daily step-count, 10 healthy older adults (age, 72 \u00b1 1 y) underwent measures of insulin sensitivity, muscle strength, physical function, and body composition. Using a primed constant infusion of L-[ring-(13)C6]phenylalanine with serial muscle biopsies, basal, postabsorptive, and postprandial rates of MPS were determined before and after the 14-day intervention.\\n\\nRESULTS: Daily step-count was reduced by approximately 76% to 1413 \u00b1 110 steps per day. Leg fat-free mass was reduced by approximately 3.9% (P &lt; .001). Postabsorptive insulin resistance was increased by approximately 12%, and postprandial insulin sensitivity was reduced by approximately 43% after step reduction (P &lt; .005). Concentrations of TNF-\u03b1 and C-reactive protein were increased by approximately 12 and 25%, respectively, after step reduction (P &lt; .05). Postprandial rates of MPS were reduced by approximately 26% after the intervention (P = .028), with no difference in postabsorptive rates.\\n\\nCONCLUSION: The present study demonstrates that 14 days of reduced steps in older adults induces small but measurable reductions in muscle mass that appear to be underpinned by reductions in postprandial MPS and are accompanied by impairments in insulin sensitivity and systemic inflammatory markers and postprandial MPS.", "author" : [ { "dropping-particle" : "", "family" : "Breen", "given" : "Leigh", "non-dropping-particle" : "", "parse-names" : false, "suffix" : "" }, { "dropping-particle" : "", "family" : "Stokes", "given" : "Keith a.", "non-dropping-particle" : "", "parse-names" : false, "suffix" : "" }, { "dropping-particle" : "", "family" : "Churchward-Venne", "given" : "Tyler a.", "non-dropping-particle" : "", "parse-names" : false, "suffix" : "" }, { "dropping-particle" : "", "family" : "Moore", "given" : "Daniel R.", "non-dropping-particle" : "", "parse-names" : false, "suffix" : "" }, { "dropping-particle" : "", "family" : "Baker", "given" : "Stephen K.", "non-dropping-particle" : "", "parse-names" : false, "suffix" : "" }, { "dropping-particle" : "", "family" : "Smith", "given" : "Kenneth", "non-dropping-particle" : "", "parse-names" : false, "suffix" : "" }, { "dropping-particle" : "", "family" : "Atherton", "given" : "Philip J.", "non-dropping-particle" : "", "parse-names" : false, "suffix" : "" }, { "dropping-particle" : "", "family" : "Phillips", "given" : "Stuart M.", "non-dropping-particle" : "", "parse-names" : false, "suffix" : "" } ], "container-title" : "Journal of Clinical Endocrinology and Metabolism", "id" : "ITEM-1", "issue" : "6", "issued" : { "date-parts" : [ [ "2013", "6" ] ] }, "note" : "From Duplicate 1 ( ", "page" : "2604-2612", "title" : "Two weeks of reduced activity decreases leg lean mass and induces \"anabolic resistance\" of myofibrillar protein synthesis in healthy elderly", "type" : "article-journal", "volume" : "98" }, "uris" : [ "http://www.mendeley.com/documents/?uuid=7b247101-8e58-4f48-a336-f3d4e1f8abfc" ] } ], "mendeley" : { "formattedCitation" : "&lt;sup&gt;82&lt;/sup&gt;", "plainTextFormattedCitation" : "82", "previouslyFormattedCitation" : "&lt;sup&gt;82&lt;/sup&gt;"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82</w:t>
      </w:r>
      <w:r>
        <w:rPr>
          <w:rFonts w:cs="Times New Roman"/>
        </w:rPr>
        <w:fldChar w:fldCharType="end"/>
      </w:r>
      <w:r>
        <w:rPr>
          <w:rFonts w:cs="Times New Roman"/>
        </w:rPr>
        <w:t>. It is therefore surprising that in the present study decrements in LM in older participants were not observed, or exhibited to a lesser extent. One explanation for the discrepancy between our data and previous studies is that we employed DXA as a means to assess changes in body composition rather than using MRI, which is a more robust measurement tool for body composition analysis. Although DXA has been well correlated with MRI derived characterization of body composition</w:t>
      </w:r>
      <w:r>
        <w:rPr>
          <w:rFonts w:cs="Times New Roman"/>
        </w:rPr>
        <w:fldChar w:fldCharType="begin" w:fldLock="1"/>
      </w:r>
      <w:r w:rsidR="002463EB">
        <w:rPr>
          <w:rFonts w:cs="Times New Roman"/>
        </w:rPr>
        <w:instrText>ADDIN CSL_CITATION { "citationItems" : [ { "id" : "ITEM-1", "itemData" : { "DOI" : "10.1038/sj.ijo.0801070", "ISSN" : "03070565", "author" : [ { "dropping-particle" : "", "family" : "Fuller", "given" : "N J", "non-dropping-particle" : "", "parse-names" : false, "suffix" : "" }, { "dropping-particle" : "", "family" : "Hardingham", "given" : "C R", "non-dropping-particle" : "", "parse-names" : false, "suffix" : "" }, { "dropping-particle" : "", "family" : "Graves", "given" : "M", "non-dropping-particle" : "", "parse-names" : false, "suffix" : "" }, { "dropping-particle" : "", "family" : "Screaton", "given" : "N", "non-dropping-particle" : "", "parse-names" : false, "suffix" : "" }, { "dropping-particle" : "", "family" : "Dixon", "given" : "a K", "non-dropping-particle" : "", "parse-names" : false, "suffix" : "" }, { "dropping-particle" : "", "family" : "Ward", "given" : "L C", "non-dropping-particle" : "", "parse-names" : false, "suffix" : "" }, { "dropping-particle" : "", "family" : "Elia", "given" : "M", "non-dropping-particle" : "", "parse-names" : false, "suffix" : "" } ], "container-title" : "International Journal of Obesity", "id" : "ITEM-1", "issue" : "12", "issued" : { "date-parts" : [ [ "1999", "1", "13" ] ] }, "page" : "1295-1302", "title" : "Assessment of limb muscle and adipose tissue by dual-energy X-ray absorptiometry using magnetic resonance imaging for comparison", "type" : "article-journal", "volume" : "23" }, "uris" : [ "http://www.mendeley.com/documents/?uuid=5957a007-a5a6-4fd3-a27d-f25074637063" ] } ], "mendeley" : { "formattedCitation" : "&lt;sup&gt;129&lt;/sup&gt;", "plainTextFormattedCitation" : "129", "previouslyFormattedCitation" : "&lt;sup&gt;129&lt;/sup&gt;"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129</w:t>
      </w:r>
      <w:r>
        <w:rPr>
          <w:rFonts w:cs="Times New Roman"/>
        </w:rPr>
        <w:fldChar w:fldCharType="end"/>
      </w:r>
      <w:r>
        <w:rPr>
          <w:rFonts w:cs="Times New Roman"/>
        </w:rPr>
        <w:t>, the validity of the measure remains highly influenced by factors such as hydration status</w:t>
      </w:r>
      <w:r>
        <w:rPr>
          <w:rFonts w:cs="Times New Roman"/>
        </w:rPr>
        <w:fldChar w:fldCharType="begin" w:fldLock="1"/>
      </w:r>
      <w:r w:rsidR="002463EB">
        <w:rPr>
          <w:rFonts w:cs="Times New Roman"/>
        </w:rPr>
        <w:instrText>ADDIN CSL_CITATION { "citationItems" : [ { "id" : "ITEM-1", "itemData" : { "ISBN" : "0002-9513 (Print)", "ISSN" : "0002-9513", "PMID" : "9612238", "abstract" : "Dual-energy X-ray absorptiometry (DXA) is rapidly gaining acceptance as a reference method for analyzing body composition. An important and unresolved concern is whether and to what extent variation in soft tissue hydration causes errors in DXA fat estimates. The present study aim was to develop and validate a DXA physical hydration model and then to apply this model by simulating errors arising from hypothetical overhydration states. The DXA physical hydration model was developed by first linking biological substance elemental content with photon attenuation. The validated physical model was next extended to describe photon attenuation changes anticipated when predefined amounts of two known composition components are mixed, as would occur when overhydration develops. Two overhydration models were developed in the last phase of study, formulated on validated physical models, and error was simulated for fluid surfeit states. Results indicate that systematic errors in DXA percent fat arise with added fluids when fractional masses are varied as a percentage of combined fluid + soft tissue mass. Three independent determinants of error magnitude were established: elemental content of overhydration fluid, fraction of combined fluid + soft tissue as overhydration fluid, and initial soft tissue composition. Small but systematic and predictable errors in DXA soft tissue composition analysis thus can arise with fluid balance changes.", "author" : [ { "dropping-particle" : "", "family" : "Pietrobelli", "given" : "a", "non-dropping-particle" : "", "parse-names" : false, "suffix" : "" }, { "dropping-particle" : "", "family" : "Wang", "given" : "Z", "non-dropping-particle" : "", "parse-names" : false, "suffix" : "" }, { "dropping-particle" : "", "family" : "Formica", "given" : "C", "non-dropping-particle" : "", "parse-names" : false, "suffix" : "" }, { "dropping-particle" : "", "family" : "Heymsfield", "given" : "S B", "non-dropping-particle" : "", "parse-names" : false, "suffix" : "" } ], "container-title" : "The American journal of physiology", "id" : "ITEM-1", "issue" : "5 Pt 1", "issued" : { "date-parts" : [ [ "1998" ] ] }, "page" : "E808-E816", "title" : "Dual-energy X-ray absorptiometry: fat estimation errors due to variation in soft tissue hydration.", "type" : "article-journal", "volume" : "274" }, "uris" : [ "http://www.mendeley.com/documents/?uuid=2c2d73f9-b014-4ec9-8c68-5e93a0412d83" ] }, { "id" : "ITEM-2", "itemData" : { "ISSN" : "8750-7587", "PMID" : "11090591", "abstract" : "Dual-energy X-ray absorptiometry (DXA) percent (%) fat estimates may be inaccurate in young children, who typically have high tissue hydration levels. This study was designed to provide a comprehensive analysis of pediatric tissue hydration effects on DXA %fat estimates. Phase 1 was experimental and included three in vitro studies to establish the physical basis of DXA %fat-estimation models. Phase 2 extended phase 1 models and consisted of theoretical calculations to estimate the %fat errors emanating from previously reported pediatric hydration effects. Phase 1 experiments supported the two-compartment DXA soft tissue model and established that pixel ratio of low to high energy (R values) are a predictable function of tissue elemental content. In phase 2, modeling of reference body composition values from birth to age 120 mo revealed that %fat errors will arise if a \"constant\" adult lean soft tissue R value is applied to the pediatric population; the maximum %fat error, approximately 0.8%, would be present at birth. High tissue hydration, as observed in infants and young children, leads to errors in DXA %fat estimates. The magnitude of these errors based on theoretical calculations is small and may not be of clinical or research significance.", "author" : [ { "dropping-particle" : "", "family" : "Testolin", "given" : "C G", "non-dropping-particle" : "", "parse-names" : false, "suffix" : "" }, { "dropping-particle" : "", "family" : "Gore", "given" : "R", "non-dropping-particle" : "", "parse-names" : false, "suffix" : "" }, { "dropping-particle" : "", "family" : "Rivkin", "given" : "T", "non-dropping-particle" : "", "parse-names" : false, "suffix" : "" }, { "dropping-particle" : "", "family" : "Horlick", "given" : "M", "non-dropping-particle" : "", "parse-names" : false, "suffix" : "" }, { "dropping-particle" : "", "family" : "Arbo", "given" : "J", "non-dropping-particle" : "", "parse-names" : false, "suffix" : "" }, { "dropping-particle" : "", "family" : "Wang", "given" : "Z", "non-dropping-particle" : "", "parse-names" : false, "suffix" : "" }, { "dropping-particle" : "", "family" : "Chiumello", "given" : "G", "non-dropping-particle" : "", "parse-names" : false, "suffix" : "" }, { "dropping-particle" : "", "family" : "Heymsfield", "given" : "S B", "non-dropping-particle" : "", "parse-names" : false, "suffix" : "" } ], "container-title" : "Journal of applied physiology (Bethesda, Md. : 1985)", "id" : "ITEM-2", "issue" : "6", "issued" : { "date-parts" : [ [ "2000" ] ] }, "page" : "2365-2372", "title" : "Dual-energy X-ray absorptiometry: analysis of pediatric fat estimate errors due to tissue hydration effects.", "type" : "article-journal", "volume" : "89" }, "uris" : [ "http://www.mendeley.com/documents/?uuid=218844b1-f44d-49af-85dd-49c4a9a8733d" ] } ], "mendeley" : { "formattedCitation" : "&lt;sup&gt;130,131&lt;/sup&gt;", "plainTextFormattedCitation" : "130,131", "previouslyFormattedCitation" : "&lt;sup&gt;130,131&lt;/sup&gt;"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130,131</w:t>
      </w:r>
      <w:r>
        <w:rPr>
          <w:rFonts w:cs="Times New Roman"/>
        </w:rPr>
        <w:fldChar w:fldCharType="end"/>
      </w:r>
      <w:r>
        <w:rPr>
          <w:rFonts w:cs="Times New Roman"/>
        </w:rPr>
        <w:t>, where it is suggested a 5% change in FFM hydration could influence FM estimates up to 2.5%</w:t>
      </w:r>
      <w:r>
        <w:rPr>
          <w:rFonts w:cs="Times New Roman"/>
        </w:rPr>
        <w:fldChar w:fldCharType="begin" w:fldLock="1"/>
      </w:r>
      <w:r w:rsidR="002463EB">
        <w:rPr>
          <w:rFonts w:cs="Times New Roman"/>
        </w:rPr>
        <w:instrText>ADDIN CSL_CITATION { "citationItems" : [ { "id" : "ITEM-1", "itemData" : { "DOI" : "10.1111/j.1749-6632.2000.tb06420.x", "ISBN" : "1749-6632", "ISSN" : "00778923", "abstract" : "Dual-energy X-ray absorptiometry (DXA) is selected with increasing frequency as a method for both assessing body composition and measuring the changes in body composition. Issues have been raised about hydration, software version, hardware (fan beam vs. pencil beam), and the subject population in relation to the validity of DXA-derived estimates of body composition. This paper reviews validation studies of DXA to assess the impact of recent developments in its technology. Studies by Prior et al., 1 Kohrt et al., 2 Salamone et al., 3 Going et al., 4 and Pietrobelli et al.5 demonstrate the effectiveness of DXA estimates of changes in body composition. By contrast, Clasey et al., 6 Nelson et al., 7 and Friedl et al.8 found limitations in DXA estimates of body composition and its changes. These contradictory conclusions were explored for threats to internal validity in each research study. From this analysis, two validation guidelines are recommended for use when evaluating estimates of body composition. When multicomponent models are used, it is essential that estimates of body water as a fraction of fat-free mass fall in the expected range (71 to 75%) and have a relatively small standard deviation (2 to 3%). For measuring changes in body composition, DXA estimates of total body mass must accurately reflect both baseline and posttreatment scale body weight estimates. Failure to meet these guidelines threatens the internal validity of the study and raises the likelihood of methodological discrepancies. Applying these criteria to DXA studies of body composition under review accounts for much of the contradictory conclusions among investigations.", "author" : [ { "dropping-particle" : "", "family" : "Lohman", "given" : "Timothy G", "non-dropping-particle" : "", "parse-names" : false, "suffix" : "" }, { "dropping-particle" : "", "family" : "Harris", "given" : "Margaret", "non-dropping-particle" : "", "parse-names" : false, "suffix" : "" }, { "dropping-particle" : "", "family" : "Teixeira", "given" : "Pedro J", "non-dropping-particle" : "", "parse-names" : false, "suffix" : "" }, { "dropping-particle" : "", "family" : "Weiss", "given" : "Lauren", "non-dropping-particle" : "", "parse-names" : false, "suffix" : "" } ], "container-title" : "Annals of the New York Academy of Sciences", "id" : "ITEM-1", "issue" : "IN VIVO BODY COMPOSITION STUDIES", "issued" : { "date-parts" : [ [ "2000", "1", "25" ] ] }, "page" : "45-54", "title" : "Assessing body composition and changes in body composition: Another look at Dual-Energy X-ray Absorptiometry", "type" : "article-journal", "volume" : "904" }, "uris" : [ "http://www.mendeley.com/documents/?uuid=49471f7a-526a-4971-9d11-8576867ea507" ] } ], "mendeley" : { "formattedCitation" : "&lt;sup&gt;132&lt;/sup&gt;", "plainTextFormattedCitation" : "132", "previouslyFormattedCitation" : "&lt;sup&gt;132&lt;/sup&gt;"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132</w:t>
      </w:r>
      <w:r>
        <w:rPr>
          <w:rFonts w:cs="Times New Roman"/>
        </w:rPr>
        <w:fldChar w:fldCharType="end"/>
      </w:r>
      <w:r>
        <w:rPr>
          <w:rFonts w:cs="Times New Roman"/>
        </w:rPr>
        <w:t>. While attempts were made to control the hydration status of our participants, it is important to acknowledge that DXA also has an intrinsic measurement error. This error (albeit measured in children) accounts for up to ~5% variation in FM and up to ~3% variation in FFM</w:t>
      </w:r>
      <w:r>
        <w:rPr>
          <w:rFonts w:cs="Times New Roman"/>
        </w:rPr>
        <w:fldChar w:fldCharType="begin" w:fldLock="1"/>
      </w:r>
      <w:r w:rsidR="002463EB">
        <w:rPr>
          <w:rFonts w:cs="Times New Roman"/>
        </w:rPr>
        <w:instrText>ADDIN CSL_CITATION { "citationItems" : [ { "id" : "ITEM-1", "itemData" : { "DOI" : "10.1016/j.jocd.2006.03.016", "ISBN" : "1094-6950", "ISSN" : "10946950", "PMID" : "16931353", "abstract" : "Information on reproducibility of dual-energy X-ray absorptiometry (DXA) measurements is essential because DXA is frequently used by clinicians and researchers to assess body composition changes. We estimated measurement error and absolute and relative smallest detectable differences (SDDs) for fat, lean, and bone mass in children. The SDD is the change necessary to be confident that the change is not a consequence of measurement error. Duplicate whole body DXA (Hologic QDR 4500A, Hologic Inc., Waltham, MA) scans were obtained on 32 obese and 34 non-obese children ages 6-19 yr. Absolute (kg) and relative (coefficient of variation) measurement error and SDD were calculated. Absolute SDDs for fat and lean were higher for obese (1.39 and 1.30 kg, respectively) than for non-obese children (0.42 and 0.47 kg, respectively). The %SDD for fat was lower for obese (3.58%) than non-obese children (5.24%), but for lean the %SDD was higher for obese (2.60%) than non-obese children (1.32%). The SDDs for bone mass were similar for obese and non-obese children. An obese child must lose or gain more absolute fat and lean mass than a non-obese child to be confident that the change is not a reflection of measurement error. Overall, SDD values for fat, lean, and bone mass are low. ?? 2006 The International Society for Clinical Densitometry.", "author" : [ { "dropping-particle" : "", "family" : "Wosje", "given" : "Karen S.", "non-dropping-particle" : "", "parse-names" : false, "suffix" : "" }, { "dropping-particle" : "", "family" : "Knipstein", "given" : "Brittany L.", "non-dropping-particle" : "", "parse-names" : false, "suffix" : "" }, { "dropping-particle" : "", "family" : "Kalkwarf", "given" : "Heidi J.", "non-dropping-particle" : "", "parse-names" : false, "suffix" : "" } ], "container-title" : "Journal of Clinical Densitometry", "id" : "ITEM-1", "issue" : "3", "issued" : { "date-parts" : [ [ "2006" ] ] }, "page" : "335-340", "title" : "Measurement Error of DXA: Interpretation of Fat and Lean Mass Changes in Obese and Non-Obese Children", "type" : "article-journal", "volume" : "9" }, "uris" : [ "http://www.mendeley.com/documents/?uuid=ed7b034a-d04d-408a-aa6b-8fc89e75f41e" ] } ], "mendeley" : { "formattedCitation" : "&lt;sup&gt;133&lt;/sup&gt;", "plainTextFormattedCitation" : "133", "previouslyFormattedCitation" : "&lt;sup&gt;133&lt;/sup&gt;"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133</w:t>
      </w:r>
      <w:r>
        <w:rPr>
          <w:rFonts w:cs="Times New Roman"/>
        </w:rPr>
        <w:fldChar w:fldCharType="end"/>
      </w:r>
      <w:r>
        <w:rPr>
          <w:rFonts w:cs="Times New Roman"/>
        </w:rPr>
        <w:t>, a variation (~0.4-1.4 kg) that is further amplified for FFM measurements in obese and for FM measurements in leaner humans</w:t>
      </w:r>
      <w:r>
        <w:rPr>
          <w:rFonts w:cs="Times New Roman"/>
        </w:rPr>
        <w:fldChar w:fldCharType="begin" w:fldLock="1"/>
      </w:r>
      <w:r w:rsidR="002463EB">
        <w:rPr>
          <w:rFonts w:cs="Times New Roman"/>
        </w:rPr>
        <w:instrText>ADDIN CSL_CITATION { "citationItems" : [ { "id" : "ITEM-1", "itemData" : { "DOI" : "10.1038/oby.2010.5", "ISBN" : "1930-7381\\n1930-739X", "ISSN" : "1930-7381", "PMID" : "20111013", "abstract" : "Accurate methods for assessing body composition in subjects with obesity and anorexia nervosa (AN) are important for determination of metabolic and cardiovascular risk factors and to monitor therapeutic interventions. The purpose of our study was to assess the accuracy of dual-energy X-ray absorptiometry (DXA) for measuring abdominal and thigh fat, and thigh muscle mass in premenopausal women with obesity, AN, and normal weight compared to computed tomography (CT). In addition, we wanted to assess the impact of hydration on DXA-derived measures of body composition by using bioelectrical impedance analysis (BIA). We studied a total of 91 premenopausal women (34 obese, 39 with AN, and 18 lean controls). Our results demonstrate strong correlations between DXA- and CT-derived body composition measurements in AN, obese, and lean controls (r = 0.77-0.95, P &lt; 0.0001). After controlling for total body water (TBW), the correlation coefficients were comparable. DXA trunk fat correlated with CT visceral fat (r = 0.51-0.70, P &lt; 0.0001). DXA underestimated trunk and thigh fat and overestimated thigh muscle mass and this error increased with increasing weight. Our study showed that DXA is a useful method for assessing body composition in premenopausal women within the phenotypic spectrum ranging from obesity to AN. However, it is important to recognize that DXA may not accurately assess body composition in markedly obese women. The level of hydration does not significantly affect most DXA body composition measurements, with the exceptions of thigh fat.", "author" : [ { "dropping-particle" : "", "family" : "Bredella", "given" : "Miriam a", "non-dropping-particle" : "", "parse-names" : false, "suffix" : "" }, { "dropping-particle" : "", "family" : "Ghomi", "given" : "Reza Hosseini", "non-dropping-particle" : "", "parse-names" : false, "suffix" : "" }, { "dropping-particle" : "", "family" : "Thomas", "given" : "Bijoy J", "non-dropping-particle" : "", "parse-names" : false, "suffix" : "" }, { "dropping-particle" : "", "family" : "Torriani", "given" : "Martin", "non-dropping-particle" : "", "parse-names" : false, "suffix" : "" }, { "dropping-particle" : "", "family" : "Brick", "given" : "Danielle J", "non-dropping-particle" : "", "parse-names" : false, "suffix" : "" }, { "dropping-particle" : "V", "family" : "Gerweck", "given" : "Anu", "non-dropping-particle" : "", "parse-names" : false, "suffix" : "" }, { "dropping-particle" : "", "family" : "Misra", "given" : "Madhusmita", "non-dropping-particle" : "", "parse-names" : false, "suffix" : "" }, { "dropping-particle" : "", "family" : "Klibanski", "given" : "Anne", "non-dropping-particle" : "", "parse-names" : false, "suffix" : "" }, { "dropping-particle" : "", "family" : "Miller", "given" : "Karen K", "non-dropping-particle" : "", "parse-names" : false, "suffix" : "" } ], "container-title" : "Obesity (Silver Spring, Md.)", "id" : "ITEM-1", "issue" : "11", "issued" : { "date-parts" : [ [ "2010", "11" ] ] }, "page" : "2227-2233", "title" : "Comparison of DXA and CT in the assessment of body composition in premenopausal women with obesity and anorexia nervosa.", "type" : "article-journal", "volume" : "18" }, "uris" : [ "http://www.mendeley.com/documents/?uuid=ef541ce6-1cbb-47ee-9abd-16bde4dbefc3" ] }, { "id" : "ITEM-2", "itemData" : { "DOI" : "10.1016/j.jocd.2006.03.016", "ISBN" : "1094-6950", "ISSN" : "10946950", "PMID" : "16931353", "abstract" : "Information on reproducibility of dual-energy X-ray absorptiometry (DXA) measurements is essential because DXA is frequently used by clinicians and researchers to assess body composition changes. We estimated measurement error and absolute and relative smallest detectable differences (SDDs) for fat, lean, and bone mass in children. The SDD is the change necessary to be confident that the change is not a consequence of measurement error. Duplicate whole body DXA (Hologic QDR 4500A, Hologic Inc., Waltham, MA) scans were obtained on 32 obese and 34 non-obese children ages 6-19 yr. Absolute (kg) and relative (coefficient of variation) measurement error and SDD were calculated. Absolute SDDs for fat and lean were higher for obese (1.39 and 1.30 kg, respectively) than for non-obese children (0.42 and 0.47 kg, respectively). The %SDD for fat was lower for obese (3.58%) than non-obese children (5.24%), but for lean the %SDD was higher for obese (2.60%) than non-obese children (1.32%). The SDDs for bone mass were similar for obese and non-obese children. An obese child must lose or gain more absolute fat and lean mass than a non-obese child to be confident that the change is not a reflection of measurement error. Overall, SDD values for fat, lean, and bone mass are low. ?? 2006 The International Society for Clinical Densitometry.", "author" : [ { "dropping-particle" : "", "family" : "Wosje", "given" : "Karen S.", "non-dropping-particle" : "", "parse-names" : false, "suffix" : "" }, { "dropping-particle" : "", "family" : "Knipstein", "given" : "Brittany L.", "non-dropping-particle" : "", "parse-names" : false, "suffix" : "" }, { "dropping-particle" : "", "family" : "Kalkwarf", "given" : "Heidi J.", "non-dropping-particle" : "", "parse-names" : false, "suffix" : "" } ], "container-title" : "Journal of Clinical Densitometry", "id" : "ITEM-2", "issue" : "3", "issued" : { "date-parts" : [ [ "2006" ] ] }, "page" : "335-340", "title" : "Measurement Error of DXA: Interpretation of Fat and Lean Mass Changes in Obese and Non-Obese Children", "type" : "article-journal", "volume" : "9" }, "uris" : [ "http://www.mendeley.com/documents/?uuid=ed7b034a-d04d-408a-aa6b-8fc89e75f41e" ] } ], "mendeley" : { "formattedCitation" : "&lt;sup&gt;133,134&lt;/sup&gt;", "plainTextFormattedCitation" : "133,134", "previouslyFormattedCitation" : "&lt;sup&gt;133,134&lt;/sup&gt;"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133,134</w:t>
      </w:r>
      <w:r>
        <w:rPr>
          <w:rFonts w:cs="Times New Roman"/>
        </w:rPr>
        <w:fldChar w:fldCharType="end"/>
      </w:r>
      <w:r>
        <w:rPr>
          <w:rFonts w:cs="Times New Roman"/>
        </w:rPr>
        <w:t xml:space="preserve">. </w:t>
      </w:r>
      <w:r w:rsidR="00B66FC6">
        <w:rPr>
          <w:rFonts w:cs="Times New Roman"/>
        </w:rPr>
        <w:t>Nearly all</w:t>
      </w:r>
      <w:r>
        <w:rPr>
          <w:rFonts w:cs="Times New Roman"/>
        </w:rPr>
        <w:t xml:space="preserve"> of the changes in leg LM from the current study fall well within the lower limit of this measurement error and might provide an explanation as to why no clear muscular atrophy was seen with SR (Figure 13). This intrinsic measurement error would also question the accuracy of muscle loss measurements seen with other SR studies that have used DXA for body composition analysis</w:t>
      </w:r>
      <w:r>
        <w:rPr>
          <w:rFonts w:cs="Times New Roman"/>
        </w:rPr>
        <w:fldChar w:fldCharType="begin" w:fldLock="1"/>
      </w:r>
      <w:r w:rsidR="000709FC">
        <w:rPr>
          <w:rFonts w:cs="Times New Roman"/>
        </w:rPr>
        <w:instrText>ADDIN CSL_CITATION { "citationItems" : [ { "id" : "ITEM-1", "itemData" : { "DOI" : "10.1152/japplphysiol.00189.2011", "ISBN" : "8750-7587\\r1522-1601", "ISSN" : "8750-7587", "PMID" : "22556394", "abstract" : "A lifestyle characterized by inactivity and a high-calorie diet is a known risk factor for impaired insulin sensitivity and development of Type 2 diabetes mellitus. To investigate possible links, nine young healthy men (24 \u00b1 3 yr; body mass index of 21.6 \u00b1 2.5 kg/m(2)) completed 14 days of step reduction (10,000 to 1,500 steps/day) and overfeeding (+50% kcal). Body composition (dual X-ray absorptiometry, MRI), aerobic fitness (maximal O(2) consumption), systemic inflammation and insulin sensitivity [oral glucose tolerance test (OGTT), hyperinsulinemic euglycemic clamp] were assessed before (day 0), during (days 3 and 7), and immediately after the intervention (day 14), with follow-up tests (day 30). Body weight had increased at days 7 and 14 (P &lt; 0.05). The amount of visceral fat had increased at day 14 compared with day 0 (P &lt; 0.05). The insulin response to the OGTT had increased at days 7 and 14 (P &lt; 0.05). Insulin sensitivity, estimated using the Matsuda index, had decreased at days 3 and 7 (P &lt; 0.01). At day 14, glucose infusion rates had decreased by \u223c44% during the euglycemic clamps (P &lt; 0.05). Also, plasma levels of leptin and adiponectin had increased (P &lt; 0.05), whereas no changes were seen in inflammatory markers. At day 30, body weight and whole body adiposity were still elevated compared with day 0 (P &lt; 0.05), whereas the insulin sensitivity as well as the insulin response to the OGTT did not differ from baseline. The glucose response to the OGTT was only affected at day 30, with a decrease compared with day 0. Our data show that insulin sensitivity was impaired after 3 days of inactivity and overfeeding. Impairments in insulin sensitivity occurred before changes in body composition, supporting the notion that the initial steps in impairment of insulin sensitivity may be linked directly to the effects of inactivity and a high calorie intake.", "author" : [ { "dropping-particle" : "", "family" : "Knudsen", "given" : "S. H.", "non-dropping-particle" : "", "parse-names" : false, "suffix" : "" }, { "dropping-particle" : "", "family" : "Hansen", "given" : "L. S.", "non-dropping-particle" : "", "parse-names" : false, "suffix" : "" }, { "dropping-particle" : "", "family" : "Pedersen", "given" : "M.", "non-dropping-particle" : "", "parse-names" : false, "suffix" : "" }, { "dropping-particle" : "", "family" : "Dejgaard", "given" : "T.", "non-dropping-particle" : "", "parse-names" : false, "suffix" : "" }, { "dropping-particle" : "", "family" : "Hansen", "given" : "J.", "non-dropping-particle" : "", "parse-names" : false, "suffix" : "" }, { "dropping-particle" : "V.", "family" : "Hall", "given" : "G.", "non-dropping-particle" : "", "parse-names" : false, "suffix" : "" }, { "dropping-particle" : "", "family" : "Thomsen", "given" : "C.", "non-dropping-particle" : "", "parse-names" : false, "suffix" : "" }, { "dropping-particle" : "", "family" : "Solomon", "given" : "T. P. J.", "non-dropping-particle" : "", "parse-names" : false, "suffix" : "" }, { "dropping-particle" : "", "family" : "Pedersen", "given" : "B. K.", "non-dropping-particle" : "", "parse-names" : false, "suffix" : "" }, { "dropping-particle" : "", "family" : "Krogh-Madsen", "given" : "R.", "non-dropping-particle" : "", "parse-names" : false, "suffix" : "" } ], "container-title" : "Journal of Applied Physiology", "id" : "ITEM-1", "issue" : "1", "issued" : { "date-parts" : [ [ "2012", "7" ] ] }, "page" : "7-15", "title" : "Changes in insulin sensitivity precede changes in body composition during 14 days of step reduction combined with overfeeding in healthy young men", "type" : "article-journal", "volume" : "113" }, "uris" : [ "http://www.mendeley.com/documents/?uuid=fd55b369-3ad5-4fab-a9be-62ff792b9582" ] }, { "id" : "ITEM-2", "itemData" : { "DOI" : "10.1152/japplphysiol.00977.2009", "ISBN" : "8750-7587\\r1522-1601", "ISSN" : "8750-7587", "PMID" : "20044474", "abstract" : "US adults take between approximately 2,000 and approximately 12,000 steps per day, a wide range of ambulatory activity that at the low range could increase risk for developing chronic metabolic diseases. Dramatic reductions in physical activity induce insulin resistance; however, it is uncertain if and how low ambulatory activity would influence peripheral insulin sensitivity. We aimed to explore if healthy, nonexercising subjects who went from a normal to a low level of ambulatory activity for 2 wk would display metabolic alterations including reduced peripheral insulin sensitivity. To do this, ten healthy young men decreased their daily activity level from a mean of 10,501+/-808 to 1,344+/-33 steps/day for 2 wk. Hyperinsulinemic-euglycemic clamps with stable isotopes and muscle biopsies, maximal oxygen consumption (VO2 max) tests, and blood samples were performed pre- and postintervention. A reduced number of daily steps induced a significant reduction of 17% in the glucose infusion rate (GIR) during the clamp. This reduction was due to a decline in peripheral insulin sensitivity with no effect on hepatic endogenous glucose production. The insulin-stimulated ratio of pAktthr308/total Akt decreased after step reduction, with a post hoc analysis revealing the most pronounced effect after 4 h of insulin infusion. In addition, the 2-wk period induced a 7% decline in VO2 max (ml/min; cardiovascular fitness). Lean mass of legs, but not arms and trunk, decreased concurrently. Taken together, one possible biological cause for the public health problem of Type 2 diabetes has been identified. Reduced ambulatory activity for 2 wk in healthy, nonexercising young men significantly reduced peripheral insulin sensitivity, cardiovascular fitness, and lean leg mass.", "author" : [ { "dropping-particle" : "", "family" : "Krogh-Madsen", "given" : "Rikke", "non-dropping-particle" : "", "parse-names" : false, "suffix" : "" }, { "dropping-particle" : "", "family" : "Thyfault", "given" : "John P", "non-dropping-particle" : "", "parse-names" : false, "suffix" : "" }, { "dropping-particle" : "", "family" : "Broholm", "given" : "Christa", "non-dropping-particle" : "", "parse-names" : false, "suffix" : "" }, { "dropping-particle" : "", "family" : "Mortensen", "given" : "Ole Hartvig", "non-dropping-particle" : "", "parse-names" : false, "suffix" : "" }, { "dropping-particle" : "", "family" : "Olsen", "given" : "Rasmus H", "non-dropping-particle" : "", "parse-names" : false, "suffix" : "" }, { "dropping-particle" : "", "family" : "Mounier", "given" : "Remi", "non-dropping-particle" : "", "parse-names" : false, "suffix" : "" }, { "dropping-particle" : "", "family" : "Plomgaard", "given" : "Peter", "non-dropping-particle" : "", "parse-names" : false, "suffix" : "" }, { "dropping-particle" : "", "family" : "Hall", "given" : "Gerrit", "non-dropping-particle" : "van", "parse-names" : false, "suffix" : "" }, { "dropping-particle" : "", "family" : "Booth", "given" : "Frank W", "non-dropping-particle" : "", "parse-names" : false, "suffix" : "" }, { "dropping-particle" : "", "family" : "Pedersen", "given" : "Bente K", "non-dropping-particle" : "", "parse-names" : false, "suffix" : "" } ], "container-title" : "Journal of applied physiology (Bethesda, Md. : 1985)", "id" : "ITEM-2", "issue" : "5", "issued" : { "date-parts" : [ [ "2010", "5" ] ] }, "note" : "From Duplicate 1 ( ", "page" : "1034-1040", "title" : "A 2-wk reduction of ambulatory activity attenuates peripheral insulin sensitivity.", "type" : "article-journal", "volume" : "108" }, "uris" : [ "http://www.mendeley.com/documents/?uuid=e79211db-25b4-4bf9-a2d1-c4c657021667" ] }, { "id" : "ITEM-3", "itemData" : { "DOI" : "10.1210/jc.2013-1502", "ISBN" : "0000000000000", "ISSN" : "0021972X", "PMID" : "23589526", "abstract" : "BACKGROUND: Alterations in muscle protein metabolism underlie age-related muscle atrophy. During periods of muscle disuse, muscle protein synthesis is blunted, and muscle atrophy occurs in young and old. The impact of a short reduction in physical activity on muscle protein metabolism in older adults is unknown.\\n\\nPURPOSE: The aim of this study was to investigate the impact of 14 days of reduced daily steps on fasted and fed-state rates of myofibrillar protein synthesis (MPS) to provide insight into the mechanisms for changes in muscle mass and markers of metabolic health.\\n\\nMETHODS: Before and after 14 days of reduced daily step-count, 10 healthy older adults (age, 72 \u00b1 1 y) underwent measures of insulin sensitivity, muscle strength, physical function, and body composition. Using a primed constant infusion of L-[ring-(13)C6]phenylalanine with serial muscle biopsies, basal, postabsorptive, and postprandial rates of MPS were determined before and after the 14-day intervention.\\n\\nRESULTS: Daily step-count was reduced by approximately 76% to 1413 \u00b1 110 steps per day. Leg fat-free mass was reduced by approximately 3.9% (P &lt; .001). Postabsorptive insulin resistance was increased by approximately 12%, and postprandial insulin sensitivity was reduced by approximately 43% after step reduction (P &lt; .005). Concentrations of TNF-\u03b1 and C-reactive protein were increased by approximately 12 and 25%, respectively, after step reduction (P &lt; .05). Postprandial rates of MPS were reduced by approximately 26% after the intervention (P = .028), with no difference in postabsorptive rates.\\n\\nCONCLUSION: The present study demonstrates that 14 days of reduced steps in older adults induces small but measurable reductions in muscle mass that appear to be underpinned by reductions in postprandial MPS and are accompanied by impairments in insulin sensitivity and systemic inflammatory markers and postprandial MPS.", "author" : [ { "dropping-particle" : "", "family" : "Breen", "given" : "Leigh", "non-dropping-particle" : "", "parse-names" : false, "suffix" : "" }, { "dropping-particle" : "", "family" : "Stokes", "given" : "Keith a.", "non-dropping-particle" : "", "parse-names" : false, "suffix" : "" }, { "dropping-particle" : "", "family" : "Churchward-Venne", "given" : "Tyler a.", "non-dropping-particle" : "", "parse-names" : false, "suffix" : "" }, { "dropping-particle" : "", "family" : "Moore", "given" : "Daniel R.", "non-dropping-particle" : "", "parse-names" : false, "suffix" : "" }, { "dropping-particle" : "", "family" : "Baker", "given" : "Stephen K.", "non-dropping-particle" : "", "parse-names" : false, "suffix" : "" }, { "dropping-particle" : "", "family" : "Smith", "given" : "Kenneth", "non-dropping-particle" : "", "parse-names" : false, "suffix" : "" }, { "dropping-particle" : "", "family" : "Atherton", "given" : "Philip J.", "non-dropping-particle" : "", "parse-names" : false, "suffix" : "" }, { "dropping-particle" : "", "family" : "Phillips", "given" : "Stuart M.", "non-dropping-particle" : "", "parse-names" : false, "suffix" : "" } ], "container-title" : "Journal of Clinical Endocrinology and Metabolism", "id" : "ITEM-3", "issue" : "6", "issued" : { "date-parts" : [ [ "2013", "6" ] ] }, "note" : "From Duplicate 1 ( ", "page" : "2604-2612", "title" : "Two weeks of reduced activity decreases leg lean mass and induces \"anabolic resistance\" of myofibrillar protein synthesis in healthy elderly", "type" : "article-journal", "volume" : "98" }, "uris" : [ "http://www.mendeley.com/documents/?uuid=7b247101-8e58-4f48-a336-f3d4e1f8abfc" ] }, { "id" : "ITEM-4", "itemData" : { "DOI" : "10.1113/jphysiol.2013.262709", "ISBN" : "1469-7793 (Electronic)\\r0022-3751 (Linking)", "ISSN" : "1469-7793", "PMID" : "24167223", "abstract" : "Physical activity can affect many aspects of metabolism but it is unclear to what extent this relies on manipulation of energy balance. Twenty-six active men age 25 \u00b1 7 years (mean \u00b1 SD) were randomly assigned either to consume 50% more energy than normal by over-consuming their habitual diet for 7 days whilst simultaneously restricting their physical activity below 4000 steps day(-1) to induce an energy surplus (SUR group; n = 14) or to the same regimen but with 45 min of daily treadmill running at 70% of maximum oxygen uptake (SUR+EX group; n = 12). Critically, the SUR+EX group received additional dietary energy intake to account for the energy expended by exercise, thus maintaining a matched energy surplus. At baseline and follow-up, fasted blood samples and abdominal subcutaneous adipose tissue biopsies were obtained and oral glucose tolerance tests conducted. Insulinaemic responses to a standard glucose load increased 2-fold from baseline to follow-up in the SUR group (17 \u00b1 16 nmol (120 min) l(-1); P = 0.002) whereas there was no change in the SUR+EX group (1 \u00b1 6 nmol (120 min) l(-1)). Seven of 17 genes within adipose tissue were differentially expressed in the SUR group; expression of SREBP-1c, FAS and GLUT4 was significantly up-regulated and expression of PDK4, IRS2, HSL and visfatin was significantly down-regulated (P \u2264 0.05). The pAMPK/AMPK protein ratio in adipose tissue was significantly down-regulated in the SUR group (P = 0.005). Vigorous-intensity exercise counteracted most of the effects of short-term overfeeding and under-activity at the whole-body level and in adipose tissue, even in the face of a standardised energy surplus.", "author" : [ { "dropping-particle" : "", "family" : "Walhin", "given" : "JP Jean-Philippe", "non-dropping-particle" : "", "parse-names" : false, "suffix" : "" }, { "dropping-particle" : "", "family" : "Richardson", "given" : "JD Judith D", "non-dropping-particle" : "", "parse-names" : false, "suffix" : "" }, { "dropping-particle" : "", "family" : "Betts", "given" : "James a", "non-dropping-particle" : "", "parse-names" : false, "suffix" : "" }, { "dropping-particle" : "", "family" : "Thompson", "given" : "Dylan", "non-dropping-particle" : "", "parse-names" : false, "suffix" : "" } ], "container-title" : "Journal of Physiology", "id" : "ITEM-4", "issue" : "24", "issued" : { "date-parts" : [ [ "2013", "12", "15" ] ] }, "page" : "1-38", "title" : "Exercise counteracts the effects of short-term overfeeding and reduced physical activity independent of energy imbalance in healthy young men", "type" : "article-journal", "volume" : "591" }, "uris" : [ "http://www.mendeley.com/documents/?uuid=f251daef-7658-4d84-b0a9-7b26ccda647d" ] } ], "mendeley" : { "formattedCitation" : "&lt;sup&gt;75,78,79,82&lt;/sup&gt;", "plainTextFormattedCitation" : "75,78,79,82", "previouslyFormattedCitation" : "&lt;sup&gt;75,78,79,82&lt;/sup&gt;"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75,78,79,82</w:t>
      </w:r>
      <w:r>
        <w:rPr>
          <w:rFonts w:cs="Times New Roman"/>
        </w:rPr>
        <w:fldChar w:fldCharType="end"/>
      </w:r>
      <w:r>
        <w:rPr>
          <w:rFonts w:cs="Times New Roman"/>
        </w:rPr>
        <w:t>. Unfortunately, the use of MRI to assess changes in body composition in this study was financially prohibitive, but as this study shows, the use of MRI should be considered critical for the accurate determination of changes in body composition in future studies using the SR model. Of note are some recent unpublished findings (Dr. D.R. Moore, personal communication) from a study in older people undergoing SR, conducted by our group</w:t>
      </w:r>
      <w:r>
        <w:rPr>
          <w:rFonts w:cs="Times New Roman"/>
        </w:rPr>
        <w:fldChar w:fldCharType="begin" w:fldLock="1"/>
      </w:r>
      <w:r w:rsidR="000709FC">
        <w:rPr>
          <w:rFonts w:cs="Times New Roman"/>
        </w:rPr>
        <w:instrText>ADDIN CSL_CITATION { "citationItems" : [ { "id" : "ITEM-1", "itemData" : { "author" : [ { "dropping-particle" : "", "family" : "Devries", "given" : "M", "non-dropping-particle" : "", "parse-names" : false, "suffix" : "" }, { "dropping-particle" : "", "family" : "Breen", "given" : "L", "non-dropping-particle" : "", "parse-names" : false, "suffix" : "" }, { "dropping-particle" : "", "family" : "Allmen", "given" : "M", "non-dropping-particle" : "von", "parse-names" : false, "suffix" : "" }, { "dropping-particle" : "", "family" : "Moore", "given" : "D", "non-dropping-particle" : "", "parse-names" : false, "suffix" : "" }, { "dropping-particle" : "", "family" : "Phillips", "given" : "SM", "non-dropping-particle" : "", "parse-names" : false, "suffix" : "" } ], "container-title" : "Unpublished - personal communication", "id" : "ITEM-1", "issued" : { "date-parts" : [ [ "0" ] ] }, "title" : "Low-load resistance training during step-reduction attenuates declines in muscle mass and strength and enhances anabolic sensitivity in older men", "type" : "article-journal" }, "uris" : [ "http://www.mendeley.com/documents/?uuid=5cdfb8ee-470a-446b-aab6-1051a07d2fae" ] } ], "mendeley" : { "formattedCitation" : "&lt;sup&gt;89&lt;/sup&gt;", "plainTextFormattedCitation" : "89", "previouslyFormattedCitation" : "&lt;sup&gt;89&lt;/sup&gt;"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89</w:t>
      </w:r>
      <w:r>
        <w:rPr>
          <w:rFonts w:cs="Times New Roman"/>
        </w:rPr>
        <w:fldChar w:fldCharType="end"/>
      </w:r>
      <w:r>
        <w:rPr>
          <w:rFonts w:cs="Times New Roman"/>
        </w:rPr>
        <w:t>, in which participants had a 1.4% reduction in leg LM. This reduction was accompanied by a reduction of mean muscle fibre CSA by 19% (4634+/- 276 vs. 3824 ± 160 µm</w:t>
      </w:r>
      <w:r w:rsidRPr="00D72002">
        <w:rPr>
          <w:rFonts w:cs="Times New Roman"/>
          <w:vertAlign w:val="superscript"/>
        </w:rPr>
        <w:t>2</w:t>
      </w:r>
      <w:r>
        <w:rPr>
          <w:rFonts w:cs="Times New Roman"/>
        </w:rPr>
        <w:t>; p&lt;0.05), but in a fibre-type specific manner with a difference of 25% (4510 ± 422 vs. 3346 ± 181</w:t>
      </w:r>
      <w:r w:rsidRPr="00CF1CE2">
        <w:rPr>
          <w:rFonts w:cs="Times New Roman"/>
        </w:rPr>
        <w:t xml:space="preserve"> </w:t>
      </w:r>
      <w:r>
        <w:rPr>
          <w:rFonts w:cs="Times New Roman"/>
        </w:rPr>
        <w:t>µm</w:t>
      </w:r>
      <w:r w:rsidRPr="00D72002">
        <w:rPr>
          <w:rFonts w:cs="Times New Roman"/>
          <w:vertAlign w:val="superscript"/>
        </w:rPr>
        <w:t>2</w:t>
      </w:r>
      <w:r>
        <w:rPr>
          <w:rFonts w:cs="Times New Roman"/>
        </w:rPr>
        <w:t>; p&lt;0.05) in type-II muscle fibre CSA. Thus, we propose that our changes, while small when only DXA is concerned, are manifested at the fibre level as well.</w:t>
      </w:r>
    </w:p>
    <w:p w14:paraId="1EEAB058" w14:textId="03D8B735" w:rsidR="00DA792D" w:rsidRDefault="00DA792D" w:rsidP="00DA792D">
      <w:pPr>
        <w:spacing w:line="480" w:lineRule="auto"/>
        <w:ind w:firstLine="720"/>
        <w:rPr>
          <w:rFonts w:cs="Times New Roman"/>
        </w:rPr>
      </w:pPr>
      <w:r>
        <w:rPr>
          <w:rFonts w:cs="Times New Roman"/>
        </w:rPr>
        <w:t>Another potential explanation for the lack of change in body composition in this study was a lack of adherence to the SR protocol. However, armband-worn accelerometer measures (not visible to the subject) provided an unbiased estimation of daily steps and PA that shows participants did in fact adhere to the protocol and reduced their steps and PA. These findings should be sufficient to determine that compliance was not an issue, yet findings of other studies have shown just how small the muscular stimulus needs to be to offset muscular unloading (bed rest) or complete disuse (limb immobilization). In young men as little as 140 high-load muscle contractions attenuated muscle atrophy associated with knee immobilization</w:t>
      </w:r>
      <w:r>
        <w:rPr>
          <w:rFonts w:cs="Times New Roman"/>
        </w:rPr>
        <w:fldChar w:fldCharType="begin" w:fldLock="1"/>
      </w:r>
      <w:r w:rsidR="002463EB">
        <w:rPr>
          <w:rFonts w:cs="Times New Roman"/>
        </w:rPr>
        <w:instrText>ADDIN CSL_CITATION { "citationItems" : [ { "id" : "ITEM-1", "itemData" : { "DOI" : "10.1002/mus.21721", "ISSN" : "1097-4598", "PMID" : "20658567", "abstract" : "We determined the effectiveness of low-volume resistance exercise (EX) for the attenuation of loss of muscle mass and strength during leg immobilization. Men (N = 5) and women (N = 12, age 24 \u00b1 5 years, body mass index 25.4 \u00b1 3.6 kg/m(2)) were divided into two groups: exercise (EX; n = 12) and control (CON; n = 5). Subjects wore a knee brace on one leg that prevented weight bearing for 14 days. Resistance exercise (EX; 80% of maximal) was performed by the immobilized limb every other day. Immobilization induced a significant reduction (P &lt; 0.05) in muscle fiber and thigh cross-sectional area (CSA), isometric knee extensor, and plantarflexor strength in the CON (P &lt; 0.01) but not in the EX group. There were significant losses in triceps surae CSA in the CON and EX groups (P &lt; 0.05), but the losses were greater in CON subjects (P &lt; 0.01). A minimal volume (140 contractions in 14 days) of resistive exercise is an effective countermeasure against immobilization-induced atrophy of the quadriceps femoris but is only partially effective for the triceps surae.", "author" : [ { "dropping-particle" : "", "family" : "Oates", "given" : "Bryan R", "non-dropping-particle" : "", "parse-names" : false, "suffix" : "" }, { "dropping-particle" : "", "family" : "Glover", "given" : "Elisa I", "non-dropping-particle" : "", "parse-names" : false, "suffix" : "" }, { "dropping-particle" : "", "family" : "West", "given" : "Daniel W", "non-dropping-particle" : "", "parse-names" : false, "suffix" : "" }, { "dropping-particle" : "", "family" : "Fry", "given" : "Jessica L", "non-dropping-particle" : "", "parse-names" : false, "suffix" : "" }, { "dropping-particle" : "", "family" : "Tarnopolsky", "given" : "Mark a", "non-dropping-particle" : "", "parse-names" : false, "suffix" : "" }, { "dropping-particle" : "", "family" : "Phillips", "given" : "Stuart M", "non-dropping-particle" : "", "parse-names" : false, "suffix" : "" } ], "container-title" : "Muscle &amp; nerve", "id" : "ITEM-1", "issue" : "4", "issued" : { "date-parts" : [ [ "2010", "10" ] ] }, "page" : "539-46", "title" : "Low-volume resistance exercise attenuates the decline in strength and muscle mass associated with immobilization.", "type" : "article-journal", "volume" : "42" }, "uris" : [ "http://www.mendeley.com/documents/?uuid=958b694a-6176-403c-b0f1-27708353488c" ] } ], "mendeley" : { "formattedCitation" : "&lt;sup&gt;135&lt;/sup&gt;", "plainTextFormattedCitation" : "135", "previouslyFormattedCitation" : "&lt;sup&gt;135&lt;/sup&gt;"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135</w:t>
      </w:r>
      <w:r>
        <w:rPr>
          <w:rFonts w:cs="Times New Roman"/>
        </w:rPr>
        <w:fldChar w:fldCharType="end"/>
      </w:r>
      <w:r>
        <w:rPr>
          <w:rFonts w:cs="Times New Roman"/>
        </w:rPr>
        <w:t>, while daily isometric contractions prevented muscle atrophy during 20 days of bed rest</w:t>
      </w:r>
      <w:r>
        <w:rPr>
          <w:rFonts w:cs="Times New Roman"/>
        </w:rPr>
        <w:fldChar w:fldCharType="begin" w:fldLock="1"/>
      </w:r>
      <w:r w:rsidR="002463EB">
        <w:rPr>
          <w:rFonts w:cs="Times New Roman"/>
        </w:rPr>
        <w:instrText>ADDIN CSL_CITATION { "citationItems" : [ { "id" : "ITEM-1", "itemData" : { "DOI" : "10.1007/s004210050648", "ISBN" : "8135454686", "ISSN" : "1439-6319", "PMID" : "10879440", "abstract" : "The purpose of this study was to investigate the effects of resistance training on the morphological and functional properties of human lower limb muscles during 20 days of 6 degrees head-down-tilt bed rest. Nine men were randomly assigned to the resistance training group (BR-Tr, n = 5) or the non-training, control group (BR-Cont, n = 4). Isometric leg-press exercises were performed: 3 s x 30 repetitions (30 s rest between repetitions) daily for 20 days during the bed-rest period. Serial axial magnetic resonance images were taken from the right thigh and leg muscles, and muscle volume, muscle length, and fibre length were estimated. The physiological cross-sectional areas (PCSAs) of the knee extensor, knee flexor, ankle plantarflexor, and ankle dorsiflexor (tibialis anterior) muscle groups were determined as muscle volume multiplied by the cosine of the angle of fibre pennation divided by fibre length. Maximum voluntary contraction (MVC) during knee extension was measured. No significant changes were observed in the PCSA of the knee extensor muscles in BR-Tr group, whereas the PCSA in the BR-Cont group decreased by 7.8%. The PCSA of the knee flexor and plantarflexor muscles in the BR-Tr group and BR-Cont group significantly decreased after bed rest (knee flexors, 10.2% and 11.5%; plantarflexors, 13.0% and 12.8%, respectively). However, in both groups bed rest had no effect on the muscle volume and PCSA of the tibialis anterior. MVC was maintained by resistance training in the BR-Tr group (decreased by 1%). In contrast, a decline of strength was observed in the BR-Cont group (-16%), but this result was not statistically significant. These results suggest that isometric leg-press training prevents the deconditioning (i.e. atrophy and decline of strength) of the knee extensor muscle group.", "author" : [ { "dropping-particle" : "", "family" : "Akima", "given" : "H", "non-dropping-particle" : "", "parse-names" : false, "suffix" : "" }, { "dropping-particle" : "", "family" : "Kubo", "given" : "K", "non-dropping-particle" : "", "parse-names" : false, "suffix" : "" }, { "dropping-particle" : "", "family" : "Kanehisa", "given" : "H", "non-dropping-particle" : "", "parse-names" : false, "suffix" : "" }, { "dropping-particle" : "", "family" : "Suzuki", "given" : "Y", "non-dropping-particle" : "", "parse-names" : false, "suffix" : "" }, { "dropping-particle" : "", "family" : "Gunji", "given" : "a", "non-dropping-particle" : "", "parse-names" : false, "suffix" : "" }, { "dropping-particle" : "", "family" : "Fukunaga", "given" : "T", "non-dropping-particle" : "", "parse-names" : false, "suffix" : "" } ], "container-title" : "European journal of applied physiology", "id" : "ITEM-1", "issue" : "1-2", "issued" : { "date-parts" : [ [ "2000" ] ] }, "page" : "30-38", "title" : "Leg-press resistance training during 20 days of 6 degrees head-down-tilt bed rest prevents muscle deconditioning.", "type" : "article-journal", "volume" : "82" }, "uris" : [ "http://www.mendeley.com/documents/?uuid=0ba61c2b-6ed1-4533-a653-030f2b795576" ] } ], "mendeley" : { "formattedCitation" : "&lt;sup&gt;136&lt;/sup&gt;", "plainTextFormattedCitation" : "136", "previouslyFormattedCitation" : "&lt;sup&gt;136&lt;/sup&gt;"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136</w:t>
      </w:r>
      <w:r>
        <w:rPr>
          <w:rFonts w:cs="Times New Roman"/>
        </w:rPr>
        <w:fldChar w:fldCharType="end"/>
      </w:r>
      <w:r>
        <w:rPr>
          <w:rFonts w:cs="Times New Roman"/>
        </w:rPr>
        <w:t xml:space="preserve">. Furthermore, Devries </w:t>
      </w:r>
      <w:r w:rsidRPr="003274B7">
        <w:rPr>
          <w:rFonts w:cs="Times New Roman"/>
        </w:rPr>
        <w:t>et al</w:t>
      </w:r>
      <w:r w:rsidRPr="00E15550">
        <w:rPr>
          <w:rFonts w:cs="Times New Roman"/>
        </w:rPr>
        <w:t>.</w:t>
      </w:r>
      <w:r w:rsidR="00E15550">
        <w:rPr>
          <w:rFonts w:cs="Times New Roman"/>
        </w:rPr>
        <w:fldChar w:fldCharType="begin" w:fldLock="1"/>
      </w:r>
      <w:r w:rsidR="000709FC">
        <w:rPr>
          <w:rFonts w:cs="Times New Roman"/>
        </w:rPr>
        <w:instrText>ADDIN CSL_CITATION { "citationItems" : [ { "id" : "ITEM-1", "itemData" : { "author" : [ { "dropping-particle" : "", "family" : "Devries", "given" : "M", "non-dropping-particle" : "", "parse-names" : false, "suffix" : "" }, { "dropping-particle" : "", "family" : "Breen", "given" : "L", "non-dropping-particle" : "", "parse-names" : false, "suffix" : "" }, { "dropping-particle" : "", "family" : "Allmen", "given" : "M", "non-dropping-particle" : "von", "parse-names" : false, "suffix" : "" }, { "dropping-particle" : "", "family" : "Moore", "given" : "D", "non-dropping-particle" : "", "parse-names" : false, "suffix" : "" }, { "dropping-particle" : "", "family" : "Phillips", "given" : "SM", "non-dropping-particle" : "", "parse-names" : false, "suffix" : "" } ], "container-title" : "Unpublished - personal communication", "id" : "ITEM-1", "issued" : { "date-parts" : [ [ "0" ] ] }, "title" : "Low-load resistance training during step-reduction attenuates declines in muscle mass and strength and enhances anabolic sensitivity in older men", "type" : "article-journal" }, "uris" : [ "http://www.mendeley.com/documents/?uuid=5cdfb8ee-470a-446b-aab6-1051a07d2fae" ] } ], "mendeley" : { "formattedCitation" : "&lt;sup&gt;89&lt;/sup&gt;", "plainTextFormattedCitation" : "89", "previouslyFormattedCitation" : "&lt;sup&gt;89&lt;/sup&gt;" }, "properties" : { "noteIndex" : 0 }, "schema" : "https://github.com/citation-style-language/schema/raw/master/csl-citation.json" }</w:instrText>
      </w:r>
      <w:r w:rsidR="00E15550">
        <w:rPr>
          <w:rFonts w:cs="Times New Roman"/>
        </w:rPr>
        <w:fldChar w:fldCharType="separate"/>
      </w:r>
      <w:r w:rsidR="003D1F84" w:rsidRPr="003D1F84">
        <w:rPr>
          <w:rFonts w:cs="Times New Roman"/>
          <w:noProof/>
          <w:vertAlign w:val="superscript"/>
        </w:rPr>
        <w:t>89</w:t>
      </w:r>
      <w:r w:rsidR="00E15550">
        <w:rPr>
          <w:rFonts w:cs="Times New Roman"/>
        </w:rPr>
        <w:fldChar w:fldCharType="end"/>
      </w:r>
      <w:r>
        <w:rPr>
          <w:rFonts w:cs="Times New Roman"/>
        </w:rPr>
        <w:t xml:space="preserve"> found that low-load resistance exercise thrice weekly was able to ablate two weeks of SR-induced muscle atrophy. In the current study participants were explicitly asked to refrain from any form of exercise while in the SR phase and were frequently contacted to ensure compliance, but participants remained out of the laboratory environment for at least 10 consecutive days during SR and inadvertent isometric contractions or </w:t>
      </w:r>
      <w:r w:rsidR="00E53C2D">
        <w:rPr>
          <w:rFonts w:cs="Times New Roman"/>
        </w:rPr>
        <w:t>PA</w:t>
      </w:r>
      <w:r>
        <w:rPr>
          <w:rFonts w:cs="Times New Roman"/>
        </w:rPr>
        <w:t xml:space="preserve"> (not recorded by the armband accelerometers) could not be accounted for. It is unlikely that the SR protocol undergone by participants was not a sufficient degree of disuse, but the 973 ± 76 steps per day completed during SR are at least ~25% greater than the ~600-750 steps per day completed by hospitalized patients</w:t>
      </w:r>
      <w:r>
        <w:rPr>
          <w:rFonts w:cs="Times New Roman"/>
        </w:rPr>
        <w:fldChar w:fldCharType="begin" w:fldLock="1"/>
      </w:r>
      <w:r w:rsidR="00225DB1">
        <w:rPr>
          <w:rFonts w:cs="Times New Roman"/>
        </w:rPr>
        <w:instrText>ADDIN CSL_CITATION { "citationItems" : [ { "id" : "ITEM-1", "itemData" : { "DOI" : "10.1093/ageing/afr127", "ISSN" : "00020729", "PMID" : "21948856", "author" : [ { "dropping-particle" : "", "family" : "Fryer", "given" : "Caroline", "non-dropping-particle" : "", "parse-names" : false, "suffix" : "" }, { "dropping-particle" : "", "family" : "Mackintosh", "given" : "Shylie", "non-dropping-particle" : "", "parse-names" : false, "suffix" : "" }, { "dropping-particle" : "", "family" : "Batchelor", "given" : "Frances", "non-dropping-particle" : "", "parse-names" : false, "suffix" : "" }, { "dropping-particle" : "", "family" : "Hill", "given" : "Keith", "non-dropping-particle" : "", "parse-names" : false, "suffix" : "" }, { "dropping-particle" : "", "family" : "Said", "given" : "Catherine", "non-dropping-particle" : "", "parse-names" : false, "suffix" : "" } ], "container-title" : "Age and Ageing", "id" : "ITEM-1", "issue" : "1", "issued" : { "date-parts" : [ [ "2012", "1" ] ] }, "page" : "104-107", "title" : "The effect of limited english proficiency on falls risk and falls prevention after stroke", "type" : "article-journal", "volume" : "41" }, "uris" : [ "http://www.mendeley.com/documents/?uuid=64138028-98e2-4536-8fad-39ee3c1bd7fe" ] }, { "id" : "ITEM-2", "itemData" : { "DOI" : "10.1111/j.1532-5415.2010.03202.x.Ambulatory", "author" : [ { "dropping-particle" : "", "family" : "Fisher", "given" : "Sr", "non-dropping-particle" : "", "parse-names" : false, "suffix" : "" }, { "dropping-particle" : "", "family" : "Goodwin", "given" : "Js", "non-dropping-particle" : "", "parse-names" : false, "suffix" : "" }, { "dropping-particle" : "", "family" : "Protas", "given" : "Elizabeth J", "non-dropping-particle" : "", "parse-names" : false, "suffix" : "" }, { "dropping-particle" : "", "family" : "Kuo", "given" : "Yong-Fan", "non-dropping-particle" : "", "parse-names" : false, "suffix" : "" }, { "dropping-particle" : "", "family" : "Graham", "given" : "James E", "non-dropping-particle" : "", "parse-names" : false, "suffix" : "" }, { "dropping-particle" : "", "family" : "Ottenbacker", "given" : "Kenneth J", "non-dropping-particle" : "", "parse-names" : false, "suffix" : "" }, { "dropping-particle" : "V", "family" : "Ostir", "given" : "Glenn", "non-dropping-particle" : "", "parse-names" : false, "suffix" : "" } ], "container-title" : "Journal of the \u2026", "id" : "ITEM-2", "issue" : "1", "issued" : { "date-parts" : [ [ "2011" ] ] }, "page" : "91-95", "title" : "Ambulatory Activity of Older Adults Hospitalized with Acute Medical Illness", "type" : "article-journal", "volume" : "59" }, "uris" : [ "http://www.mendeley.com/documents/?uuid=165f34e4-d25f-48e8-979d-06e576766711" ] } ], "mendeley" : { "formattedCitation" : "&lt;sup&gt;71,72&lt;/sup&gt;", "plainTextFormattedCitation" : "71,72", "previouslyFormattedCitation" : "&lt;sup&gt;71,72&lt;/sup&gt;"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71,72</w:t>
      </w:r>
      <w:r>
        <w:rPr>
          <w:rFonts w:cs="Times New Roman"/>
        </w:rPr>
        <w:fldChar w:fldCharType="end"/>
      </w:r>
      <w:r>
        <w:rPr>
          <w:rFonts w:cs="Times New Roman"/>
        </w:rPr>
        <w:t xml:space="preserve"> and thus findings of muscular atrophy seen here would likely be of even greater relevance in hospitalized patients with compounding pathologies.</w:t>
      </w:r>
    </w:p>
    <w:p w14:paraId="2C7BD0C0" w14:textId="77777777" w:rsidR="00DA792D" w:rsidRDefault="00DA792D" w:rsidP="006C36C2">
      <w:pPr>
        <w:keepNext/>
        <w:spacing w:line="480" w:lineRule="auto"/>
        <w:jc w:val="both"/>
      </w:pPr>
      <w:r>
        <w:rPr>
          <w:rFonts w:cs="Times New Roman"/>
          <w:noProof/>
          <w:lang w:val="en-US" w:eastAsia="en-US"/>
        </w:rPr>
        <w:drawing>
          <wp:inline distT="0" distB="0" distL="0" distR="0" wp14:anchorId="063C9761" wp14:editId="4A9EB7CA">
            <wp:extent cx="4569146" cy="2788642"/>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M vs Error.pdf"/>
                    <pic:cNvPicPr/>
                  </pic:nvPicPr>
                  <pic:blipFill>
                    <a:blip r:embed="rId26">
                      <a:extLst>
                        <a:ext uri="{28A0092B-C50C-407E-A947-70E740481C1C}">
                          <a14:useLocalDpi xmlns:a14="http://schemas.microsoft.com/office/drawing/2010/main" val="0"/>
                        </a:ext>
                      </a:extLst>
                    </a:blip>
                    <a:stretch>
                      <a:fillRect/>
                    </a:stretch>
                  </pic:blipFill>
                  <pic:spPr>
                    <a:xfrm>
                      <a:off x="0" y="0"/>
                      <a:ext cx="4569146" cy="2788642"/>
                    </a:xfrm>
                    <a:prstGeom prst="rect">
                      <a:avLst/>
                    </a:prstGeom>
                  </pic:spPr>
                </pic:pic>
              </a:graphicData>
            </a:graphic>
          </wp:inline>
        </w:drawing>
      </w:r>
    </w:p>
    <w:p w14:paraId="250412BE" w14:textId="4EFEEFA5" w:rsidR="00DA792D" w:rsidRDefault="00DA792D" w:rsidP="00DA792D">
      <w:pPr>
        <w:pStyle w:val="Caption"/>
        <w:rPr>
          <w:b w:val="0"/>
          <w:color w:val="auto"/>
          <w:sz w:val="24"/>
          <w:szCs w:val="24"/>
        </w:rPr>
      </w:pPr>
      <w:r w:rsidRPr="00D545B1">
        <w:rPr>
          <w:color w:val="auto"/>
          <w:sz w:val="24"/>
          <w:szCs w:val="24"/>
        </w:rPr>
        <w:t xml:space="preserve">Figure </w:t>
      </w:r>
      <w:r w:rsidR="00921F88">
        <w:rPr>
          <w:color w:val="auto"/>
          <w:sz w:val="24"/>
          <w:szCs w:val="24"/>
        </w:rPr>
        <w:t>1</w:t>
      </w:r>
      <w:r w:rsidRPr="00D545B1">
        <w:rPr>
          <w:color w:val="auto"/>
          <w:sz w:val="24"/>
          <w:szCs w:val="24"/>
        </w:rPr>
        <w:t>3.</w:t>
      </w:r>
      <w:r w:rsidRPr="00D545B1">
        <w:rPr>
          <w:b w:val="0"/>
          <w:color w:val="auto"/>
          <w:sz w:val="24"/>
          <w:szCs w:val="24"/>
        </w:rPr>
        <w:t xml:space="preserve"> The change in leg </w:t>
      </w:r>
      <w:r>
        <w:rPr>
          <w:b w:val="0"/>
          <w:color w:val="auto"/>
          <w:sz w:val="24"/>
          <w:szCs w:val="24"/>
        </w:rPr>
        <w:t>LM</w:t>
      </w:r>
      <w:r w:rsidR="00921F88">
        <w:rPr>
          <w:b w:val="0"/>
          <w:color w:val="auto"/>
          <w:sz w:val="24"/>
          <w:szCs w:val="24"/>
        </w:rPr>
        <w:t xml:space="preserve"> from BL to SR with DXA measurement error</w:t>
      </w:r>
      <w:r w:rsidRPr="00D545B1">
        <w:rPr>
          <w:b w:val="0"/>
          <w:color w:val="auto"/>
          <w:sz w:val="24"/>
          <w:szCs w:val="24"/>
        </w:rPr>
        <w:t xml:space="preserve">. Each participant represented by an individual </w:t>
      </w:r>
      <w:r>
        <w:rPr>
          <w:b w:val="0"/>
          <w:color w:val="auto"/>
          <w:sz w:val="24"/>
          <w:szCs w:val="24"/>
        </w:rPr>
        <w:t>bar</w:t>
      </w:r>
      <w:r w:rsidRPr="00D545B1">
        <w:rPr>
          <w:b w:val="0"/>
          <w:color w:val="auto"/>
          <w:sz w:val="24"/>
          <w:szCs w:val="24"/>
        </w:rPr>
        <w:t xml:space="preserve">, ranked </w:t>
      </w:r>
      <w:r>
        <w:rPr>
          <w:b w:val="0"/>
          <w:color w:val="auto"/>
          <w:sz w:val="24"/>
          <w:szCs w:val="24"/>
        </w:rPr>
        <w:t>by absolute change</w:t>
      </w:r>
      <w:r w:rsidRPr="00D545B1">
        <w:rPr>
          <w:b w:val="0"/>
          <w:color w:val="auto"/>
          <w:sz w:val="24"/>
          <w:szCs w:val="24"/>
        </w:rPr>
        <w:t>. Dotted line represents lower limit (</w:t>
      </w:r>
      <w:r>
        <w:rPr>
          <w:b w:val="0"/>
          <w:color w:val="auto"/>
          <w:sz w:val="24"/>
          <w:szCs w:val="24"/>
        </w:rPr>
        <w:t xml:space="preserve">± </w:t>
      </w:r>
      <w:r w:rsidRPr="00D545B1">
        <w:rPr>
          <w:b w:val="0"/>
          <w:color w:val="auto"/>
          <w:sz w:val="24"/>
          <w:szCs w:val="24"/>
        </w:rPr>
        <w:t>400 g) and hashed line represents upper limit (</w:t>
      </w:r>
      <w:r>
        <w:rPr>
          <w:b w:val="0"/>
          <w:color w:val="auto"/>
          <w:sz w:val="24"/>
          <w:szCs w:val="24"/>
        </w:rPr>
        <w:t xml:space="preserve">± </w:t>
      </w:r>
      <w:r w:rsidRPr="00D545B1">
        <w:rPr>
          <w:b w:val="0"/>
          <w:color w:val="auto"/>
          <w:sz w:val="24"/>
          <w:szCs w:val="24"/>
        </w:rPr>
        <w:t>1300 g) of FFM DXA measurement error.</w:t>
      </w:r>
      <w:r w:rsidR="000541AF" w:rsidRPr="000541AF">
        <w:rPr>
          <w:b w:val="0"/>
          <w:color w:val="auto"/>
          <w:sz w:val="24"/>
          <w:szCs w:val="24"/>
        </w:rPr>
        <w:t xml:space="preserve"> </w:t>
      </w:r>
      <w:proofErr w:type="gramStart"/>
      <w:r w:rsidR="000541AF">
        <w:rPr>
          <w:b w:val="0"/>
          <w:color w:val="auto"/>
          <w:sz w:val="24"/>
          <w:szCs w:val="24"/>
        </w:rPr>
        <w:t>n</w:t>
      </w:r>
      <w:proofErr w:type="gramEnd"/>
      <w:r w:rsidR="000541AF">
        <w:rPr>
          <w:b w:val="0"/>
          <w:color w:val="auto"/>
          <w:sz w:val="24"/>
          <w:szCs w:val="24"/>
        </w:rPr>
        <w:t>=10 (6 men and 4 women)</w:t>
      </w:r>
      <w:r w:rsidR="000541AF" w:rsidRPr="00D36817">
        <w:rPr>
          <w:b w:val="0"/>
          <w:color w:val="auto"/>
          <w:sz w:val="24"/>
          <w:szCs w:val="24"/>
        </w:rPr>
        <w:t>.</w:t>
      </w:r>
    </w:p>
    <w:p w14:paraId="284FD752" w14:textId="77777777" w:rsidR="00DA792D" w:rsidRPr="00434488" w:rsidRDefault="00DA792D" w:rsidP="00DA792D"/>
    <w:p w14:paraId="1A042588" w14:textId="77777777" w:rsidR="00DA792D" w:rsidRDefault="00DA792D" w:rsidP="00DA792D">
      <w:pPr>
        <w:pStyle w:val="Heading3"/>
      </w:pPr>
      <w:bookmarkStart w:id="66" w:name="_Toc296814810"/>
      <w:bookmarkStart w:id="67" w:name="_Toc296932789"/>
      <w:r>
        <w:t>ISO-MVC</w:t>
      </w:r>
      <w:bookmarkEnd w:id="66"/>
      <w:bookmarkEnd w:id="67"/>
      <w:r>
        <w:t xml:space="preserve"> </w:t>
      </w:r>
    </w:p>
    <w:p w14:paraId="2C20837C" w14:textId="29D4C822" w:rsidR="00DA792D" w:rsidRDefault="00DA792D" w:rsidP="00DA792D">
      <w:pPr>
        <w:spacing w:line="480" w:lineRule="auto"/>
        <w:ind w:firstLine="720"/>
        <w:rPr>
          <w:rFonts w:cs="Times New Roman"/>
        </w:rPr>
      </w:pPr>
      <w:r>
        <w:rPr>
          <w:rFonts w:cs="Times New Roman"/>
        </w:rPr>
        <w:t>The impact of SR on skeletal muscle function remains contentious. For example, Breen et al.</w:t>
      </w:r>
      <w:r>
        <w:rPr>
          <w:rFonts w:cs="Times New Roman"/>
        </w:rPr>
        <w:fldChar w:fldCharType="begin" w:fldLock="1"/>
      </w:r>
      <w:r w:rsidR="00225DB1">
        <w:rPr>
          <w:rFonts w:cs="Times New Roman"/>
        </w:rPr>
        <w:instrText>ADDIN CSL_CITATION { "citationItems" : [ { "id" : "ITEM-1", "itemData" : { "DOI" : "10.1210/jc.2013-1502", "ISBN" : "0000000000000", "ISSN" : "0021972X", "PMID" : "23589526", "abstract" : "BACKGROUND: Alterations in muscle protein metabolism underlie age-related muscle atrophy. During periods of muscle disuse, muscle protein synthesis is blunted, and muscle atrophy occurs in young and old. The impact of a short reduction in physical activity on muscle protein metabolism in older adults is unknown.\\n\\nPURPOSE: The aim of this study was to investigate the impact of 14 days of reduced daily steps on fasted and fed-state rates of myofibrillar protein synthesis (MPS) to provide insight into the mechanisms for changes in muscle mass and markers of metabolic health.\\n\\nMETHODS: Before and after 14 days of reduced daily step-count, 10 healthy older adults (age, 72 \u00b1 1 y) underwent measures of insulin sensitivity, muscle strength, physical function, and body composition. Using a primed constant infusion of L-[ring-(13)C6]phenylalanine with serial muscle biopsies, basal, postabsorptive, and postprandial rates of MPS were determined before and after the 14-day intervention.\\n\\nRESULTS: Daily step-count was reduced by approximately 76% to 1413 \u00b1 110 steps per day. Leg fat-free mass was reduced by approximately 3.9% (P &lt; .001). Postabsorptive insulin resistance was increased by approximately 12%, and postprandial insulin sensitivity was reduced by approximately 43% after step reduction (P &lt; .005). Concentrations of TNF-\u03b1 and C-reactive protein were increased by approximately 12 and 25%, respectively, after step reduction (P &lt; .05). Postprandial rates of MPS were reduced by approximately 26% after the intervention (P = .028), with no difference in postabsorptive rates.\\n\\nCONCLUSION: The present study demonstrates that 14 days of reduced steps in older adults induces small but measurable reductions in muscle mass that appear to be underpinned by reductions in postprandial MPS and are accompanied by impairments in insulin sensitivity and systemic inflammatory markers and postprandial MPS.", "author" : [ { "dropping-particle" : "", "family" : "Breen", "given" : "Leigh", "non-dropping-particle" : "", "parse-names" : false, "suffix" : "" }, { "dropping-particle" : "", "family" : "Stokes", "given" : "Keith a.", "non-dropping-particle" : "", "parse-names" : false, "suffix" : "" }, { "dropping-particle" : "", "family" : "Churchward-Venne", "given" : "Tyler a.", "non-dropping-particle" : "", "parse-names" : false, "suffix" : "" }, { "dropping-particle" : "", "family" : "Moore", "given" : "Daniel R.", "non-dropping-particle" : "", "parse-names" : false, "suffix" : "" }, { "dropping-particle" : "", "family" : "Baker", "given" : "Stephen K.", "non-dropping-particle" : "", "parse-names" : false, "suffix" : "" }, { "dropping-particle" : "", "family" : "Smith", "given" : "Kenneth", "non-dropping-particle" : "", "parse-names" : false, "suffix" : "" }, { "dropping-particle" : "", "family" : "Atherton", "given" : "Philip J.", "non-dropping-particle" : "", "parse-names" : false, "suffix" : "" }, { "dropping-particle" : "", "family" : "Phillips", "given" : "Stuart M.", "non-dropping-particle" : "", "parse-names" : false, "suffix" : "" } ], "container-title" : "Journal of Clinical Endocrinology and Metabolism", "id" : "ITEM-1", "issue" : "6", "issued" : { "date-parts" : [ [ "2013", "6" ] ] }, "note" : "From Duplicate 1 ( ", "page" : "2604-2612", "title" : "Two weeks of reduced activity decreases leg lean mass and induces \"anabolic resistance\" of myofibrillar protein synthesis in healthy elderly", "type" : "article-journal", "volume" : "98" }, "uris" : [ "http://www.mendeley.com/documents/?uuid=7b247101-8e58-4f48-a336-f3d4e1f8abfc" ] } ], "mendeley" : { "formattedCitation" : "&lt;sup&gt;82&lt;/sup&gt;", "plainTextFormattedCitation" : "82", "previouslyFormattedCitation" : "&lt;sup&gt;82&lt;/sup&gt;"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82</w:t>
      </w:r>
      <w:r>
        <w:rPr>
          <w:rFonts w:cs="Times New Roman"/>
        </w:rPr>
        <w:fldChar w:fldCharType="end"/>
      </w:r>
      <w:r>
        <w:rPr>
          <w:rFonts w:cs="Times New Roman"/>
        </w:rPr>
        <w:t xml:space="preserve"> reported no change in peak torque production using ISO-MVC, findings that are in-line with our data. Conversely, Devries et al.</w:t>
      </w:r>
      <w:r w:rsidR="00E15550">
        <w:rPr>
          <w:rFonts w:cs="Times New Roman"/>
        </w:rPr>
        <w:fldChar w:fldCharType="begin" w:fldLock="1"/>
      </w:r>
      <w:r w:rsidR="000709FC">
        <w:rPr>
          <w:rFonts w:cs="Times New Roman"/>
        </w:rPr>
        <w:instrText>ADDIN CSL_CITATION { "citationItems" : [ { "id" : "ITEM-1", "itemData" : { "author" : [ { "dropping-particle" : "", "family" : "Devries", "given" : "M", "non-dropping-particle" : "", "parse-names" : false, "suffix" : "" }, { "dropping-particle" : "", "family" : "Breen", "given" : "L", "non-dropping-particle" : "", "parse-names" : false, "suffix" : "" }, { "dropping-particle" : "", "family" : "Allmen", "given" : "M", "non-dropping-particle" : "von", "parse-names" : false, "suffix" : "" }, { "dropping-particle" : "", "family" : "Moore", "given" : "D", "non-dropping-particle" : "", "parse-names" : false, "suffix" : "" }, { "dropping-particle" : "", "family" : "Phillips", "given" : "SM", "non-dropping-particle" : "", "parse-names" : false, "suffix" : "" } ], "container-title" : "Unpublished - personal communication", "id" : "ITEM-1", "issued" : { "date-parts" : [ [ "0" ] ] }, "title" : "Low-load resistance training during step-reduction attenuates declines in muscle mass and strength and enhances anabolic sensitivity in older men", "type" : "article-journal" }, "uris" : [ "http://www.mendeley.com/documents/?uuid=5cdfb8ee-470a-446b-aab6-1051a07d2fae" ] } ], "mendeley" : { "formattedCitation" : "&lt;sup&gt;89&lt;/sup&gt;", "plainTextFormattedCitation" : "89", "previouslyFormattedCitation" : "&lt;sup&gt;89&lt;/sup&gt;" }, "properties" : { "noteIndex" : 0 }, "schema" : "https://github.com/citation-style-language/schema/raw/master/csl-citation.json" }</w:instrText>
      </w:r>
      <w:r w:rsidR="00E15550">
        <w:rPr>
          <w:rFonts w:cs="Times New Roman"/>
        </w:rPr>
        <w:fldChar w:fldCharType="separate"/>
      </w:r>
      <w:r w:rsidR="003D1F84" w:rsidRPr="003D1F84">
        <w:rPr>
          <w:rFonts w:cs="Times New Roman"/>
          <w:noProof/>
          <w:vertAlign w:val="superscript"/>
        </w:rPr>
        <w:t>89</w:t>
      </w:r>
      <w:r w:rsidR="00E15550">
        <w:rPr>
          <w:rFonts w:cs="Times New Roman"/>
        </w:rPr>
        <w:fldChar w:fldCharType="end"/>
      </w:r>
      <w:r>
        <w:rPr>
          <w:rFonts w:cs="Times New Roman"/>
        </w:rPr>
        <w:t xml:space="preserve"> reported a ~7% loss of strength in older men taking fewer than 1500 steps per day for two weeks. It is possible that the SR protocol did not provide sufficient musculoskeletal unloading to result in a decrement of strength. Fibre type changes during disuse in the elderly are not well characterized with some reports indicating a decrease in type II fibres</w:t>
      </w:r>
      <w:r>
        <w:rPr>
          <w:rFonts w:cs="Times New Roman"/>
        </w:rPr>
        <w:fldChar w:fldCharType="begin" w:fldLock="1"/>
      </w:r>
      <w:r w:rsidR="002463EB">
        <w:rPr>
          <w:rFonts w:cs="Times New Roman"/>
        </w:rPr>
        <w:instrText>ADDIN CSL_CITATION { "citationItems" : [ { "id" : "ITEM-1", "itemData" : { "DOI" : "10.1113/jphysiol.2003.046276", "ISBN" : "0022-3751", "ISSN" : "0022-3751", "PMID" : "14561832", "abstract" : "Biopsy samples were taken from vastus lateralis muscle of seven young (YO, age 30.2 +/- 2.2 years), and seven elderly (EL, age 72.7 +/- 2.3 years) subjects and two elderly subjects whose right leg had been immobilized for 3.5 months (EL-IMM, ages 70 and 75). The following main parameters were studied: (1) myosin heavy chain (MHC) isoform distribution of the samples, determined by SDS-PAGE; (2) cross-sectional area (CSA), specific force (Po/CSA) and maximum shortening velocity (Vo) of a large population (n = 593) of single skinned muscle fibres, classified on the basis of MHC isoform composition determined by SDS-PAGE; (3) actin sliding velocity (Vf) on pure myosin isoforms determined by in vitro motility assays; (4) myosin concentration in single fibres determined by quantitative SDS-PAGE. MHC isoform distribution was shifted towards fast isoforms in EL and to a larger extent in EL-IMM. In EL and, more consistently, in EL-IMM we observed a higher percentage of hybrid fibres than in YO, and noted the presence of MHC-neonatal and of unusual hybrid fibres containing more than two MHC isoforms. Po/CSA significantly decreased in type 1 and 2A fibres in the order YO EL EL-IMM. Vo of type 1 and 2A fibres was significantly lower in EL and higher in EL-IMM than in YO, i.e. immobilization more than counteracted the age-dependent decrease in Vo. The latter phenomenon was not observed for Vf. Vf on myosin 1 was lower in both EL and EL-IMM than in YO. Vf on myosin 2X was lower in EL than in YO, and a similar trend was observed for myosin 2A. Myosin concentration decreased in type 1 and 2A fibres in the order YO EL EL-IMM and was linearly related to the Po/CSA values of corresponding fibre types from the same subjects. The experiments suggest that (1) myosin concentration is a major determinant of the lower Po/CSA of single fibres in ageing and especially following immobilization and (2) ageing is associated with lower Vo of single fibres due to changes in the properties of myosin itself, whereas immobilization is associated with higher Vo in the absence of a change in myosin function.", "author" : [ { "dropping-particle" : "", "family" : "D'Antona", "given" : "Giuseppe", "non-dropping-particle" : "", "parse-names" : false, "suffix" : "" }, { "dropping-particle" : "", "family" : "Pellegrino", "given" : "Maria Antonietta", "non-dropping-particle" : "", "parse-names" : false, "suffix" : "" }, { "dropping-particle" : "", "family" : "Adami", "given" : "Raffaella", "non-dropping-particle" : "", "parse-names" : false, "suffix" : "" }, { "dropping-particle" : "", "family" : "Rossi", "given" : "Rosetta", "non-dropping-particle" : "", "parse-names" : false, "suffix" : "" }, { "dropping-particle" : "", "family" : "Carlizzi", "given" : "Carmine Naccari", "non-dropping-particle" : "", "parse-names" : false, "suffix" : "" }, { "dropping-particle" : "", "family" : "Canepari", "given" : "Monica", "non-dropping-particle" : "", "parse-names" : false, "suffix" : "" }, { "dropping-particle" : "", "family" : "Saltin", "given" : "Bengt", "non-dropping-particle" : "", "parse-names" : false, "suffix" : "" }, { "dropping-particle" : "", "family" : "Bottinelli", "given" : "Roberto", "non-dropping-particle" : "", "parse-names" : false, "suffix" : "" } ], "container-title" : "The Journal of physiology", "id" : "ITEM-1", "issue" : "Pt 2", "issued" : { "date-parts" : [ [ "2003", "10", "15" ] ] }, "page" : "499-511", "title" : "The effect of ageing and immobilization on structure and function of human skeletal muscle fibres.", "type" : "article-journal", "volume" : "552" }, "uris" : [ "http://www.mendeley.com/documents/?uuid=26c8aaff-22f8-42cd-800a-13bdb81b9c6f" ] }, { "id" : "ITEM-2",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"ITEM-2", "issue" : "4", "issued" : { "date-parts" : [ [ "2009", "10" ] ] }, "page" : "1172-1180", "title" : "Effects of aging on human skeletal muscle after immobilization and retraining.", "type" : "article-journal", "volume" : "107" }, "uris" : [ "http://www.mendeley.com/documents/?uuid=03fe0af6-3cbe-40fc-8c94-5ae48ae103c2" ] } ], "mendeley" : { "formattedCitation" : "&lt;sup&gt;56,137&lt;/sup&gt;", "plainTextFormattedCitation" : "56,137", "previouslyFormattedCitation" : "&lt;sup&gt;56,137&lt;/sup&gt;"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56,137</w:t>
      </w:r>
      <w:r>
        <w:rPr>
          <w:rFonts w:cs="Times New Roman"/>
        </w:rPr>
        <w:fldChar w:fldCharType="end"/>
      </w:r>
      <w:r>
        <w:rPr>
          <w:rFonts w:cs="Times New Roman"/>
        </w:rPr>
        <w:t xml:space="preserve"> and others supporting a shift towards type II instead</w:t>
      </w:r>
      <w:r>
        <w:rPr>
          <w:rFonts w:cs="Times New Roman"/>
        </w:rPr>
        <w:fldChar w:fldCharType="begin" w:fldLock="1"/>
      </w:r>
      <w:r w:rsidR="002463EB">
        <w:rPr>
          <w:rFonts w:cs="Times New Roman"/>
        </w:rPr>
        <w:instrText>ADDIN CSL_CITATION { "citationItems" : [ { "id" : "ITEM-1", "itemData" : { "DOI" : "10.1113/jphysiol.2003.046276", "ISBN" : "0022-3751", "ISSN" : "0022-3751", "PMID" : "14561832", "abstract" : "Biopsy samples were taken from vastus lateralis muscle of seven young (YO, age 30.2 +/- 2.2 years), and seven elderly (EL, age 72.7 +/- 2.3 years) subjects and two elderly subjects whose right leg had been immobilized for 3.5 months (EL-IMM, ages 70 and 75). The following main parameters were studied: (1) myosin heavy chain (MHC) isoform distribution of the samples, determined by SDS-PAGE; (2) cross-sectional area (CSA), specific force (Po/CSA) and maximum shortening velocity (Vo) of a large population (n = 593) of single skinned muscle fibres, classified on the basis of MHC isoform composition determined by SDS-PAGE; (3) actin sliding velocity (Vf) on pure myosin isoforms determined by in vitro motility assays; (4) myosin concentration in single fibres determined by quantitative SDS-PAGE. MHC isoform distribution was shifted towards fast isoforms in EL and to a larger extent in EL-IMM. In EL and, more consistently, in EL-IMM we observed a higher percentage of hybrid fibres than in YO, and noted the presence of MHC-neonatal and of unusual hybrid fibres containing more than two MHC isoforms. Po/CSA significantly decreased in type 1 and 2A fibres in the order YO EL EL-IMM. Vo of type 1 and 2A fibres was significantly lower in EL and higher in EL-IMM than in YO, i.e. immobilization more than counteracted the age-dependent decrease in Vo. The latter phenomenon was not observed for Vf. Vf on myosin 1 was lower in both EL and EL-IMM than in YO. Vf on myosin 2X was lower in EL than in YO, and a similar trend was observed for myosin 2A. Myosin concentration decreased in type 1 and 2A fibres in the order YO EL EL-IMM and was linearly related to the Po/CSA values of corresponding fibre types from the same subjects. The experiments suggest that (1) myosin concentration is a major determinant of the lower Po/CSA of single fibres in ageing and especially following immobilization and (2) ageing is associated with lower Vo of single fibres due to changes in the properties of myosin itself, whereas immobilization is associated with higher Vo in the absence of a change in myosin function.", "author" : [ { "dropping-particle" : "", "family" : "D'Antona", "given" : "Giuseppe", "non-dropping-particle" : "", "parse-names" : false, "suffix" : "" }, { "dropping-particle" : "", "family" : "Pellegrino", "given" : "Maria Antonietta", "non-dropping-particle" : "", "parse-names" : false, "suffix" : "" }, { "dropping-particle" : "", "family" : "Adami", "given" : "Raffaella", "non-dropping-particle" : "", "parse-names" : false, "suffix" : "" }, { "dropping-particle" : "", "family" : "Rossi", "given" : "Rosetta", "non-dropping-particle" : "", "parse-names" : false, "suffix" : "" }, { "dropping-particle" : "", "family" : "Carlizzi", "given" : "Carmine Naccari", "non-dropping-particle" : "", "parse-names" : false, "suffix" : "" }, { "dropping-particle" : "", "family" : "Canepari", "given" : "Monica", "non-dropping-particle" : "", "parse-names" : false, "suffix" : "" }, { "dropping-particle" : "", "family" : "Saltin", "given" : "Bengt", "non-dropping-particle" : "", "parse-names" : false, "suffix" : "" }, { "dropping-particle" : "", "family" : "Bottinelli", "given" : "Roberto", "non-dropping-particle" : "", "parse-names" : false, "suffix" : "" } ], "container-title" : "The Journal of physiology", "id" : "ITEM-1", "issue" : "Pt 2", "issued" : { "date-parts" : [ [ "2003", "10", "15" ] ] }, "page" : "499-511", "title" : "The effect of ageing and immobilization on structure and function of human skeletal muscle fibres.", "type" : "article-journal", "volume" : "552" }, "uris" : [ "http://www.mendeley.com/documents/?uuid=26c8aaff-22f8-42cd-800a-13bdb81b9c6f" ] } ], "mendeley" : { "formattedCitation" : "&lt;sup&gt;137&lt;/sup&gt;", "plainTextFormattedCitation" : "137", "previouslyFormattedCitation" : "&lt;sup&gt;137&lt;/sup&gt;"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137</w:t>
      </w:r>
      <w:r>
        <w:rPr>
          <w:rFonts w:cs="Times New Roman"/>
        </w:rPr>
        <w:fldChar w:fldCharType="end"/>
      </w:r>
      <w:r>
        <w:rPr>
          <w:rFonts w:cs="Times New Roman"/>
        </w:rPr>
        <w:t>. Preservation of type II fibres may further support an ability to activate muscles and preserve the ability to produce maximal forces despite disuse</w:t>
      </w:r>
      <w:r>
        <w:rPr>
          <w:rFonts w:cs="Times New Roman"/>
        </w:rPr>
        <w:fldChar w:fldCharType="begin" w:fldLock="1"/>
      </w:r>
      <w:r w:rsidR="002463EB">
        <w:rPr>
          <w:rFonts w:cs="Times New Roman"/>
        </w:rPr>
        <w:instrText>ADDIN CSL_CITATION { "citationItems" : [ { "id" : "ITEM-1", "itemData" : { "DOI" : "10.1007/s00421-005-0109-1", "ISSN" : "14396319", "PMID" : "16369818", "abstract" : "This experiment compared the effects of disuse on the adductor pollicis (AP) muscle in young (YM) and old (OM) men. The AP of the YM and OM was assessed for strength (MVC), compound muscle action potential (CMAP), and volume, and then immobilized for 2 weeks. MVC decreased approximately 22% in the YM, and OM (P&lt;0.001). AP volume was 4.1% (not significant) and 9.5% (P&lt;0.05) less in the YM and OM, respectively. CMAP increased in the OM 0, 24, and 48 h post-immobilization, and did not change in the YM. However, the YM showed a greater decrease in specific force as compared to the OM. YM and OM experienced similar losses in strength, yet muscle volume loss was only significant in OM. Although OM are more susceptible to immediate losses in muscle volume, muscle activation strategies appear to preserve strength during atrophy.", "author" : [ { "dropping-particle" : "", "family" : "Urso", "given" : "M. L.", "non-dropping-particle" : "", "parse-names" : false, "suffix" : "" }, { "dropping-particle" : "", "family" : "Clarkson", "given" : "P. M.", "non-dropping-particle" : "", "parse-names" : false, "suffix" : "" }, { "dropping-particle" : "", "family" : "Price", "given" : "T. B.", "non-dropping-particle" : "", "parse-names" : false, "suffix" : "" } ], "container-title" : "European Journal of Applied Physiology", "id" : "ITEM-1", "issue" : "5", "issued" : { "date-parts" : [ [ "2006", "3" ] ] }, "page" : "564-571", "title" : "Immobilization effects in young and older adults", "type" : "article-journal", "volume" : "96" }, "uris" : [ "http://www.mendeley.com/documents/?uuid=42805465-5284-49a2-bcaa-1bf82fff7dd3" ] }, { "id" : "ITEM-2", "itemData" : { "DOI" : "10.1113/jphysiol.2003.046276", "ISBN" : "0022-3751", "ISSN" : "0022-3751", "PMID" : "14561832", "abstract" : "Biopsy samples were taken from vastus lateralis muscle of seven young (YO, age 30.2 +/- 2.2 years), and seven elderly (EL, age 72.7 +/- 2.3 years) subjects and two elderly subjects whose right leg had been immobilized for 3.5 months (EL-IMM, ages 70 and 75). The following main parameters were studied: (1) myosin heavy chain (MHC) isoform distribution of the samples, determined by SDS-PAGE; (2) cross-sectional area (CSA), specific force (Po/CSA) and maximum shortening velocity (Vo) of a large population (n = 593) of single skinned muscle fibres, classified on the basis of MHC isoform composition determined by SDS-PAGE; (3) actin sliding velocity (Vf) on pure myosin isoforms determined by in vitro motility assays; (4) myosin concentration in single fibres determined by quantitative SDS-PAGE. MHC isoform distribution was shifted towards fast isoforms in EL and to a larger extent in EL-IMM. In EL and, more consistently, in EL-IMM we observed a higher percentage of hybrid fibres than in YO, and noted the presence of MHC-neonatal and of unusual hybrid fibres containing more than two MHC isoforms. Po/CSA significantly decreased in type 1 and 2A fibres in the order YO EL EL-IMM. Vo of type 1 and 2A fibres was significantly lower in EL and higher in EL-IMM than in YO, i.e. immobilization more than counteracted the age-dependent decrease in Vo. The latter phenomenon was not observed for Vf. Vf on myosin 1 was lower in both EL and EL-IMM than in YO. Vf on myosin 2X was lower in EL than in YO, and a similar trend was observed for myosin 2A. Myosin concentration decreased in type 1 and 2A fibres in the order YO EL EL-IMM and was linearly related to the Po/CSA values of corresponding fibre types from the same subjects. The experiments suggest that (1) myosin concentration is a major determinant of the lower Po/CSA of single fibres in ageing and especially following immobilization and (2) ageing is associated with lower Vo of single fibres due to changes in the properties of myosin itself, whereas immobilization is associated with higher Vo in the absence of a change in myosin function.", "author" : [ { "dropping-particle" : "", "family" : "D'Antona", "given" : "Giuseppe", "non-dropping-particle" : "", "parse-names" : false, "suffix" : "" }, { "dropping-particle" : "", "family" : "Pellegrino", "given" : "Maria Antonietta", "non-dropping-particle" : "", "parse-names" : false, "suffix" : "" }, { "dropping-particle" : "", "family" : "Adami", "given" : "Raffaella", "non-dropping-particle" : "", "parse-names" : false, "suffix" : "" }, { "dropping-particle" : "", "family" : "Rossi", "given" : "Rosetta", "non-dropping-particle" : "", "parse-names" : false, "suffix" : "" }, { "dropping-particle" : "", "family" : "Carlizzi", "given" : "Carmine Naccari", "non-dropping-particle" : "", "parse-names" : false, "suffix" : "" }, { "dropping-particle" : "", "family" : "Canepari", "given" : "Monica", "non-dropping-particle" : "", "parse-names" : false, "suffix" : "" }, { "dropping-particle" : "", "family" : "Saltin", "given" : "Bengt", "non-dropping-particle" : "", "parse-names" : false, "suffix" : "" }, { "dropping-particle" : "", "family" : "Bottinelli", "given" : "Roberto", "non-dropping-particle" : "", "parse-names" : false, "suffix" : "" } ], "container-title" : "The Journal of physiology", "id" : "ITEM-2", "issue" : "Pt 2", "issued" : { "date-parts" : [ [ "2003", "10", "15" ] ] }, "page" : "499-511", "title" : "The effect of ageing and immobilization on structure and function of human skeletal muscle fibres.", "type" : "article-journal", "volume" : "552" }, "uris" : [ "http://www.mendeley.com/documents/?uuid=26c8aaff-22f8-42cd-800a-13bdb81b9c6f" ] } ], "mendeley" : { "formattedCitation" : "&lt;sup&gt;137,138&lt;/sup&gt;", "plainTextFormattedCitation" : "137,138", "previouslyFormattedCitation" : "&lt;sup&gt;137,138&lt;/sup&gt;"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137,138</w:t>
      </w:r>
      <w:r>
        <w:rPr>
          <w:rFonts w:cs="Times New Roman"/>
        </w:rPr>
        <w:fldChar w:fldCharType="end"/>
      </w:r>
      <w:r>
        <w:rPr>
          <w:rFonts w:cs="Times New Roman"/>
        </w:rPr>
        <w:t xml:space="preserve">, potentially as a protective mechanism for impaired older adults during disuse, but further histochemical analysis is required to support these claims. </w:t>
      </w:r>
    </w:p>
    <w:p w14:paraId="766104E9" w14:textId="2F8D170F" w:rsidR="00DA792D" w:rsidRPr="00E444A1" w:rsidRDefault="00DA792D" w:rsidP="00DA792D">
      <w:pPr>
        <w:spacing w:line="480" w:lineRule="auto"/>
        <w:ind w:firstLine="720"/>
        <w:rPr>
          <w:rFonts w:cs="Times New Roman"/>
        </w:rPr>
      </w:pPr>
      <w:r>
        <w:rPr>
          <w:rFonts w:cs="Times New Roman"/>
        </w:rPr>
        <w:t>Losses of strength are consistently exhibited in older adults during bed-rest</w:t>
      </w:r>
      <w:r>
        <w:rPr>
          <w:rFonts w:cs="Times New Roman"/>
        </w:rPr>
        <w:fldChar w:fldCharType="begin" w:fldLock="1"/>
      </w:r>
      <w:r w:rsidR="00225DB1">
        <w:rPr>
          <w:rFonts w:cs="Times New Roman"/>
        </w:rPr>
        <w:instrText>ADDIN CSL_CITATION { "citationItems" : [ { "id" : "ITEM-1", "itemData" : { "author" : [ { "dropping-particle" : "", "family" : "Kortebein", "given" : "P", "non-dropping-particle" : "", "parse-names" : false, "suffix" : "" }, { "dropping-particle" : "", "family" : "Ferrando", "given" : "A", "non-dropping-particle" : "", "parse-names" : false, "suffix" : "" }, { "dropping-particle" : "", "family" : "Lombeida", "given" : "J", "non-dropping-particle" : "", "parse-names" : false, "suffix" : "" } ], "container-title" : "Jama", "id" : "ITEM-1", "issued" : { "date-parts" : [ [ "2007" ] ] }, "page" : "4-6", "title" : "Effect of 10 Days of Bed Rest on Skeletal Muscle in Healthy Older Adults", "type" : "article-journal" }, "uris" : [ "http://www.mendeley.com/documents/?uuid=10b6a57d-9307-4ca0-a883-b8fde2f048a1" ] }, { "id" : "ITEM-2", "itemData" : { "author" : [ { "dropping-particle" : "", "family" : "Kortebein", "given" : "P", "non-dropping-particle" : "", "parse-names" : false, "suffix" : "" }, { "dropping-particle" : "", "family" : "Symons", "given" : "T Brock", "non-dropping-particle" : "", "parse-names" : false, "suffix" : "" }, { "dropping-particle" : "", "family" : "Ferrando", "given" : "Aa", "non-dropping-particle" : "", "parse-names" : false, "suffix" : "" }, { "dropping-particle" : "", "family" : "Paddon-Jones", "given" : "Douglas", "non-dropping-particle" : "", "parse-names" : false, "suffix" : "" } ], "container-title" : "The New England journal of medicine", "id" : "ITEM-2", "issued" : { "date-parts" : [ [ "2008" ] ] }, "page" : "140", "title" : "Functional impact of 10 days of bed rest in healthy older adults", "type" : "article-journal", "volume" : "7" }, "uris" : [ "http://www.mendeley.com/documents/?uuid=3f9b15f6-80bf-4bbb-8258-117c2738fc07" ] }, { "id" : "ITEM-3", "itemData" : { "DOI" : "10.1016/j.clnu.2009.03.009", "ISBN" : "0261-5614", "ISSN" : "02615614", "PMID" : "19419806", "abstract" : "Background &amp; aims: Older individuals are more likely to experience extended hospitalization and become protein malnourished during hospitalization. The concomitant compulsory inactivity results in functional decline. Increasing protein intake in hospitalized patients improves nitrogen balance, but effects on function are unknown. In the present study, we examined the effects of increasing protein intake by essential amino acid (EAA) supplementation in older individuals subjected to 10. d bed rest on LBM and muscle function. Methods: Subjects were given a placebo (n=12, 68 \u00b1 5 (SD) yrs, 83 \u00b1 19 kg) or 15. g of EAA (n=10, 71 \u00b1 6, 72 \u00b1 8 kg) 3 times per day throughout 10. d of bed rest. LBM, muscle protein synthesis, and muscle function were determined before and after bed rest. Due to an imbalance in randomized gender distribution between groups, gender and beginning functional and LBM measures were utilized for analyses by repeated measures analysis of covariance (RMANCOVA). Results: Analyses revealed the potential for the preservation of functional outcomes with EAA supplementation. Conclusions: Increasing protein intake above the RDA may preserve muscle function in the elderly during compulsory inactivity. EAA supplementation is potentially an efficient method of increasing protein intake without affecting satiety. \u00a9 2009 Elsevier Ltd and European Society for Clinical Nutrition and Metabolism.", "author" : [ { "dropping-particle" : "", "family" : "Ferrando", "given" : "Arny a.", "non-dropping-particle" : "", "parse-names" : false, "suffix" : "" }, { "dropping-particle" : "", "family" : "Paddon-Jones", "given" : "Doug", "non-dropping-particle" : "", "parse-names" : false, "suffix" : "" }, { "dropping-particle" : "", "family" : "Hays", "given" : "Nicholas P.", "non-dropping-particle" : "", "parse-names" : false, "suffix" : "" }, { "dropping-particle" : "", "family" : "Kortebein", "given" : "Patrick", "non-dropping-particle" : "", "parse-names" : false, "suffix" : "" }, { "dropping-particle" : "", "family" : "Ronsen", "given" : "Ola", "non-dropping-particle" : "", "parse-names" : false, "suffix" : "" }, { "dropping-particle" : "", "family" : "Williams", "given" : "Rick H.", "non-dropping-particle" : "", "parse-names" : false, "suffix" : "" }, { "dropping-particle" : "", "family" : "McComb", "given" : "Ashley", "non-dropping-particle" : "", "parse-names" : false, "suffix" : "" }, { "dropping-particle" : "", "family" : "Symons", "given" : "T. Brock", "non-dropping-particle" : "", "parse-names" : false, "suffix" : "" }, { "dropping-particle" : "", "family" : "Wolfe", "given" : "Robert R.", "non-dropping-particle" : "", "parse-names" : false, "suffix" : "" }, { "dropping-particle" : "", "family" : "Evans", "given" : "William", "non-dropping-particle" : "", "parse-names" : false, "suffix" : "" } ], "container-title" : "Clinical Nutrition", "id" : "ITEM-3", "issue" : "1", "issued" : { "date-parts" : [ [ "2010", "2" ] ] }, "page" : "18-23", "title" : "EAA supplementation to increase nitrogen intake improves muscle function during bed rest in the elderly", "type" : "article-journal", "volume" : "29" }, "uris" : [ "http://www.mendeley.com/documents/?uuid=48a30b09-289e-45b8-8a1c-5b33bd66e7a4" ] }, { "id" : "ITEM-4", "itemData" : { "DOI" : "10.1016/j.clnu.2013.02.011", "ISSN" : "02615614", "PMID" : "23514626", "abstract" : "Background: Loss of muscle mass due to prolonged bed rest decreases functional capacity and increases hospital morbidity and mortality in older adults. Objective: To determine if HMB, a leucine metabolite, is capable of attenuating muscle decline in healthy older adults during complete bed rest. Design: A randomized, controlled, double-blinded, parallel-group design study was carried out in 24 healthy (SPPB\u22659) older adult subjects (20 women, 4 men), confined to complete bed rest for ten days, followed by resistance training rehabilitation for eight weeks. Subjects in the experimental group were treated with HMB (calcium salt, 1.5g twice daily - total 3g/day). Control subjects were treated with an inactive placebo powder. Treatments were provided starting 5 days prior to bed rest till the end rehabilitation phase. DXA was used to measure body composition. Results: Nineteen eligible older adults (BMI: 21-33; age: 60-76year) were evaluable at the end of the bed rest period (Control n=8; Ca-HMB n=11). Bed rest caused a significant decrease in total lean body mass (LBM) (2.05\u00b10.66kg; p=0.02, paired t-test) in the Control group. With the exclusion of one subject, treatment with HMB prevented the decline in LBM over bed rest -0.17\u00b10.19kg; p=0.23, paired t-test). There was a statistically significant difference between treatment groups for change in LBM over bed rest (p=0.02, ANOVA). Sub-analysis on female subjects (Control=7, HMB=8) also revealed a significant difference in change in LBM over bed rest between treatment groups (p=0.04, ANOVA). However, differences in function parameters could not be observed, probably due to the sample size of the study. Conclusions: In healthy older adults, HMB supplementation preserves muscle mass during 10 days of bed rest. These results need to be confirmed in a larger trial.This trial is registered at http://ClinicalTrials.gov under NCT00945581. \u00a9 2013 Elsevier Ltd and European Society for Clinical Nutrition and Metabolism.", "author" : [ { "dropping-particle" : "", "family" : "Deutz", "given" : "Nicolaas E P", "non-dropping-particle" : "", "parse-names" : false, "suffix" : "" }, { "dropping-particle" : "", "family" : "Pereira", "given" : "Suzette L.", "non-dropping-particle" : "", "parse-names" : false, "suffix" : "" }, { "dropping-particle" : "", "family" : "Hays", "given" : "Nicholas P.", "non-dropping-particle" : "", "parse-names" : false, "suffix" : "" }, { "dropping-particle" : "", "family" : "Oliver", "given" : "Jeffery S.", "non-dropping-particle" : "", "parse-names" : false, "suffix" : "" }, { "dropping-particle" : "", "family" : "Edens", "given" : "Neile K.", "non-dropping-particle" : "", "parse-names" : false, "suffix" : "" }, { "dropping-particle" : "", "family" : "Evans", "given" : "Chris M.", "non-dropping-particle" : "", "parse-names" : false, "suffix" : "" }, { "dropping-particle" : "", "family" : "Wolfe", "given" : "Robert R.", "non-dropping-particle" : "", "parse-names" : false, "suffix" : "" } ], "container-title" : "Clinical Nutrition", "id" : "ITEM-4", "issue" : "5", "issued" : { "date-parts" : [ [ "2013", "10" ] ] }, "page" : "704-712", "publisher" : "Elsevier Ltd", "title" : "Effect of \u03b2-hydroxy-\u03b2-methylbutyrate (HMB) on lean body mass during 10 days of bed rest in older adults", "type" : "article-journal", "volume" : "32" }, "uris" : [ "http://www.mendeley.com/documents/?uuid=e7a4fcc5-da64-4a51-8196-8fe2aca772ea" ] } ], "mendeley" : { "formattedCitation" : "&lt;sup&gt;51,52,54,55&lt;/sup&gt;", "plainTextFormattedCitation" : "51,52,54,55", "previouslyFormattedCitation" : "&lt;sup&gt;51,52,54,55&lt;/sup&gt;"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51,52,54,55</w:t>
      </w:r>
      <w:r>
        <w:rPr>
          <w:rFonts w:cs="Times New Roman"/>
        </w:rPr>
        <w:fldChar w:fldCharType="end"/>
      </w:r>
      <w:r>
        <w:rPr>
          <w:rFonts w:cs="Times New Roman"/>
        </w:rPr>
        <w:t xml:space="preserve"> and immobilization</w:t>
      </w:r>
      <w:r>
        <w:rPr>
          <w:rFonts w:cs="Times New Roman"/>
        </w:rPr>
        <w:fldChar w:fldCharType="begin" w:fldLock="1"/>
      </w:r>
      <w:r w:rsidR="00225DB1">
        <w:rPr>
          <w:rFonts w:cs="Times New Roman"/>
        </w:rPr>
        <w:instrText>ADDIN CSL_CITATION { "citationItems" : [ { "id" : "ITEM-1",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"ITEM-1", "issue" : "4", "issued" : { "date-parts" : [ [ "2009", "10" ] ] }, "page" : "1172-1180", "title" : "Effects of aging on human skeletal muscle after immobilization and retraining.", "type" : "article-journal", "volume" : "107" }, "uris" : [ "http://www.mendeley.com/documents/?uuid=03fe0af6-3cbe-40fc-8c94-5ae48ae103c2" ] }, { "id" : "ITEM-2", "itemData" : { "DOI" : "10.1152/japplphysiol.00637.2010", "ISBN" : "1522-1601 (Electronic)\\n0161-7567 (Linking)", "ISSN" : "8750-7587", "PMID" : "20864557", "abstract" : "Very little attention has been given to the combined effects of aging and disuse as separate factors causing deterioration in muscle mechanical function. Thus the purpose of this study was to investigate the effects of 2 wk of immobilization followed by 4 wk of retraining on knee extensor muscle mechanical function (e.g., maximal strength and rapid force capacity) and muscle fiber morphology in 9 old (OM: 67.3 \u00b1 1.3 yr) and 11 young healthy men (YM: 24.4 \u00b1 0.5 yr) with comparable levels of physical activity. Following immobilization, OM demonstrated markedly larger decreases in rapid force capacity (i.e., rate of force development, impulse) than YM (\u223c 20-37 vs. \u223c 13-16%; P &lt; 0.05). In contrast, muscle fiber area decreased in YM for type I, IIA, and IIx fibers (\u223c 15-30%; P &lt; 0.05), whereas only type IIa area decreased in OM (13.2%; P &lt; 0.05). Subsequent retraining fully restored muscle mechanical function and muscle fiber area in YM, whereas OM showed an attenuated recovery in muscle fiber area and rapid force capacity (tendency). Changes in maximal isometric and dynamic muscle strength were similar between OM and YM. In conclusion, the present data reveal that OM may be more susceptible to the deleterious effects of short-term muscle disuse on muscle fiber size and rapid force capacity than YM. Furthermore, OM seems to require longer time to recover and regain rapid muscle force capacity, which may lead to a larger risk of falling in aged individuals after periods of short-term disuse.", "author" : [ { "dropping-particle" : "", "family" : "Hvid", "given" : "Lars", "non-dropping-particle" : "", "parse-names" : false, "suffix" : "" }, { "dropping-particle" : "", "family" : "Aagaard", "given" : "Per", "non-dropping-particle" : "", "parse-names" : false, "suffix" : "" }, { "dropping-particle" : "", "family" : "Justesen", "given" : "Lene", "non-dropping-particle" : "", "parse-names" : false, "suffix" : "" }, { "dropping-particle" : "", "family" : "Bayer", "given" : "Monika L", "non-dropping-particle" : "", "parse-names" : false, "suffix" : "" }, { "dropping-particle" : "", "family" : "Andersen", "given" : "Jesper L", "non-dropping-particle" : "", "parse-names" : false, "suffix" : "" }, { "dropping-particle" : "", "family" : "\u00d8rtenblad", "given" : "Niels", "non-dropping-particle" : "", "parse-names" : false, "suffix" : "" }, { "dropping-particle" : "", "family" : "Kjaer", "given" : "Michael", "non-dropping-particle" : "", "parse-names" : false, "suffix" : "" }, { "dropping-particle" : "", "family" : "Suetta", "given" : "Charlotte", "non-dropping-particle" : "", "parse-names" : false, "suffix" : "" } ], "container-title" : "Journal of applied physiology (Bethesda, Md. : 1985)", "id" : "ITEM-2", "issue" : "6", "issued" : { "date-parts" : [ [ "2010" ] ] }, "page" : "1628-1634", "title" : "Effects of aging on muscle mechanical function and muscle fiber morphology during short-term immobilization and subsequent retraining.", "type" : "article-journal", "volume" : "109" }, "uris" : [ "http://www.mendeley.com/documents/?uuid=19df41c5-6620-4315-9c2a-fbf7029a597a" ] }, { "id" : "ITEM-3", "itemData" : { "DOI" : "10.1113/jphysiol.2011.215434", "ISBN" : "1469-7793", "ISSN" : "1469-7793", "PMID" : "21825028", "abstract" : "Very little attention has been given to the combined effects of healthy ageing and short-term disuse on the contractile function of human single muscle fibres. Therefore, the present study investigated the effects of 2 weeks of lower limb cast immobilisation (i.e. disuse) on selected contractile properties of single muscle fibres (n = 378) from vastus lateralis of nine young (24 \u00b1 1 years) and eight old (67 \u00b1 2 years) healthy men with comparable levels of physical activity. Prior to immobilisation, MHC IIa fibres produced higher maximum Ca(2+)-activated force (approx. 32%) and specific force (approx. 33%) and had lower Ca(2+) sensitivity than MHC I fibres (P &lt; 0.05), with no differences between young and old. After immobilisation, the decline in single fibre force (MHC I: young 21% and old 22%; MHC IIa: young 22% and old 30%; P &lt; 0.05) as well as specific force (MHC I: young 14% and old 13%; MHC IIa: young 18% and old 25%; P &lt; 0.05) was more pronounced in MHC IIa fibres compared to MHC I fibres (P &lt; 0.05), with no differences between young and old. Notably, there was a selective decrease in Ca(2+) sensitivity in MHC IIa fibres of young (P &lt; 0.05) and in MHC I fibres of old individuals (P &lt; 0.05), respectively. In conclusion, 2 weeks of lower limb immobilisation caused greater impairments in single muscle fibre force and specific force in MHC IIa than MHC I fibres independently of age. In contrast, immobilisation-induced changes in Ca(2+) sensitivity that were dependent on age and MHC isoform.", "author" : [ { "dropping-particle" : "", "family" : "Hvid", "given" : "Lars G", "non-dropping-particle" : "", "parse-names" : false, "suffix" : "" }, { "dropping-particle" : "", "family" : "Ortenblad", "given" : "Niels", "non-dropping-particle" : "", "parse-names" : false, "suffix" : "" }, { "dropping-particle" : "", "family" : "Aagaard", "given" : "Per", "non-dropping-particle" : "", "parse-names" : false, "suffix" : "" }, { "dropping-particle" : "", "family" : "Kjaer", "given" : "Michael", "non-dropping-particle" : "", "parse-names" : false, "suffix" : "" }, { "dropping-particle" : "", "family" : "Suetta", "given" : "Charlotte", "non-dropping-particle" : "", "parse-names" : false, "suffix" : "" } ], "container-title" : "The Journal of physiology", "id" : "ITEM-3", "issue" : "Pt 19", "issued" : { "date-parts" : [ [ "2011", "10", "1" ] ] }, "page" : "4745-57", "title" : "Effects of ageing on single muscle fibre contractile function following short-term immobilisation.", "type" : "article-journal", "volume" : "589" }, "uris" : [ "http://www.mendeley.com/documents/?uuid=bdc4cdb4-95f2-4bbd-b853-4bb145c17756" ] } ], "mendeley" : { "formattedCitation" : "&lt;sup&gt;56,64,65&lt;/sup&gt;", "plainTextFormattedCitation" : "56,64,65", "previouslyFormattedCitation" : "&lt;sup&gt;56,64,65&lt;/sup&gt;"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56,64,65</w:t>
      </w:r>
      <w:r>
        <w:rPr>
          <w:rFonts w:cs="Times New Roman"/>
        </w:rPr>
        <w:fldChar w:fldCharType="end"/>
      </w:r>
      <w:r>
        <w:rPr>
          <w:rFonts w:cs="Times New Roman"/>
        </w:rPr>
        <w:t xml:space="preserve">, however, the understanding of the effects of </w:t>
      </w:r>
      <w:r w:rsidR="002B63BD">
        <w:rPr>
          <w:rFonts w:cs="Times New Roman"/>
        </w:rPr>
        <w:t>SR</w:t>
      </w:r>
      <w:r>
        <w:rPr>
          <w:rFonts w:cs="Times New Roman"/>
        </w:rPr>
        <w:t xml:space="preserve"> (i.e., incomplete disuse) are underdeveloped. It is possible that similar factors for which we could not account nor control (i.e., performance of the occasional isometric contraction</w:t>
      </w:r>
      <w:r>
        <w:rPr>
          <w:rFonts w:cs="Times New Roman"/>
        </w:rPr>
        <w:fldChar w:fldCharType="begin" w:fldLock="1"/>
      </w:r>
      <w:r w:rsidR="002463EB">
        <w:rPr>
          <w:rFonts w:cs="Times New Roman"/>
        </w:rPr>
        <w:instrText>ADDIN CSL_CITATION { "citationItems" : [ { "id" : "ITEM-1", "itemData" : { "DOI" : "10.1007/s004210050648", "ISBN" : "8135454686", "ISSN" : "1439-6319", "PMID" : "10879440", "abstract" : "The purpose of this study was to investigate the effects of resistance training on the morphological and functional properties of human lower limb muscles during 20 days of 6 degrees head-down-tilt bed rest. Nine men were randomly assigned to the resistance training group (BR-Tr, n = 5) or the non-training, control group (BR-Cont, n = 4). Isometric leg-press exercises were performed: 3 s x 30 repetitions (30 s rest between repetitions) daily for 20 days during the bed-rest period. Serial axial magnetic resonance images were taken from the right thigh and leg muscles, and muscle volume, muscle length, and fibre length were estimated. The physiological cross-sectional areas (PCSAs) of the knee extensor, knee flexor, ankle plantarflexor, and ankle dorsiflexor (tibialis anterior) muscle groups were determined as muscle volume multiplied by the cosine of the angle of fibre pennation divided by fibre length. Maximum voluntary contraction (MVC) during knee extension was measured. No significant changes were observed in the PCSA of the knee extensor muscles in BR-Tr group, whereas the PCSA in the BR-Cont group decreased by 7.8%. The PCSA of the knee flexor and plantarflexor muscles in the BR-Tr group and BR-Cont group significantly decreased after bed rest (knee flexors, 10.2% and 11.5%; plantarflexors, 13.0% and 12.8%, respectively). However, in both groups bed rest had no effect on the muscle volume and PCSA of the tibialis anterior. MVC was maintained by resistance training in the BR-Tr group (decreased by 1%). In contrast, a decline of strength was observed in the BR-Cont group (-16%), but this result was not statistically significant. These results suggest that isometric leg-press training prevents the deconditioning (i.e. atrophy and decline of strength) of the knee extensor muscle group.", "author" : [ { "dropping-particle" : "", "family" : "Akima", "given" : "H", "non-dropping-particle" : "", "parse-names" : false, "suffix" : "" }, { "dropping-particle" : "", "family" : "Kubo", "given" : "K", "non-dropping-particle" : "", "parse-names" : false, "suffix" : "" }, { "dropping-particle" : "", "family" : "Kanehisa", "given" : "H", "non-dropping-particle" : "", "parse-names" : false, "suffix" : "" }, { "dropping-particle" : "", "family" : "Suzuki", "given" : "Y", "non-dropping-particle" : "", "parse-names" : false, "suffix" : "" }, { "dropping-particle" : "", "family" : "Gunji", "given" : "a", "non-dropping-particle" : "", "parse-names" : false, "suffix" : "" }, { "dropping-particle" : "", "family" : "Fukunaga", "given" : "T", "non-dropping-particle" : "", "parse-names" : false, "suffix" : "" } ], "container-title" : "European journal of applied physiology", "id" : "ITEM-1", "issue" : "1-2", "issued" : { "date-parts" : [ [ "2000" ] ] }, "page" : "30-38", "title" : "Leg-press resistance training during 20 days of 6 degrees head-down-tilt bed rest prevents muscle deconditioning.", "type" : "article-journal", "volume" : "82" }, "uris" : [ "http://www.mendeley.com/documents/?uuid=0ba61c2b-6ed1-4533-a653-030f2b795576" ] } ], "mendeley" : { "formattedCitation" : "&lt;sup&gt;136&lt;/sup&gt;", "plainTextFormattedCitation" : "136", "previouslyFormattedCitation" : "&lt;sup&gt;136&lt;/sup&gt;"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136</w:t>
      </w:r>
      <w:r>
        <w:rPr>
          <w:rFonts w:cs="Times New Roman"/>
        </w:rPr>
        <w:fldChar w:fldCharType="end"/>
      </w:r>
      <w:r>
        <w:rPr>
          <w:rFonts w:cs="Times New Roman"/>
        </w:rPr>
        <w:t>) could have offset any strength losses seen with SR. Devries et al</w:t>
      </w:r>
      <w:r w:rsidR="00E15550">
        <w:rPr>
          <w:rFonts w:cs="Times New Roman"/>
        </w:rPr>
        <w:t>.</w:t>
      </w:r>
      <w:r w:rsidR="00E15550">
        <w:rPr>
          <w:rFonts w:cs="Times New Roman"/>
        </w:rPr>
        <w:fldChar w:fldCharType="begin" w:fldLock="1"/>
      </w:r>
      <w:r w:rsidR="000709FC">
        <w:rPr>
          <w:rFonts w:cs="Times New Roman"/>
        </w:rPr>
        <w:instrText>ADDIN CSL_CITATION { "citationItems" : [ { "id" : "ITEM-1", "itemData" : { "author" : [ { "dropping-particle" : "", "family" : "Devries", "given" : "M", "non-dropping-particle" : "", "parse-names" : false, "suffix" : "" }, { "dropping-particle" : "", "family" : "Breen", "given" : "L", "non-dropping-particle" : "", "parse-names" : false, "suffix" : "" }, { "dropping-particle" : "", "family" : "Allmen", "given" : "M", "non-dropping-particle" : "von", "parse-names" : false, "suffix" : "" }, { "dropping-particle" : "", "family" : "Moore", "given" : "D", "non-dropping-particle" : "", "parse-names" : false, "suffix" : "" }, { "dropping-particle" : "", "family" : "Phillips", "given" : "SM", "non-dropping-particle" : "", "parse-names" : false, "suffix" : "" } ], "container-title" : "Unpublished - personal communication", "id" : "ITEM-1", "issued" : { "date-parts" : [ [ "0" ] ] }, "title" : "Low-load resistance training during step-reduction attenuates declines in muscle mass and strength and enhances anabolic sensitivity in older men", "type" : "article-journal" }, "uris" : [ "http://www.mendeley.com/documents/?uuid=5cdfb8ee-470a-446b-aab6-1051a07d2fae" ] } ], "mendeley" : { "formattedCitation" : "&lt;sup&gt;89&lt;/sup&gt;", "plainTextFormattedCitation" : "89", "previouslyFormattedCitation" : "&lt;sup&gt;89&lt;/sup&gt;" }, "properties" : { "noteIndex" : 0 }, "schema" : "https://github.com/citation-style-language/schema/raw/master/csl-citation.json" }</w:instrText>
      </w:r>
      <w:r w:rsidR="00E15550">
        <w:rPr>
          <w:rFonts w:cs="Times New Roman"/>
        </w:rPr>
        <w:fldChar w:fldCharType="separate"/>
      </w:r>
      <w:r w:rsidR="003D1F84" w:rsidRPr="003D1F84">
        <w:rPr>
          <w:rFonts w:cs="Times New Roman"/>
          <w:noProof/>
          <w:vertAlign w:val="superscript"/>
        </w:rPr>
        <w:t>89</w:t>
      </w:r>
      <w:r w:rsidR="00E15550">
        <w:rPr>
          <w:rFonts w:cs="Times New Roman"/>
        </w:rPr>
        <w:fldChar w:fldCharType="end"/>
      </w:r>
      <w:r w:rsidR="00E15550">
        <w:rPr>
          <w:rFonts w:cs="Times New Roman"/>
        </w:rPr>
        <w:t xml:space="preserve"> </w:t>
      </w:r>
      <w:r>
        <w:rPr>
          <w:rFonts w:cs="Times New Roman"/>
        </w:rPr>
        <w:t>reported that low-load resistance exercise was sufficient to counter the declines in ISO-MVC</w:t>
      </w:r>
      <w:r>
        <w:rPr>
          <w:rFonts w:cs="Times New Roman"/>
          <w:vertAlign w:val="subscript"/>
        </w:rPr>
        <w:t>peak</w:t>
      </w:r>
      <w:r>
        <w:rPr>
          <w:rFonts w:cs="Times New Roman"/>
        </w:rPr>
        <w:t xml:space="preserve"> resulting from SR in older men, and therefore muscular activation during the sedentary SR phase may have impacted the expected strength loss in this study. While the lack of change in voluntary force production are congruent with what was reported by Breen et al.</w:t>
      </w:r>
      <w:r>
        <w:rPr>
          <w:rFonts w:cs="Times New Roman"/>
        </w:rPr>
        <w:fldChar w:fldCharType="begin" w:fldLock="1"/>
      </w:r>
      <w:r w:rsidR="00225DB1">
        <w:rPr>
          <w:rFonts w:cs="Times New Roman"/>
        </w:rPr>
        <w:instrText>ADDIN CSL_CITATION { "citationItems" : [ { "id" : "ITEM-1", "itemData" : { "DOI" : "10.1210/jc.2013-1502", "ISBN" : "0000000000000", "ISSN" : "0021972X", "PMID" : "23589526", "abstract" : "BACKGROUND: Alterations in muscle protein metabolism underlie age-related muscle atrophy. During periods of muscle disuse, muscle protein synthesis is blunted, and muscle atrophy occurs in young and old. The impact of a short reduction in physical activity on muscle protein metabolism in older adults is unknown.\\n\\nPURPOSE: The aim of this study was to investigate the impact of 14 days of reduced daily steps on fasted and fed-state rates of myofibrillar protein synthesis (MPS) to provide insight into the mechanisms for changes in muscle mass and markers of metabolic health.\\n\\nMETHODS: Before and after 14 days of reduced daily step-count, 10 healthy older adults (age, 72 \u00b1 1 y) underwent measures of insulin sensitivity, muscle strength, physical function, and body composition. Using a primed constant infusion of L-[ring-(13)C6]phenylalanine with serial muscle biopsies, basal, postabsorptive, and postprandial rates of MPS were determined before and after the 14-day intervention.\\n\\nRESULTS: Daily step-count was reduced by approximately 76% to 1413 \u00b1 110 steps per day. Leg fat-free mass was reduced by approximately 3.9% (P &lt; .001). Postabsorptive insulin resistance was increased by approximately 12%, and postprandial insulin sensitivity was reduced by approximately 43% after step reduction (P &lt; .005). Concentrations of TNF-\u03b1 and C-reactive protein were increased by approximately 12 and 25%, respectively, after step reduction (P &lt; .05). Postprandial rates of MPS were reduced by approximately 26% after the intervention (P = .028), with no difference in postabsorptive rates.\\n\\nCONCLUSION: The present study demonstrates that 14 days of reduced steps in older adults induces small but measurable reductions in muscle mass that appear to be underpinned by reductions in postprandial MPS and are accompanied by impairments in insulin sensitivity and systemic inflammatory markers and postprandial MPS.", "author" : [ { "dropping-particle" : "", "family" : "Breen", "given" : "Leigh", "non-dropping-particle" : "", "parse-names" : false, "suffix" : "" }, { "dropping-particle" : "", "family" : "Stokes", "given" : "Keith a.", "non-dropping-particle" : "", "parse-names" : false, "suffix" : "" }, { "dropping-particle" : "", "family" : "Churchward-Venne", "given" : "Tyler a.", "non-dropping-particle" : "", "parse-names" : false, "suffix" : "" }, { "dropping-particle" : "", "family" : "Moore", "given" : "Daniel R.", "non-dropping-particle" : "", "parse-names" : false, "suffix" : "" }, { "dropping-particle" : "", "family" : "Baker", "given" : "Stephen K.", "non-dropping-particle" : "", "parse-names" : false, "suffix" : "" }, { "dropping-particle" : "", "family" : "Smith", "given" : "Kenneth", "non-dropping-particle" : "", "parse-names" : false, "suffix" : "" }, { "dropping-particle" : "", "family" : "Atherton", "given" : "Philip J.", "non-dropping-particle" : "", "parse-names" : false, "suffix" : "" }, { "dropping-particle" : "", "family" : "Phillips", "given" : "Stuart M.", "non-dropping-particle" : "", "parse-names" : false, "suffix" : "" } ], "container-title" : "Journal of Clinical Endocrinology and Metabolism", "id" : "ITEM-1", "issue" : "6", "issued" : { "date-parts" : [ [ "2013", "6" ] ] }, "note" : "From Duplicate 1 ( ", "page" : "2604-2612", "title" : "Two weeks of reduced activity decreases leg lean mass and induces \"anabolic resistance\" of myofibrillar protein synthesis in healthy elderly", "type" : "article-journal", "volume" : "98" }, "uris" : [ "http://www.mendeley.com/documents/?uuid=7b247101-8e58-4f48-a336-f3d4e1f8abfc" ] } ], "mendeley" : { "formattedCitation" : "&lt;sup&gt;82&lt;/sup&gt;", "plainTextFormattedCitation" : "82", "previouslyFormattedCitation" : "&lt;sup&gt;82&lt;/sup&gt;"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82</w:t>
      </w:r>
      <w:r>
        <w:rPr>
          <w:rFonts w:cs="Times New Roman"/>
        </w:rPr>
        <w:fldChar w:fldCharType="end"/>
      </w:r>
      <w:r>
        <w:rPr>
          <w:rFonts w:cs="Times New Roman"/>
        </w:rPr>
        <w:t>, such a discrepancy between this study and Devries et al.</w:t>
      </w:r>
      <w:r w:rsidR="00E15550">
        <w:rPr>
          <w:rFonts w:cs="Times New Roman"/>
        </w:rPr>
        <w:fldChar w:fldCharType="begin" w:fldLock="1"/>
      </w:r>
      <w:r w:rsidR="000709FC">
        <w:rPr>
          <w:rFonts w:cs="Times New Roman"/>
        </w:rPr>
        <w:instrText>ADDIN CSL_CITATION { "citationItems" : [ { "id" : "ITEM-1", "itemData" : { "author" : [ { "dropping-particle" : "", "family" : "Devries", "given" : "M", "non-dropping-particle" : "", "parse-names" : false, "suffix" : "" }, { "dropping-particle" : "", "family" : "Breen", "given" : "L", "non-dropping-particle" : "", "parse-names" : false, "suffix" : "" }, { "dropping-particle" : "", "family" : "Allmen", "given" : "M", "non-dropping-particle" : "von", "parse-names" : false, "suffix" : "" }, { "dropping-particle" : "", "family" : "Moore", "given" : "D", "non-dropping-particle" : "", "parse-names" : false, "suffix" : "" }, { "dropping-particle" : "", "family" : "Phillips", "given" : "SM", "non-dropping-particle" : "", "parse-names" : false, "suffix" : "" } ], "container-title" : "Unpublished - personal communication", "id" : "ITEM-1", "issued" : { "date-parts" : [ [ "0" ] ] }, "title" : "Low-load resistance training during step-reduction attenuates declines in muscle mass and strength and enhances anabolic sensitivity in older men", "type" : "article-journal" }, "uris" : [ "http://www.mendeley.com/documents/?uuid=5cdfb8ee-470a-446b-aab6-1051a07d2fae" ] } ], "mendeley" : { "formattedCitation" : "&lt;sup&gt;89&lt;/sup&gt;", "plainTextFormattedCitation" : "89", "previouslyFormattedCitation" : "&lt;sup&gt;89&lt;/sup&gt;" }, "properties" : { "noteIndex" : 0 }, "schema" : "https://github.com/citation-style-language/schema/raw/master/csl-citation.json" }</w:instrText>
      </w:r>
      <w:r w:rsidR="00E15550">
        <w:rPr>
          <w:rFonts w:cs="Times New Roman"/>
        </w:rPr>
        <w:fldChar w:fldCharType="separate"/>
      </w:r>
      <w:r w:rsidR="003D1F84" w:rsidRPr="003D1F84">
        <w:rPr>
          <w:rFonts w:cs="Times New Roman"/>
          <w:noProof/>
          <w:vertAlign w:val="superscript"/>
        </w:rPr>
        <w:t>89</w:t>
      </w:r>
      <w:r w:rsidR="00E15550">
        <w:rPr>
          <w:rFonts w:cs="Times New Roman"/>
        </w:rPr>
        <w:fldChar w:fldCharType="end"/>
      </w:r>
      <w:r>
        <w:rPr>
          <w:rFonts w:cs="Times New Roman"/>
        </w:rPr>
        <w:t xml:space="preserve"> could be related to the variation in ISO-</w:t>
      </w:r>
      <w:r w:rsidRPr="00BF35FB">
        <w:rPr>
          <w:rFonts w:cs="Times New Roman"/>
        </w:rPr>
        <w:t>MVC</w:t>
      </w:r>
      <w:r>
        <w:rPr>
          <w:rFonts w:cs="Times New Roman"/>
          <w:vertAlign w:val="subscript"/>
        </w:rPr>
        <w:t>peak</w:t>
      </w:r>
      <w:r>
        <w:rPr>
          <w:rFonts w:cs="Times New Roman"/>
        </w:rPr>
        <w:t xml:space="preserve"> measurement. </w:t>
      </w:r>
      <w:r w:rsidRPr="00BF35FB">
        <w:t>Peak</w:t>
      </w:r>
      <w:r>
        <w:t xml:space="preserve"> torque production did not differ significantly between the first and second familiarizations or BL in the current study; however, BL ISO-</w:t>
      </w:r>
      <w:r w:rsidRPr="00327775">
        <w:t>MVC</w:t>
      </w:r>
      <w:r w:rsidRPr="00327775">
        <w:rPr>
          <w:vertAlign w:val="subscript"/>
        </w:rPr>
        <w:t>peak</w:t>
      </w:r>
      <w:r w:rsidRPr="00327775">
        <w:t xml:space="preserve"> was</w:t>
      </w:r>
      <w:r>
        <w:t xml:space="preserve"> 3.6% lower (NS) than the average of both familiarizations. Furthermore, 70% of participants did not match the peak torque produced during familiarizations when producing ISO-MVCs during BL testing. Older adults may require more familiarization to limit variation when performing maximal tests of strength and some have suggested more than 7 sessions</w:t>
      </w:r>
      <w:r>
        <w:fldChar w:fldCharType="begin" w:fldLock="1"/>
      </w:r>
      <w:r w:rsidR="002463EB">
        <w:instrText>ADDIN CSL_CITATION { "citationItems" : [ { "id" : "ITEM-1", "itemData" : { "DOI" : "10.1519/1533-4287(2001)015&lt;0519:OAFTST&gt;2.0.CO;2", "ISBN" : "1064-8011 (Print)\\r1064-8011 (Linking)", "ISSN" : "1064-8011", "PMID" : "11726267", "abstract" : "The purpose of this study was to compare the number of testing sessions required to achieve consistent 1 repetition maximum (1RM) strength measurements in untrained old and young women. Consistency of measurement was defined as consecutive 1 RM strength measures that increased by 1 kg or less. Untrained old (n = 6, age 66 +/- 5 years) and untrained young (n = 7, age 23 +/- 4 years) women were repeatedly strength-tested for bilateral concentric knee extension 1 RM strength until consecutive measurements were increased by no more than 1 kg. At least 48 hours of rest was allowed between 1 RM measurements. The old subjects required significantly more testing sessions (8-9 sessions) compared with the young subjects (3-4 sessions) to achieve the same absolute consistency of measurement (p &lt; 0.05). Absolute increase in strength between the first and final testing sessions did not differ between groups (young = 11 +/- 4 kg and old = 13 +/- 2 kg) (p &gt; 0.05). The relative increase was significantly greater in the older subjects (young = 12 +/- 5%; old = 22 +/- 4%) (p &lt; 0.05). In conclusion, older subjects require more practice and familiarization and show greater relative increases in 1RM strength when compared with younger subjects of the same experience level. This is important to consider, especially when evaluating the magnitude of strength increase in response to resistance training.", "author" : [ { "dropping-particle" : "", "family" : "Ploutz-Snyder", "given" : "L L", "non-dropping-particle" : "", "parse-names" : false, "suffix" : "" }, { "dropping-particle" : "", "family" : "Giamis", "given" : "E L", "non-dropping-particle" : "", "parse-names" : false, "suffix" : "" } ], "container-title" : "Journal of strength and conditioning research / National Strength &amp; Conditioning Association", "id" : "ITEM-1", "issue" : "4", "issued" : { "date-parts" : [ [ "2001" ] ] }, "page" : "519-523", "title" : "Orientation and familiarization to 1RM strength testing in old and young women.", "type" : "article-journal", "volume" : "15" }, "uris" : [ "http://www.mendeley.com/documents/?uuid=89e3e8ea-0ebf-4fbe-8793-c187d8d97567" ] } ], "mendeley" : { "formattedCitation" : "&lt;sup&gt;139&lt;/sup&gt;", "plainTextFormattedCitation" : "139", "previouslyFormattedCitation" : "&lt;sup&gt;139&lt;/sup&gt;" }, "properties" : { "noteIndex" : 0 }, "schema" : "https://github.com/citation-style-language/schema/raw/master/csl-citation.json" }</w:instrText>
      </w:r>
      <w:r>
        <w:fldChar w:fldCharType="separate"/>
      </w:r>
      <w:r w:rsidR="002463EB" w:rsidRPr="002463EB">
        <w:rPr>
          <w:noProof/>
          <w:vertAlign w:val="superscript"/>
        </w:rPr>
        <w:t>139</w:t>
      </w:r>
      <w:r>
        <w:fldChar w:fldCharType="end"/>
      </w:r>
      <w:r>
        <w:t xml:space="preserve">. Isometric knee extension torque measured using a standard dynamometer can vary by </w:t>
      </w:r>
      <w:r>
        <w:rPr>
          <w:rFonts w:cs="Times New Roman"/>
        </w:rPr>
        <w:t>±</w:t>
      </w:r>
      <w:r>
        <w:t>19 Nm due to factors unrelated to research interventions in older adults</w:t>
      </w:r>
      <w:r>
        <w:fldChar w:fldCharType="begin" w:fldLock="1"/>
      </w:r>
      <w:r w:rsidR="002463EB">
        <w:instrText>ADDIN CSL_CITATION { "citationItems" : [ { "id" : "ITEM-1", "itemData" : { "DOI" : "10.1519/R-16974.1", "ISBN" : "1064-8011 (Print)", "ISSN" : "1064-8011", "PMID" : "16503696", "abstract" : "Strength training for older adults is increasingly common, yet surprisingly little research has evaluated the reliability of strength testing protocols in this population. Thirty-three volunteers (17 women, 16 men; 72 +/- 6 years) were tested for strength of the knee and ankle using a Biodex 3 dynamometer on 3 separate occasions. The peak torque and work for each test was analyzed for reliability over the last 2 visits using limits of agreement (LOA). The magnitude of the systematic bias was 8 Nm or less for the peak torque and 5 J or less for the work measures. The random error ranged from 9 to 20 Nm and 6 to 24 J for peak torque and work, respectively. Heteroscedasticity was present in 8 of the 20 measures. The ratio LOA ranged from 21% to 43% for these peak torque and work measures. The total error of each strength measure, which was mostly comprised of random error, can be applied to interpretation and development of training protocols for the older adult.", "author" : [ { "dropping-particle" : "", "family" : "Ordway", "given" : "Nathaniel R", "non-dropping-particle" : "", "parse-names" : false, "suffix" : "" }, { "dropping-particle" : "", "family" : "Hand", "given" : "Nicole", "non-dropping-particle" : "", "parse-names" : false, "suffix" : "" }, { "dropping-particle" : "", "family" : "Briggs", "given" : "Gabe", "non-dropping-particle" : "", "parse-names" : false, "suffix" : "" }, { "dropping-particle" : "", "family" : "Ploutz-Snyder", "given" : "Lori L", "non-dropping-particle" : "", "parse-names" : false, "suffix" : "" } ], "container-title" : "Journal of strength and conditioning research / National Strength &amp; Conditioning Association", "id" : "ITEM-1", "issue" : "1", "issued" : { "date-parts" : [ [ "2006", "2" ] ] }, "page" : "82-87", "title" : "Reliability of knee and ankle strength measures in an older adult population.", "type" : "article-journal", "volume" : "20" }, "uris" : [ "http://www.mendeley.com/documents/?uuid=cc13f198-0c8b-4c28-83b1-f4231129b386" ] } ], "mendeley" : { "formattedCitation" : "&lt;sup&gt;140&lt;/sup&gt;", "plainTextFormattedCitation" : "140", "previouslyFormattedCitation" : "&lt;sup&gt;140&lt;/sup&gt;" }, "properties" : { "noteIndex" : 0 }, "schema" : "https://github.com/citation-style-language/schema/raw/master/csl-citation.json" }</w:instrText>
      </w:r>
      <w:r>
        <w:fldChar w:fldCharType="separate"/>
      </w:r>
      <w:r w:rsidR="002463EB" w:rsidRPr="002463EB">
        <w:rPr>
          <w:noProof/>
          <w:vertAlign w:val="superscript"/>
        </w:rPr>
        <w:t>140</w:t>
      </w:r>
      <w:r>
        <w:fldChar w:fldCharType="end"/>
      </w:r>
      <w:r>
        <w:t>.  This degree of variation is approximately ±13% of the measured torque production in the current study and much greater than any anticipated change in strength with a two-week SR protocol. Even with a familiarization session there is still a systematic bias for knee extension ISO-MVC</w:t>
      </w:r>
      <w:r>
        <w:rPr>
          <w:vertAlign w:val="subscript"/>
        </w:rPr>
        <w:t>peak</w:t>
      </w:r>
      <w:r>
        <w:t xml:space="preserve"> to increase ~8 Nm with repeated testing</w:t>
      </w:r>
      <w:r>
        <w:fldChar w:fldCharType="begin" w:fldLock="1"/>
      </w:r>
      <w:r w:rsidR="002463EB">
        <w:instrText>ADDIN CSL_CITATION { "citationItems" : [ { "id" : "ITEM-1", "itemData" : { "DOI" : "10.1519/R-16974.1", "ISBN" : "1064-8011 (Print)", "ISSN" : "1064-8011", "PMID" : "16503696", "abstract" : "Strength training for older adults is increasingly common, yet surprisingly little research has evaluated the reliability of strength testing protocols in this population. Thirty-three volunteers (17 women, 16 men; 72 +/- 6 years) were tested for strength of the knee and ankle using a Biodex 3 dynamometer on 3 separate occasions. The peak torque and work for each test was analyzed for reliability over the last 2 visits using limits of agreement (LOA). The magnitude of the systematic bias was 8 Nm or less for the peak torque and 5 J or less for the work measures. The random error ranged from 9 to 20 Nm and 6 to 24 J for peak torque and work, respectively. Heteroscedasticity was present in 8 of the 20 measures. The ratio LOA ranged from 21% to 43% for these peak torque and work measures. The total error of each strength measure, which was mostly comprised of random error, can be applied to interpretation and development of training protocols for the older adult.", "author" : [ { "dropping-particle" : "", "family" : "Ordway", "given" : "Nathaniel R", "non-dropping-particle" : "", "parse-names" : false, "suffix" : "" }, { "dropping-particle" : "", "family" : "Hand", "given" : "Nicole", "non-dropping-particle" : "", "parse-names" : false, "suffix" : "" }, { "dropping-particle" : "", "family" : "Briggs", "given" : "Gabe", "non-dropping-particle" : "", "parse-names" : false, "suffix" : "" }, { "dropping-particle" : "", "family" : "Ploutz-Snyder", "given" : "Lori L", "non-dropping-particle" : "", "parse-names" : false, "suffix" : "" } ], "container-title" : "Journal of strength and conditioning research / National Strength &amp; Conditioning Association", "id" : "ITEM-1", "issue" : "1", "issued" : { "date-parts" : [ [ "2006", "2" ] ] }, "page" : "82-87", "title" : "Reliability of knee and ankle strength measures in an older adult population.", "type" : "article-journal", "volume" : "20" }, "uris" : [ "http://www.mendeley.com/documents/?uuid=cc13f198-0c8b-4c28-83b1-f4231129b386" ] } ], "mendeley" : { "formattedCitation" : "&lt;sup&gt;140&lt;/sup&gt;", "plainTextFormattedCitation" : "140", "previouslyFormattedCitation" : "&lt;sup&gt;140&lt;/sup&gt;" }, "properties" : { "noteIndex" : 0 }, "schema" : "https://github.com/citation-style-language/schema/raw/master/csl-citation.json" }</w:instrText>
      </w:r>
      <w:r>
        <w:fldChar w:fldCharType="separate"/>
      </w:r>
      <w:r w:rsidR="002463EB" w:rsidRPr="002463EB">
        <w:rPr>
          <w:noProof/>
          <w:vertAlign w:val="superscript"/>
        </w:rPr>
        <w:t>140</w:t>
      </w:r>
      <w:r>
        <w:fldChar w:fldCharType="end"/>
      </w:r>
      <w:r>
        <w:t>. We attempted to limit the variability in ISO-MVC by recording all apparatus settings for testing, providing a reasonable number of familiarization sessions (two), and giving verbal encouragement to participants</w:t>
      </w:r>
      <w:r>
        <w:fldChar w:fldCharType="begin" w:fldLock="1"/>
      </w:r>
      <w:r w:rsidR="002463EB">
        <w:instrText>ADDIN CSL_CITATION { "citationItems" : [ { "id" : "ITEM-1", "itemData" : { "DOI" : "10.1080/15438629909512545", "ISBN" : "0959-3020", "ISSN" : "1057-8315", "author" : [ { "dropping-particle" : "", "family" : "Kimura", "given" : "Iris F.", "non-dropping-particle" : "", "parse-names" : false, "suffix" : "" }, { "dropping-particle" : "", "family" : "Gulick", "given" : "Dawn T.", "non-dropping-particle" : "", "parse-names" : false, "suffix" : "" }, { "dropping-particle" : "", "family" : "Lukasiewicz", "given" : "William C.", "non-dropping-particle" : "", "parse-names" : false, "suffix" : "" } ], "container-title" : "Sports Medicine, Training and Rehabilitation", "id" : "ITEM-1", "issue" : "1", "issued" : { "date-parts" : [ [ "1999" ] ] }, "page" : "61-70", "title" : "Effect of visual feedback and verbal encouragement on eccentric quadriceps and hamstrings peak torque", "type" : "article-journal", "volume" : "9" }, "uris" : [ "http://www.mendeley.com/documents/?uuid=950c2720-740d-46c5-b182-d6d5d2116eed" ] } ], "mendeley" : { "formattedCitation" : "&lt;sup&gt;141&lt;/sup&gt;", "plainTextFormattedCitation" : "141", "previouslyFormattedCitation" : "&lt;sup&gt;141&lt;/sup&gt;" }, "properties" : { "noteIndex" : 0 }, "schema" : "https://github.com/citation-style-language/schema/raw/master/csl-citation.json" }</w:instrText>
      </w:r>
      <w:r>
        <w:fldChar w:fldCharType="separate"/>
      </w:r>
      <w:r w:rsidR="002463EB" w:rsidRPr="002463EB">
        <w:rPr>
          <w:noProof/>
          <w:vertAlign w:val="superscript"/>
        </w:rPr>
        <w:t>141</w:t>
      </w:r>
      <w:r>
        <w:fldChar w:fldCharType="end"/>
      </w:r>
      <w:r>
        <w:t>. Nonetheless, the use of visual feedback</w:t>
      </w:r>
      <w:r>
        <w:fldChar w:fldCharType="begin" w:fldLock="1"/>
      </w:r>
      <w:r w:rsidR="002463EB">
        <w:instrText>ADDIN CSL_CITATION { "citationItems" : [ { "id" : "ITEM-1", "itemData" : { "DOI" : "10.1080/15438629909512545", "ISBN" : "0959-3020", "ISSN" : "1057-8315", "author" : [ { "dropping-particle" : "", "family" : "Kimura", "given" : "Iris F.", "non-dropping-particle" : "", "parse-names" : false, "suffix" : "" }, { "dropping-particle" : "", "family" : "Gulick", "given" : "Dawn T.", "non-dropping-particle" : "", "parse-names" : false, "suffix" : "" }, { "dropping-particle" : "", "family" : "Lukasiewicz", "given" : "William C.", "non-dropping-particle" : "", "parse-names" : false, "suffix" : "" } ], "container-title" : "Sports Medicine, Training and Rehabilitation", "id" : "ITEM-1", "issue" : "1", "issued" : { "date-parts" : [ [ "1999" ] ] }, "page" : "61-70", "title" : "Effect of visual feedback and verbal encouragement on eccentric quadriceps and hamstrings peak torque", "type" : "article-journal", "volume" : "9" }, "uris" : [ "http://www.mendeley.com/documents/?uuid=950c2720-740d-46c5-b182-d6d5d2116eed" ] } ], "mendeley" : { "formattedCitation" : "&lt;sup&gt;141&lt;/sup&gt;", "plainTextFormattedCitation" : "141", "previouslyFormattedCitation" : "&lt;sup&gt;141&lt;/sup&gt;" }, "properties" : { "noteIndex" : 0 }, "schema" : "https://github.com/citation-style-language/schema/raw/master/csl-citation.json" }</w:instrText>
      </w:r>
      <w:r>
        <w:fldChar w:fldCharType="separate"/>
      </w:r>
      <w:r w:rsidR="002463EB" w:rsidRPr="002463EB">
        <w:rPr>
          <w:noProof/>
          <w:vertAlign w:val="superscript"/>
        </w:rPr>
        <w:t>141</w:t>
      </w:r>
      <w:r>
        <w:fldChar w:fldCharType="end"/>
      </w:r>
      <w:r>
        <w:t xml:space="preserve"> and/or superimposed twitch interpolation</w:t>
      </w:r>
      <w:r>
        <w:fldChar w:fldCharType="begin" w:fldLock="1"/>
      </w:r>
      <w:r w:rsidR="002463EB">
        <w:instrText>ADDIN CSL_CITATION { "citationItems" : [ { "id" : "ITEM-1", "itemData" : { "DOI" : "10.1002/mus.880180605", "ISBN" : "0148-639X (Print)", "ISSN" : "0148639X", "PMID" : "7753121", "abstract" : "We investigated the reproducibility of measurements of maximal voluntary torque and maximal voluntary activation using twitch interpolation. On 5 days, each of 5 subjects performed 10 maximal voluntary isometric contractions of their elbow flexors. Single supramaximal stimuli were delivered over biceps brachii at the measured peak torque during each effort, and in the relaxed muscle 5 s later. A voluntary activation score was calculated from the size of twitches evoked by the stimuli (resolution &lt; 0.15 Nm). Although all subjects were able to drive the stimulated elbow flexor muscles maximally in some trials, they did not do so in 75% of all contractions. Maximal voluntary torques did not vary significantly within a subject between sessions. There were consistent differences in the level of maximal voluntary activation between subjects (P &lt; 0.01), but no differences in voluntary activation within an individual across days in 4 of 5 subjects. Failure to drive the stimulated elbow flexor muscles maximally was not associated with inadvertent co-contraction of the antagonist muscles.", "author" : [ { "dropping-particle" : "", "family" : "Allen", "given" : "G. M.", "non-dropping-particle" : "", "parse-names" : false, "suffix" : "" }, { "dropping-particle" : "", "family" : "Gandevia", "given" : "S. C.", "non-dropping-particle" : "", "parse-names" : false, "suffix" : "" }, { "dropping-particle" : "", "family" : "McKenzie", "given" : "D. K.", "non-dropping-particle" : "", "parse-names" : false, "suffix" : "" } ], "container-title" : "Muscle and Nerve", "id" : "ITEM-1", "issue" : "6", "issued" : { "date-parts" : [ [ "1995" ] ] }, "page" : "593-600", "title" : "Reliability of measurements of muscle strength and voluntary activation using twitch interpolation", "type" : "article-journal", "volume" : "18" }, "uris" : [ "http://www.mendeley.com/documents/?uuid=f8c4847d-a99d-45b6-b08c-453ab3d1e804" ] } ], "mendeley" : { "formattedCitation" : "&lt;sup&gt;142&lt;/sup&gt;", "plainTextFormattedCitation" : "142", "previouslyFormattedCitation" : "&lt;sup&gt;142&lt;/sup&gt;" }, "properties" : { "noteIndex" : 0 }, "schema" : "https://github.com/citation-style-language/schema/raw/master/csl-citation.json" }</w:instrText>
      </w:r>
      <w:r>
        <w:fldChar w:fldCharType="separate"/>
      </w:r>
      <w:r w:rsidR="002463EB" w:rsidRPr="002463EB">
        <w:rPr>
          <w:noProof/>
          <w:vertAlign w:val="superscript"/>
        </w:rPr>
        <w:t>142</w:t>
      </w:r>
      <w:r>
        <w:fldChar w:fldCharType="end"/>
      </w:r>
      <w:r>
        <w:t xml:space="preserve"> would be other employable options to achieve true maximal contraction during voluntary contractions. Therefore, the dynamometer used to assess ISO-</w:t>
      </w:r>
      <w:r w:rsidRPr="000E72B1">
        <w:t>MVC</w:t>
      </w:r>
      <w:r>
        <w:rPr>
          <w:vertAlign w:val="subscript"/>
        </w:rPr>
        <w:t>peak</w:t>
      </w:r>
      <w:r>
        <w:t xml:space="preserve"> may simply not be sensitive enough to measure the strength loss associated with SR. </w:t>
      </w:r>
    </w:p>
    <w:p w14:paraId="030648D2" w14:textId="77777777" w:rsidR="00DA792D" w:rsidRDefault="00DA792D" w:rsidP="00DA792D">
      <w:pPr>
        <w:spacing w:line="480" w:lineRule="auto"/>
        <w:rPr>
          <w:rFonts w:cs="Times New Roman"/>
          <w:b/>
          <w:i/>
        </w:rPr>
      </w:pPr>
    </w:p>
    <w:p w14:paraId="2324629A" w14:textId="77777777" w:rsidR="00DA792D" w:rsidRDefault="00DA792D" w:rsidP="00DA792D">
      <w:pPr>
        <w:pStyle w:val="Heading3"/>
      </w:pPr>
      <w:bookmarkStart w:id="68" w:name="_Toc296814811"/>
      <w:bookmarkStart w:id="69" w:name="_Toc296932790"/>
      <w:r>
        <w:t>RTD</w:t>
      </w:r>
      <w:bookmarkEnd w:id="68"/>
      <w:bookmarkEnd w:id="69"/>
      <w:r>
        <w:t xml:space="preserve"> </w:t>
      </w:r>
    </w:p>
    <w:p w14:paraId="45E77E45" w14:textId="18587D68" w:rsidR="00DA792D" w:rsidRDefault="00DA792D" w:rsidP="00DA792D">
      <w:pPr>
        <w:spacing w:line="480" w:lineRule="auto"/>
        <w:rPr>
          <w:rFonts w:cs="Times New Roman"/>
        </w:rPr>
      </w:pPr>
      <w:r>
        <w:rPr>
          <w:rFonts w:cs="Times New Roman"/>
        </w:rPr>
        <w:tab/>
        <w:t>Impairment in the rate of force production has been found after disuse and is seemingly more pronounced in older adults</w:t>
      </w:r>
      <w:r>
        <w:rPr>
          <w:rFonts w:cs="Times New Roman"/>
        </w:rPr>
        <w:fldChar w:fldCharType="begin" w:fldLock="1"/>
      </w:r>
      <w:r w:rsidR="002463EB">
        <w:rPr>
          <w:rFonts w:cs="Times New Roman"/>
        </w:rPr>
        <w:instrText>ADDIN CSL_CITATION { "citationItems" : [ { "id" : "ITEM-1", "itemData" : { "DOI" : "10.1249/MSS.0b013e318164f4b6", "ISSN" : "01959131", "PMID" : "18408613", "abstract" : "INTRODUCTION: The purpose of this investigation was to determine whether young (21.7 yr) and aged (68.5 yr) men experienced similar responses to 7 d of muscle unloading (N = 10 per group). METHODS: Unilateral lower limb suspension (ULLS) was used to impose muscle unloading of the knee extensors. To compare the effects of unloading on aged and young men, a repeated-measures factorial ANOVA was used to assess those effects on isometric strength, as well as strength, total work, and average power during isokinetic contractions conducted at 0.53, 1.05, and 2.09 rad.s(-1). RESULTS: Data showed that at slower speeds of movement, only a main effect of unloading was identified with young and aged men displaying similar and significant (P &lt; 0.05) ULLS-induced decrements in strength, work, and power. The decrease in isometric strength correlated well with loss of electromyographic activity of contracting muscles (r = 0.79, P = 0.0002). At higher speeds of isokinetic contractions, not only was a main effect of age detected (young &gt; aged), but it was also revealed that aged men, but not young men, experienced significant unloading-induced declines in muscle performance. Moreover, unloading resulted in a significant increase in plasma cortisol, a potent catabolic hormone, only among aged men. In contrast to other variables assessed, muscle endurance, quantified during 30 repetitions completed at 3.14 rad.s(-1), did not differ between age groups, nor was it altered by unloading. CONCLUSION: These findings suggest that young and aged men respond differently to muscle unloading, but in assessing muscle performance, these differences are manifested only during faster contractile velocities.", "author" : [ { "dropping-particle" : "", "family" : "Deschenes", "given" : "Michael R.", "non-dropping-particle" : "", "parse-names" : false, "suffix" : "" }, { "dropping-particle" : "", "family" : "Holdren", "given" : "Ashley N.", "non-dropping-particle" : "", "parse-names" : false, "suffix" : "" }, { "dropping-particle" : "", "family" : "Mccoy", "given" : "Raymond W.", "non-dropping-particle" : "", "parse-names" : false, "suffix" : "" } ], "container-title" : "Medicine and Science in Sports and Exercise", "id" : "ITEM-1", "issue" : "5", "issued" : { "date-parts" : [ [ "2008" ] ] }, "page" : "856-863", "title" : "Adaptations to short-term muscle unloading in young and aged men", "type" : "article-journal", "volume" : "40" }, "uris" : [ "http://www.mendeley.com/documents/?uuid=7da201fb-6472-4e6d-a347-d8ecefcb2f84" ] }, { "id" : "ITEM-2", "itemData" : { "DOI" : "10.1113/jphysiol.2003.046276", "ISBN" : "0022-3751", "ISSN" : "0022-3751", "PMID" : "14561832", "abstract" : "Biopsy samples were taken from vastus lateralis muscle of seven young (YO, age 30.2 +/- 2.2 years), and seven elderly (EL, age 72.7 +/- 2.3 years) subjects and two elderly subjects whose right leg had been immobilized for 3.5 months (EL-IMM, ages 70 and 75). The following main parameters were studied: (1) myosin heavy chain (MHC) isoform distribution of the samples, determined by SDS-PAGE; (2) cross-sectional area (CSA), specific force (Po/CSA) and maximum shortening velocity (Vo) of a large population (n = 593) of single skinned muscle fibres, classified on the basis of MHC isoform composition determined by SDS-PAGE; (3) actin sliding velocity (Vf) on pure myosin isoforms determined by in vitro motility assays; (4) myosin concentration in single fibres determined by quantitative SDS-PAGE. MHC isoform distribution was shifted towards fast isoforms in EL and to a larger extent in EL-IMM. In EL and, more consistently, in EL-IMM we observed a higher percentage of hybrid fibres than in YO, and noted the presence of MHC-neonatal and of unusual hybrid fibres containing more than two MHC isoforms. Po/CSA significantly decreased in type 1 and 2A fibres in the order YO EL EL-IMM. Vo of type 1 and 2A fibres was significantly lower in EL and higher in EL-IMM than in YO, i.e. immobilization more than counteracted the age-dependent decrease in Vo. The latter phenomenon was not observed for Vf. Vf on myosin 1 was lower in both EL and EL-IMM than in YO. Vf on myosin 2X was lower in EL than in YO, and a similar trend was observed for myosin 2A. Myosin concentration decreased in type 1 and 2A fibres in the order YO EL EL-IMM and was linearly related to the Po/CSA values of corresponding fibre types from the same subjects. The experiments suggest that (1) myosin concentration is a major determinant of the lower Po/CSA of single fibres in ageing and especially following immobilization and (2) ageing is associated with lower Vo of single fibres due to changes in the properties of myosin itself, whereas immobilization is associated with higher Vo in the absence of a change in myosin function.", "author" : [ { "dropping-particle" : "", "family" : "D'Antona", "given" : "Giuseppe", "non-dropping-particle" : "", "parse-names" : false, "suffix" : "" }, { "dropping-particle" : "", "family" : "Pellegrino", "given" : "Maria Antonietta", "non-dropping-particle" : "", "parse-names" : false, "suffix" : "" }, { "dropping-particle" : "", "family" : "Adami", "given" : "Raffaella", "non-dropping-particle" : "", "parse-names" : false, "suffix" : "" }, { "dropping-particle" : "", "family" : "Rossi", "given" : "Rosetta", "non-dropping-particle" : "", "parse-names" : false, "suffix" : "" }, { "dropping-particle" : "", "family" : "Carlizzi", "given" : "Carmine Naccari", "non-dropping-particle" : "", "parse-names" : false, "suffix" : "" }, { "dropping-particle" : "", "family" : "Canepari", "given" : "Monica", "non-dropping-particle" : "", "parse-names" : false, "suffix" : "" }, { "dropping-particle" : "", "family" : "Saltin", "given" : "Bengt", "non-dropping-particle" : "", "parse-names" : false, "suffix" : "" }, { "dropping-particle" : "", "family" : "Bottinelli", "given" : "Roberto", "non-dropping-particle" : "", "parse-names" : false, "suffix" : "" } ], "container-title" : "The Journal of physiology", "id" : "ITEM-2", "issue" : "Pt 2", "issued" : { "date-parts" : [ [ "2003", "10", "15" ] ] }, "page" : "499-511", "title" : "The effect of ageing and immobilization on structure and function of human skeletal muscle fibres.", "type" : "article-journal", "volume" : "552" }, "uris" : [ "http://www.mendeley.com/documents/?uuid=26c8aaff-22f8-42cd-800a-13bdb81b9c6f" ] }, { "id" : "ITEM-3", "itemData" : { "DOI" : "10.1152/japplphysiol.00637.2010", "ISBN" : "1522-1601 (Electronic)\\n0161-7567 (Linking)", "ISSN" : "8750-7587", "PMID" : "20864557", "abstract" : "Very little attention has been given to the combined effects of aging and disuse as separate factors causing deterioration in muscle mechanical function. Thus the purpose of this study was to investigate the effects of 2 wk of immobilization followed by 4 wk of retraining on knee extensor muscle mechanical function (e.g., maximal strength and rapid force capacity) and muscle fiber morphology in 9 old (OM: 67.3 \u00b1 1.3 yr) and 11 young healthy men (YM: 24.4 \u00b1 0.5 yr) with comparable levels of physical activity. Following immobilization, OM demonstrated markedly larger decreases in rapid force capacity (i.e., rate of force development, impulse) than YM (\u223c 20-37 vs. \u223c 13-16%; P &lt; 0.05). In contrast, muscle fiber area decreased in YM for type I, IIA, and IIx fibers (\u223c 15-30%; P &lt; 0.05), whereas only type IIa area decreased in OM (13.2%; P &lt; 0.05). Subsequent retraining fully restored muscle mechanical function and muscle fiber area in YM, whereas OM showed an attenuated recovery in muscle fiber area and rapid force capacity (tendency). Changes in maximal isometric and dynamic muscle strength were similar between OM and YM. In conclusion, the present data reveal that OM may be more susceptible to the deleterious effects of short-term muscle disuse on muscle fiber size and rapid force capacity than YM. Furthermore, OM seems to require longer time to recover and regain rapid muscle force capacity, which may lead to a larger risk of falling in aged individuals after periods of short-term disuse.", "author" : [ { "dropping-particle" : "", "family" : "Hvid", "given" : "Lars", "non-dropping-particle" : "", "parse-names" : false, "suffix" : "" }, { "dropping-particle" : "", "family" : "Aagaard", "given" : "Per", "non-dropping-particle" : "", "parse-names" : false, "suffix" : "" }, { "dropping-particle" : "", "family" : "Justesen", "given" : "Lene", "non-dropping-particle" : "", "parse-names" : false, "suffix" : "" }, { "dropping-particle" : "", "family" : "Bayer", "given" : "Monika L", "non-dropping-particle" : "", "parse-names" : false, "suffix" : "" }, { "dropping-particle" : "", "family" : "Andersen", "given" : "Jesper L", "non-dropping-particle" : "", "parse-names" : false, "suffix" : "" }, { "dropping-particle" : "", "family" : "\u00d8rtenblad", "given" : "Niels", "non-dropping-particle" : "", "parse-names" : false, "suffix" : "" }, { "dropping-particle" : "", "family" : "Kjaer", "given" : "Michael", "non-dropping-particle" : "", "parse-names" : false, "suffix" : "" }, { "dropping-particle" : "", "family" : "Suetta", "given" : "Charlotte", "non-dropping-particle" : "", "parse-names" : false, "suffix" : "" } ], "container-title" : "Journal of applied physiology (Bethesda, Md. : 1985)", "id" : "ITEM-3", "issue" : "6", "issued" : { "date-parts" : [ [ "2010" ] ] }, "page" : "1628-1634", "title" : "Effects of aging on muscle mechanical function and muscle fiber morphology during short-term immobilization and subsequent retraining.", "type" : "article-journal", "volume" : "109" }, "uris" : [ "http://www.mendeley.com/documents/?uuid=19df41c5-6620-4315-9c2a-fbf7029a597a" ] }, { "id" : "ITEM-4", "itemData" : { "DOI" : "10.1113/jphysiol.2011.215434", "ISBN" : "1469-7793", "ISSN" : "1469-7793", "PMID" : "21825028", "abstract" : "Very little attention has been given to the combined effects of healthy ageing and short-term disuse on the contractile function of human single muscle fibres. Therefore, the present study investigated the effects of 2 weeks of lower limb cast immobilisation (i.e. disuse) on selected contractile properties of single muscle fibres (n = 378) from vastus lateralis of nine young (24 \u00b1 1 years) and eight old (67 \u00b1 2 years) healthy men with comparable levels of physical activity. Prior to immobilisation, MHC IIa fibres produced higher maximum Ca(2+)-activated force (approx. 32%) and specific force (approx. 33%) and had lower Ca(2+) sensitivity than MHC I fibres (P &lt; 0.05), with no differences between young and old. After immobilisation, the decline in single fibre force (MHC I: young 21% and old 22%; MHC IIa: young 22% and old 30%; P &lt; 0.05) as well as specific force (MHC I: young 14% and old 13%; MHC IIa: young 18% and old 25%; P &lt; 0.05) was more pronounced in MHC IIa fibres compared to MHC I fibres (P &lt; 0.05), with no differences between young and old. Notably, there was a selective decrease in Ca(2+) sensitivity in MHC IIa fibres of young (P &lt; 0.05) and in MHC I fibres of old individuals (P &lt; 0.05), respectively. In conclusion, 2 weeks of lower limb immobilisation caused greater impairments in single muscle fibre force and specific force in MHC IIa than MHC I fibres independently of age. In contrast, immobilisation-induced changes in Ca(2+) sensitivity that were dependent on age and MHC isoform.", "author" : [ { "dropping-particle" : "", "family" : "Hvid", "given" : "Lars G", "non-dropping-particle" : "", "parse-names" : false, "suffix" : "" }, { "dropping-particle" : "", "family" : "Ortenblad", "given" : "Niels", "non-dropping-particle" : "", "parse-names" : false, "suffix" : "" }, { "dropping-particle" : "", "family" : "Aagaard", "given" : "Per", "non-dropping-particle" : "", "parse-names" : false, "suffix" : "" }, { "dropping-particle" : "", "family" : "Kjaer", "given" : "Michael", "non-dropping-particle" : "", "parse-names" : false, "suffix" : "" }, { "dropping-particle" : "", "family" : "Suetta", "given" : "Charlotte", "non-dropping-particle" : "", "parse-names" : false, "suffix" : "" } ], "container-title" : "The Journal of physiology", "id" : "ITEM-4", "issue" : "Pt 19", "issued" : { "date-parts" : [ [ "2011", "10", "1" ] ] }, "page" : "4745-57", "title" : "Effects of ageing on single muscle fibre contractile function following short-term immobilisation.", "type" : "article-journal", "volume" : "589" }, "uris" : [ "http://www.mendeley.com/documents/?uuid=bdc4cdb4-95f2-4bbd-b853-4bb145c17756" ] } ], "mendeley" : { "formattedCitation" : "&lt;sup&gt;64,65,88,137&lt;/sup&gt;", "plainTextFormattedCitation" : "64,65,88,137", "previouslyFormattedCitation" : "&lt;sup&gt;64,65,88,137&lt;/sup&gt;"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64,65,88,137</w:t>
      </w:r>
      <w:r>
        <w:rPr>
          <w:rFonts w:cs="Times New Roman"/>
        </w:rPr>
        <w:fldChar w:fldCharType="end"/>
      </w:r>
      <w:r>
        <w:rPr>
          <w:rFonts w:cs="Times New Roman"/>
        </w:rPr>
        <w:t>. Previous work has shown RTD was decreased nearly two-fold in older men compared to younger men after two weeks of knee immobilization, suggesting the elderly may be more susceptible to the neuromuscular consequences of muscular disuse</w:t>
      </w:r>
      <w:r w:rsidR="000541AF">
        <w:rPr>
          <w:rFonts w:cs="Times New Roman"/>
        </w:rPr>
        <w:fldChar w:fldCharType="begin" w:fldLock="1"/>
      </w:r>
      <w:r w:rsidR="000541AF">
        <w:rPr>
          <w:rFonts w:cs="Times New Roman"/>
        </w:rPr>
        <w:instrText>ADDIN CSL_CITATION { "citationItems" : [ { "id" : "ITEM-1", "itemData" : { "DOI" : "10.1152/japplphysiol.00637.2010", "ISBN" : "1522-1601 (Electronic)\\n0161-7567 (Linking)", "ISSN" : "8750-7587", "PMID" : "20864557", "abstract" : "Very little attention has been given to the combined effects of aging and disuse as separate factors causing deterioration in muscle mechanical function. Thus the purpose of this study was to investigate the effects of 2 wk of immobilization followed by 4 wk of retraining on knee extensor muscle mechanical function (e.g., maximal strength and rapid force capacity) and muscle fiber morphology in 9 old (OM: 67.3 \u00b1 1.3 yr) and 11 young healthy men (YM: 24.4 \u00b1 0.5 yr) with comparable levels of physical activity. Following immobilization, OM demonstrated markedly larger decreases in rapid force capacity (i.e., rate of force development, impulse) than YM (\u223c 20-37 vs. \u223c 13-16%; P &lt; 0.05). In contrast, muscle fiber area decreased in YM for type I, IIA, and IIx fibers (\u223c 15-30%; P &lt; 0.05), whereas only type IIa area decreased in OM (13.2%; P &lt; 0.05). Subsequent retraining fully restored muscle mechanical function and muscle fiber area in YM, whereas OM showed an attenuated recovery in muscle fiber area and rapid force capacity (tendency). Changes in maximal isometric and dynamic muscle strength were similar between OM and YM. In conclusion, the present data reveal that OM may be more susceptible to the deleterious effects of short-term muscle disuse on muscle fiber size and rapid force capacity than YM. Furthermore, OM seems to require longer time to recover and regain rapid muscle force capacity, which may lead to a larger risk of falling in aged individuals after periods of short-term disuse.", "author" : [ { "dropping-particle" : "", "family" : "Hvid", "given" : "Lars", "non-dropping-particle" : "", "parse-names" : false, "suffix" : "" }, { "dropping-particle" : "", "family" : "Aagaard", "given" : "Per", "non-dropping-particle" : "", "parse-names" : false, "suffix" : "" }, { "dropping-particle" : "", "family" : "Justesen", "given" : "Lene", "non-dropping-particle" : "", "parse-names" : false, "suffix" : "" }, { "dropping-particle" : "", "family" : "Bayer", "given" : "Monika L", "non-dropping-particle" : "", "parse-names" : false, "suffix" : "" }, { "dropping-particle" : "", "family" : "Andersen", "given" : "Jesper L", "non-dropping-particle" : "", "parse-names" : false, "suffix" : "" }, { "dropping-particle" : "", "family" : "\u00d8rtenblad", "given" : "Niels", "non-dropping-particle" : "", "parse-names" : false, "suffix" : "" }, { "dropping-particle" : "", "family" : "Kjaer", "given" : "Michael", "non-dropping-particle" : "", "parse-names" : false, "suffix" : "" }, { "dropping-particle" : "", "family" : "Suetta", "given" : "Charlotte", "non-dropping-particle" : "", "parse-names" : false, "suffix" : "" } ], "container-title" : "Journal of applied physiology (Bethesda, Md. : 1985)", "id" : "ITEM-1", "issue" : "6", "issued" : { "date-parts" : [ [ "2010" ] ] }, "page" : "1628-1634", "title" : "Effects of aging on muscle mechanical function and muscle fiber morphology during short-term immobilization and subsequent retraining.", "type" : "article-journal", "volume" : "109" }, "uris" : [ "http://www.mendeley.com/documents/?uuid=19df41c5-6620-4315-9c2a-fbf7029a597a" ] }, { "id" : "ITEM-2",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"ITEM-2", "issue" : "4", "issued" : { "date-parts" : [ [ "2009", "10" ] ] }, "page" : "1172-1180", "title" : "Effects of aging on human skeletal muscle after immobilization and retraining.", "type" : "article-journal", "volume" : "107" }, "uris" : [ "http://www.mendeley.com/documents/?uuid=03fe0af6-3cbe-40fc-8c94-5ae48ae103c2" ] } ], "mendeley" : { "formattedCitation" : "&lt;sup&gt;56,64&lt;/sup&gt;", "plainTextFormattedCitation" : "56,64", "previouslyFormattedCitation" : "&lt;sup&gt;56,64&lt;/sup&gt;" }, "properties" : { "noteIndex" : 0 }, "schema" : "https://github.com/citation-style-language/schema/raw/master/csl-citation.json" }</w:instrText>
      </w:r>
      <w:r w:rsidR="000541AF">
        <w:rPr>
          <w:rFonts w:cs="Times New Roman"/>
        </w:rPr>
        <w:fldChar w:fldCharType="separate"/>
      </w:r>
      <w:r w:rsidR="000541AF" w:rsidRPr="000541AF">
        <w:rPr>
          <w:rFonts w:cs="Times New Roman"/>
          <w:noProof/>
          <w:vertAlign w:val="superscript"/>
        </w:rPr>
        <w:t>56,64</w:t>
      </w:r>
      <w:r w:rsidR="000541AF">
        <w:rPr>
          <w:rFonts w:cs="Times New Roman"/>
        </w:rPr>
        <w:fldChar w:fldCharType="end"/>
      </w:r>
      <w:r>
        <w:rPr>
          <w:rFonts w:cs="Times New Roman"/>
        </w:rPr>
        <w:t>. Such disuse-induced reductions in RTD have been associated with an impaired ability to recruit skeletal muscle through reduced central neural drive in the elderly after disuse</w:t>
      </w:r>
      <w:r>
        <w:rPr>
          <w:rFonts w:cs="Times New Roman"/>
        </w:rPr>
        <w:fldChar w:fldCharType="begin" w:fldLock="1"/>
      </w:r>
      <w:r w:rsidR="00225DB1">
        <w:rPr>
          <w:rFonts w:cs="Times New Roman"/>
        </w:rPr>
        <w:instrText>ADDIN CSL_CITATION { "citationItems" : [ { "id" : "ITEM-1",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"ITEM-1", "issue" : "4", "issued" : { "date-parts" : [ [ "2009", "10" ] ] }, "page" : "1172-1180", "title" : "Effects of aging on human skeletal muscle after immobilization and retraining.", "type" : "article-journal", "volume" : "107" }, "uris" : [ "http://www.mendeley.com/documents/?uuid=03fe0af6-3cbe-40fc-8c94-5ae48ae103c2" ] } ], "mendeley" : { "formattedCitation" : "&lt;sup&gt;56&lt;/sup&gt;", "plainTextFormattedCitation" : "56", "previouslyFormattedCitation" : "&lt;sup&gt;56&lt;/sup&gt;"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56</w:t>
      </w:r>
      <w:r>
        <w:rPr>
          <w:rFonts w:cs="Times New Roman"/>
        </w:rPr>
        <w:fldChar w:fldCharType="end"/>
      </w:r>
      <w:r>
        <w:rPr>
          <w:rFonts w:cs="Times New Roman"/>
        </w:rPr>
        <w:t>, particularly in the recruitment of motor neurons innervating type II muscle fibres, which could exacerbate the natural decline of neural activation with aging</w:t>
      </w:r>
      <w:r>
        <w:rPr>
          <w:rFonts w:cs="Times New Roman"/>
        </w:rPr>
        <w:fldChar w:fldCharType="begin" w:fldLock="1"/>
      </w:r>
      <w:r w:rsidR="000709FC">
        <w:rPr>
          <w:rFonts w:cs="Times New Roman"/>
        </w:rPr>
        <w:instrText>ADDIN CSL_CITATION { "citationItems" : [ { "id" : "ITEM-1", "itemData" : { "DOI" : "10.1249/MSS.0b013e318164f4b6", "ISSN" : "01959131", "PMID" : "18408613", "abstract" : "INTRODUCTION: The purpose of this investigation was to determine whether young (21.7 yr) and aged (68.5 yr) men experienced similar responses to 7 d of muscle unloading (N = 10 per group). METHODS: Unilateral lower limb suspension (ULLS) was used to impose muscle unloading of the knee extensors. To compare the effects of unloading on aged and young men, a repeated-measures factorial ANOVA was used to assess those effects on isometric strength, as well as strength, total work, and average power during isokinetic contractions conducted at 0.53, 1.05, and 2.09 rad.s(-1). RESULTS: Data showed that at slower speeds of movement, only a main effect of unloading was identified with young and aged men displaying similar and significant (P &lt; 0.05) ULLS-induced decrements in strength, work, and power. The decrease in isometric strength correlated well with loss of electromyographic activity of contracting muscles (r = 0.79, P = 0.0002). At higher speeds of isokinetic contractions, not only was a main effect of age detected (young &gt; aged), but it was also revealed that aged men, but not young men, experienced significant unloading-induced declines in muscle performance. Moreover, unloading resulted in a significant increase in plasma cortisol, a potent catabolic hormone, only among aged men. In contrast to other variables assessed, muscle endurance, quantified during 30 repetitions completed at 3.14 rad.s(-1), did not differ between age groups, nor was it altered by unloading. CONCLUSION: These findings suggest that young and aged men respond differently to muscle unloading, but in assessing muscle performance, these differences are manifested only during faster contractile velocities.", "author" : [ { "dropping-particle" : "", "family" : "Deschenes", "given" : "Michael R.", "non-dropping-particle" : "", "parse-names" : false, "suffix" : "" }, { "dropping-particle" : "", "family" : "Holdren", "given" : "Ashley N.", "non-dropping-particle" : "", "parse-names" : false, "suffix" : "" }, { "dropping-particle" : "", "family" : "Mccoy", "given" : "Raymond W.", "non-dropping-particle" : "", "parse-names" : false, "suffix" : "" } ], "container-title" : "Medicine and Science in Sports and Exercise", "id" : "ITEM-1", "issue" : "5", "issued" : { "date-parts" : [ [ "2008" ] ] }, "page" : "856-863", "title" : "Adaptations to short-term muscle unloading in young and aged men", "type" : "article-journal", "volume" : "40" }, "uris" : [ "http://www.mendeley.com/documents/?uuid=7da201fb-6472-4e6d-a347-d8ecefcb2f84" ] } ], "mendeley" : { "formattedCitation" : "&lt;sup&gt;88&lt;/sup&gt;", "plainTextFormattedCitation" : "88", "previouslyFormattedCitation" : "&lt;sup&gt;88&lt;/sup&gt;"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88</w:t>
      </w:r>
      <w:r>
        <w:rPr>
          <w:rFonts w:cs="Times New Roman"/>
        </w:rPr>
        <w:fldChar w:fldCharType="end"/>
      </w:r>
      <w:r>
        <w:rPr>
          <w:rFonts w:cs="Times New Roman"/>
        </w:rPr>
        <w:t>. While robust reductions in RTD are evident with complete disuse</w:t>
      </w:r>
      <w:r>
        <w:rPr>
          <w:rFonts w:cs="Times New Roman"/>
        </w:rPr>
        <w:fldChar w:fldCharType="begin" w:fldLock="1"/>
      </w:r>
      <w:r w:rsidR="00225DB1">
        <w:rPr>
          <w:rFonts w:cs="Times New Roman"/>
        </w:rPr>
        <w:instrText>ADDIN CSL_CITATION { "citationItems" : [ { "id" : "ITEM-1", "itemData" : { "DOI" : "10.1113/jphysiol.2011.215434", "ISBN" : "1469-7793", "ISSN" : "1469-7793", "PMID" : "21825028", "abstract" : "Very little attention has been given to the combined effects of healthy ageing and short-term disuse on the contractile function of human single muscle fibres. Therefore, the present study investigated the effects of 2 weeks of lower limb cast immobilisation (i.e. disuse) on selected contractile properties of single muscle fibres (n = 378) from vastus lateralis of nine young (24 \u00b1 1 years) and eight old (67 \u00b1 2 years) healthy men with comparable levels of physical activity. Prior to immobilisation, MHC IIa fibres produced higher maximum Ca(2+)-activated force (approx. 32%) and specific force (approx. 33%) and had lower Ca(2+) sensitivity than MHC I fibres (P &lt; 0.05), with no differences between young and old. After immobilisation, the decline in single fibre force (MHC I: young 21% and old 22%; MHC IIa: young 22% and old 30%; P &lt; 0.05) as well as specific force (MHC I: young 14% and old 13%; MHC IIa: young 18% and old 25%; P &lt; 0.05) was more pronounced in MHC IIa fibres compared to MHC I fibres (P &lt; 0.05), with no differences between young and old. Notably, there was a selective decrease in Ca(2+) sensitivity in MHC IIa fibres of young (P &lt; 0.05) and in MHC I fibres of old individuals (P &lt; 0.05), respectively. In conclusion, 2 weeks of lower limb immobilisation caused greater impairments in single muscle fibre force and specific force in MHC IIa than MHC I fibres independently of age. In contrast, immobilisation-induced changes in Ca(2+) sensitivity that were dependent on age and MHC isoform.", "author" : [ { "dropping-particle" : "", "family" : "Hvid", "given" : "Lars G", "non-dropping-particle" : "", "parse-names" : false, "suffix" : "" }, { "dropping-particle" : "", "family" : "Ortenblad", "given" : "Niels", "non-dropping-particle" : "", "parse-names" : false, "suffix" : "" }, { "dropping-particle" : "", "family" : "Aagaard", "given" : "Per", "non-dropping-particle" : "", "parse-names" : false, "suffix" : "" }, { "dropping-particle" : "", "family" : "Kjaer", "given" : "Michael", "non-dropping-particle" : "", "parse-names" : false, "suffix" : "" }, { "dropping-particle" : "", "family" : "Suetta", "given" : "Charlotte", "non-dropping-particle" : "", "parse-names" : false, "suffix" : "" } ], "container-title" : "The Journal of physiology", "id" : "ITEM-1", "issue" : "Pt 19", "issued" : { "date-parts" : [ [ "2011", "10", "1" ] ] }, "page" : "4745-57", "title" : "Effects of ageing on single muscle fibre contractile function following short-term immobilisation.", "type" : "article-journal", "volume" : "589" }, "uris" : [ "http://www.mendeley.com/documents/?uuid=bdc4cdb4-95f2-4bbd-b853-4bb145c17756" ] }, { "id" : "ITEM-2", "itemData" : { "DOI" : "10.1152/japplphysiol.00637.2010", "ISBN" : "1522-1601 (Electronic)\\n0161-7567 (Linking)", "ISSN" : "8750-7587", "PMID" : "20864557", "abstract" : "Very little attention has been given to the combined effects of aging and disuse as separate factors causing deterioration in muscle mechanical function. Thus the purpose of this study was to investigate the effects of 2 wk of immobilization followed by 4 wk of retraining on knee extensor muscle mechanical function (e.g., maximal strength and rapid force capacity) and muscle fiber morphology in 9 old (OM: 67.3 \u00b1 1.3 yr) and 11 young healthy men (YM: 24.4 \u00b1 0.5 yr) with comparable levels of physical activity. Following immobilization, OM demonstrated markedly larger decreases in rapid force capacity (i.e., rate of force development, impulse) than YM (\u223c 20-37 vs. \u223c 13-16%; P &lt; 0.05). In contrast, muscle fiber area decreased in YM for type I, IIA, and IIx fibers (\u223c 15-30%; P &lt; 0.05), whereas only type IIa area decreased in OM (13.2%; P &lt; 0.05). Subsequent retraining fully restored muscle mechanical function and muscle fiber area in YM, whereas OM showed an attenuated recovery in muscle fiber area and rapid force capacity (tendency). Changes in maximal isometric and dynamic muscle strength were similar between OM and YM. In conclusion, the present data reveal that OM may be more susceptible to the deleterious effects of short-term muscle disuse on muscle fiber size and rapid force capacity than YM. Furthermore, OM seems to require longer time to recover and regain rapid muscle force capacity, which may lead to a larger risk of falling in aged individuals after periods of short-term disuse.", "author" : [ { "dropping-particle" : "", "family" : "Hvid", "given" : "Lars", "non-dropping-particle" : "", "parse-names" : false, "suffix" : "" }, { "dropping-particle" : "", "family" : "Aagaard", "given" : "Per", "non-dropping-particle" : "", "parse-names" : false, "suffix" : "" }, { "dropping-particle" : "", "family" : "Justesen", "given" : "Lene", "non-dropping-particle" : "", "parse-names" : false, "suffix" : "" }, { "dropping-particle" : "", "family" : "Bayer", "given" : "Monika L", "non-dropping-particle" : "", "parse-names" : false, "suffix" : "" }, { "dropping-particle" : "", "family" : "Andersen", "given" : "Jesper L", "non-dropping-particle" : "", "parse-names" : false, "suffix" : "" }, { "dropping-particle" : "", "family" : "\u00d8rtenblad", "given" : "Niels", "non-dropping-particle" : "", "parse-names" : false, "suffix" : "" }, { "dropping-particle" : "", "family" : "Kjaer", "given" : "Michael", "non-dropping-particle" : "", "parse-names" : false, "suffix" : "" }, { "dropping-particle" : "", "family" : "Suetta", "given" : "Charlotte", "non-dropping-particle" : "", "parse-names" : false, "suffix" : "" } ], "container-title" : "Journal of applied physiology (Bethesda, Md. : 1985)", "id" : "ITEM-2", "issue" : "6", "issued" : { "date-parts" : [ [ "2010" ] ] }, "page" : "1628-1634", "title" : "Effects of aging on muscle mechanical function and muscle fiber morphology during short-term immobilization and subsequent retraining.", "type" : "article-journal", "volume" : "109" }, "uris" : [ "http://www.mendeley.com/documents/?uuid=19df41c5-6620-4315-9c2a-fbf7029a597a" ] }, { "id" : "ITEM-3",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"ITEM-3", "issue" : "4", "issued" : { "date-parts" : [ [ "2009", "10" ] ] }, "page" : "1172-1180", "title" : "Effects of aging on human skeletal muscle after immobilization and retraining.", "type" : "article-journal", "volume" : "107" }, "uris" : [ "http://www.mendeley.com/documents/?uuid=03fe0af6-3cbe-40fc-8c94-5ae48ae103c2" ] } ], "mendeley" : { "formattedCitation" : "&lt;sup&gt;56,64,65&lt;/sup&gt;", "plainTextFormattedCitation" : "56,64,65", "previouslyFormattedCitation" : "&lt;sup&gt;56,64,65&lt;/sup&gt;"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56,64,65</w:t>
      </w:r>
      <w:r>
        <w:rPr>
          <w:rFonts w:cs="Times New Roman"/>
        </w:rPr>
        <w:fldChar w:fldCharType="end"/>
      </w:r>
      <w:r>
        <w:rPr>
          <w:rFonts w:cs="Times New Roman"/>
        </w:rPr>
        <w:t>, the results of this study indicate there is no effect of SR on the RTD during ISO-MVC in older adults. There is in fact previous work to support that older adults, despite disuse, are able to preserve or even increase the shortening velocity of their skeletal muscle fibres and thus are better protected against disuse-induced declines in RTD</w:t>
      </w:r>
      <w:r>
        <w:rPr>
          <w:rFonts w:cs="Times New Roman"/>
        </w:rPr>
        <w:fldChar w:fldCharType="begin" w:fldLock="1"/>
      </w:r>
      <w:r w:rsidR="002463EB">
        <w:rPr>
          <w:rFonts w:cs="Times New Roman"/>
        </w:rPr>
        <w:instrText>ADDIN CSL_CITATION { "citationItems" : [ { "id" : "ITEM-1", "itemData" : { "DOI" : "10.1007/s00421-005-0109-1", "ISSN" : "14396319", "PMID" : "16369818", "abstract" : "This experiment compared the effects of disuse on the adductor pollicis (AP) muscle in young (YM) and old (OM) men. The AP of the YM and OM was assessed for strength (MVC), compound muscle action potential (CMAP), and volume, and then immobilized for 2 weeks. MVC decreased approximately 22% in the YM, and OM (P&lt;0.001). AP volume was 4.1% (not significant) and 9.5% (P&lt;0.05) less in the YM and OM, respectively. CMAP increased in the OM 0, 24, and 48 h post-immobilization, and did not change in the YM. However, the YM showed a greater decrease in specific force as compared to the OM. YM and OM experienced similar losses in strength, yet muscle volume loss was only significant in OM. Although OM are more susceptible to immediate losses in muscle volume, muscle activation strategies appear to preserve strength during atrophy.", "author" : [ { "dropping-particle" : "", "family" : "Urso", "given" : "M. L.", "non-dropping-particle" : "", "parse-names" : false, "suffix" : "" }, { "dropping-particle" : "", "family" : "Clarkson", "given" : "P. M.", "non-dropping-particle" : "", "parse-names" : false, "suffix" : "" }, { "dropping-particle" : "", "family" : "Price", "given" : "T. B.", "non-dropping-particle" : "", "parse-names" : false, "suffix" : "" } ], "container-title" : "European Journal of Applied Physiology", "id" : "ITEM-1", "issue" : "5", "issued" : { "date-parts" : [ [ "2006", "3" ] ] }, "page" : "564-571", "title" : "Immobilization effects in young and older adults", "type" : "article-journal", "volume" : "96" }, "uris" : [ "http://www.mendeley.com/documents/?uuid=42805465-5284-49a2-bcaa-1bf82fff7dd3" ] }, { "id" : "ITEM-2", "itemData" : { "DOI" : "10.1113/jphysiol.2003.046276", "ISBN" : "0022-3751", "ISSN" : "0022-3751", "PMID" : "14561832", "abstract" : "Biopsy samples were taken from vastus lateralis muscle of seven young (YO, age 30.2 +/- 2.2 years), and seven elderly (EL, age 72.7 +/- 2.3 years) subjects and two elderly subjects whose right leg had been immobilized for 3.5 months (EL-IMM, ages 70 and 75). The following main parameters were studied: (1) myosin heavy chain (MHC) isoform distribution of the samples, determined by SDS-PAGE; (2) cross-sectional area (CSA), specific force (Po/CSA) and maximum shortening velocity (Vo) of a large population (n = 593) of single skinned muscle fibres, classified on the basis of MHC isoform composition determined by SDS-PAGE; (3) actin sliding velocity (Vf) on pure myosin isoforms determined by in vitro motility assays; (4) myosin concentration in single fibres determined by quantitative SDS-PAGE. MHC isoform distribution was shifted towards fast isoforms in EL and to a larger extent in EL-IMM. In EL and, more consistently, in EL-IMM we observed a higher percentage of hybrid fibres than in YO, and noted the presence of MHC-neonatal and of unusual hybrid fibres containing more than two MHC isoforms. Po/CSA significantly decreased in type 1 and 2A fibres in the order YO EL EL-IMM. Vo of type 1 and 2A fibres was significantly lower in EL and higher in EL-IMM than in YO, i.e. immobilization more than counteracted the age-dependent decrease in Vo. The latter phenomenon was not observed for Vf. Vf on myosin 1 was lower in both EL and EL-IMM than in YO. Vf on myosin 2X was lower in EL than in YO, and a similar trend was observed for myosin 2A. Myosin concentration decreased in type 1 and 2A fibres in the order YO EL EL-IMM and was linearly related to the Po/CSA values of corresponding fibre types from the same subjects. The experiments suggest that (1) myosin concentration is a major determinant of the lower Po/CSA of single fibres in ageing and especially following immobilization and (2) ageing is associated with lower Vo of single fibres due to changes in the properties of myosin itself, whereas immobilization is associated with higher Vo in the absence of a change in myosin function.", "author" : [ { "dropping-particle" : "", "family" : "D'Antona", "given" : "Giuseppe", "non-dropping-particle" : "", "parse-names" : false, "suffix" : "" }, { "dropping-particle" : "", "family" : "Pellegrino", "given" : "Maria Antonietta", "non-dropping-particle" : "", "parse-names" : false, "suffix" : "" }, { "dropping-particle" : "", "family" : "Adami", "given" : "Raffaella", "non-dropping-particle" : "", "parse-names" : false, "suffix" : "" }, { "dropping-particle" : "", "family" : "Rossi", "given" : "Rosetta", "non-dropping-particle" : "", "parse-names" : false, "suffix" : "" }, { "dropping-particle" : "", "family" : "Carlizzi", "given" : "Carmine Naccari", "non-dropping-particle" : "", "parse-names" : false, "suffix" : "" }, { "dropping-particle" : "", "family" : "Canepari", "given" : "Monica", "non-dropping-particle" : "", "parse-names" : false, "suffix" : "" }, { "dropping-particle" : "", "family" : "Saltin", "given" : "Bengt", "non-dropping-particle" : "", "parse-names" : false, "suffix" : "" }, { "dropping-particle" : "", "family" : "Bottinelli", "given" : "Roberto", "non-dropping-particle" : "", "parse-names" : false, "suffix" : "" } ], "container-title" : "The Journal of physiology", "id" : "ITEM-2", "issue" : "Pt 2", "issued" : { "date-parts" : [ [ "2003", "10", "15" ] ] }, "page" : "499-511", "title" : "The effect of ageing and immobilization on structure and function of human skeletal muscle fibres.", "type" : "article-journal", "volume" : "552" }, "uris" : [ "http://www.mendeley.com/documents/?uuid=26c8aaff-22f8-42cd-800a-13bdb81b9c6f" ] } ], "mendeley" : { "formattedCitation" : "&lt;sup&gt;137,138&lt;/sup&gt;", "plainTextFormattedCitation" : "137,138", "previouslyFormattedCitation" : "&lt;sup&gt;137,138&lt;/sup&gt;"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137,138</w:t>
      </w:r>
      <w:r>
        <w:rPr>
          <w:rFonts w:cs="Times New Roman"/>
        </w:rPr>
        <w:fldChar w:fldCharType="end"/>
      </w:r>
      <w:r>
        <w:rPr>
          <w:rFonts w:cs="Times New Roman"/>
        </w:rPr>
        <w:t>. Furthermore, with no reductions in ISO-MVC</w:t>
      </w:r>
      <w:r>
        <w:rPr>
          <w:rFonts w:cs="Times New Roman"/>
          <w:vertAlign w:val="subscript"/>
        </w:rPr>
        <w:t>peak</w:t>
      </w:r>
      <w:r>
        <w:rPr>
          <w:rFonts w:cs="Times New Roman"/>
        </w:rPr>
        <w:t xml:space="preserve"> between BL and SR</w:t>
      </w:r>
      <w:r w:rsidR="000541AF">
        <w:rPr>
          <w:rFonts w:cs="Times New Roman"/>
        </w:rPr>
        <w:t xml:space="preserve">, </w:t>
      </w:r>
      <w:r>
        <w:rPr>
          <w:rFonts w:cs="Times New Roman"/>
        </w:rPr>
        <w:t>measures of muscle activation during isokinetic maximal contractions could potentially offer further insight into the effects of SR on neuromuscular recruitment in older adults</w:t>
      </w:r>
      <w:r>
        <w:rPr>
          <w:rFonts w:cs="Times New Roman"/>
        </w:rPr>
        <w:fldChar w:fldCharType="begin" w:fldLock="1"/>
      </w:r>
      <w:r w:rsidR="000709FC">
        <w:rPr>
          <w:rFonts w:cs="Times New Roman"/>
        </w:rPr>
        <w:instrText>ADDIN CSL_CITATION { "citationItems" : [ { "id" : "ITEM-1", "itemData" : { "DOI" : "10.1249/MSS.0b013e318164f4b6", "ISSN" : "01959131", "PMID" : "18408613", "abstract" : "INTRODUCTION: The purpose of this investigation was to determine whether young (21.7 yr) and aged (68.5 yr) men experienced similar responses to 7 d of muscle unloading (N = 10 per group). METHODS: Unilateral lower limb suspension (ULLS) was used to impose muscle unloading of the knee extensors. To compare the effects of unloading on aged and young men, a repeated-measures factorial ANOVA was used to assess those effects on isometric strength, as well as strength, total work, and average power during isokinetic contractions conducted at 0.53, 1.05, and 2.09 rad.s(-1). RESULTS: Data showed that at slower speeds of movement, only a main effect of unloading was identified with young and aged men displaying similar and significant (P &lt; 0.05) ULLS-induced decrements in strength, work, and power. The decrease in isometric strength correlated well with loss of electromyographic activity of contracting muscles (r = 0.79, P = 0.0002). At higher speeds of isokinetic contractions, not only was a main effect of age detected (young &gt; aged), but it was also revealed that aged men, but not young men, experienced significant unloading-induced declines in muscle performance. Moreover, unloading resulted in a significant increase in plasma cortisol, a potent catabolic hormone, only among aged men. In contrast to other variables assessed, muscle endurance, quantified during 30 repetitions completed at 3.14 rad.s(-1), did not differ between age groups, nor was it altered by unloading. CONCLUSION: These findings suggest that young and aged men respond differently to muscle unloading, but in assessing muscle performance, these differences are manifested only during faster contractile velocities.", "author" : [ { "dropping-particle" : "", "family" : "Deschenes", "given" : "Michael R.", "non-dropping-particle" : "", "parse-names" : false, "suffix" : "" }, { "dropping-particle" : "", "family" : "Holdren", "given" : "Ashley N.", "non-dropping-particle" : "", "parse-names" : false, "suffix" : "" }, { "dropping-particle" : "", "family" : "Mccoy", "given" : "Raymond W.", "non-dropping-particle" : "", "parse-names" : false, "suffix" : "" } ], "container-title" : "Medicine and Science in Sports and Exercise", "id" : "ITEM-1", "issue" : "5", "issued" : { "date-parts" : [ [ "2008" ] ] }, "page" : "856-863", "title" : "Adaptations to short-term muscle unloading in young and aged men", "type" : "article-journal", "volume" : "40" }, "uris" : [ "http://www.mendeley.com/documents/?uuid=7da201fb-6472-4e6d-a347-d8ecefcb2f84" ] } ], "mendeley" : { "formattedCitation" : "&lt;sup&gt;88&lt;/sup&gt;", "plainTextFormattedCitation" : "88", "previouslyFormattedCitation" : "&lt;sup&gt;88&lt;/sup&gt;"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88</w:t>
      </w:r>
      <w:r>
        <w:rPr>
          <w:rFonts w:cs="Times New Roman"/>
        </w:rPr>
        <w:fldChar w:fldCharType="end"/>
      </w:r>
      <w:r>
        <w:rPr>
          <w:rFonts w:cs="Times New Roman"/>
        </w:rPr>
        <w:t xml:space="preserve"> and </w:t>
      </w:r>
      <w:r>
        <w:t>provide a different perspective for human skeletal muscle dynamic strength</w:t>
      </w:r>
      <w:r>
        <w:fldChar w:fldCharType="begin" w:fldLock="1"/>
      </w:r>
      <w:r w:rsidR="00225DB1">
        <w:instrText>ADDIN CSL_CITATION { "citationItems" : [ { "id" : "ITEM-1", "itemData" : { "DOI" : "10.1152/japplphysiol.00637.2010", "ISBN" : "1522-1601 (Electronic)\\n0161-7567 (Linking)", "ISSN" : "8750-7587", "PMID" : "20864557", "abstract" : "Very little attention has been given to the combined effects of aging and disuse as separate factors causing deterioration in muscle mechanical function. Thus the purpose of this study was to investigate the effects of 2 wk of immobilization followed by 4 wk of retraining on knee extensor muscle mechanical function (e.g., maximal strength and rapid force capacity) and muscle fiber morphology in 9 old (OM: 67.3 \u00b1 1.3 yr) and 11 young healthy men (YM: 24.4 \u00b1 0.5 yr) with comparable levels of physical activity. Following immobilization, OM demonstrated markedly larger decreases in rapid force capacity (i.e., rate of force development, impulse) than YM (\u223c 20-37 vs. \u223c 13-16%; P &lt; 0.05). In contrast, muscle fiber area decreased in YM for type I, IIA, and IIx fibers (\u223c 15-30%; P &lt; 0.05), whereas only type IIa area decreased in OM (13.2%; P &lt; 0.05). Subsequent retraining fully restored muscle mechanical function and muscle fiber area in YM, whereas OM showed an attenuated recovery in muscle fiber area and rapid force capacity (tendency). Changes in maximal isometric and dynamic muscle strength were similar between OM and YM. In conclusion, the present data reveal that OM may be more susceptible to the deleterious effects of short-term muscle disuse on muscle fiber size and rapid force capacity than YM. Furthermore, OM seems to require longer time to recover and regain rapid muscle force capacity, which may lead to a larger risk of falling in aged individuals after periods of short-term disuse.", "author" : [ { "dropping-particle" : "", "family" : "Hvid", "given" : "Lars", "non-dropping-particle" : "", "parse-names" : false, "suffix" : "" }, { "dropping-particle" : "", "family" : "Aagaard", "given" : "Per", "non-dropping-particle" : "", "parse-names" : false, "suffix" : "" }, { "dropping-particle" : "", "family" : "Justesen", "given" : "Lene", "non-dropping-particle" : "", "parse-names" : false, "suffix" : "" }, { "dropping-particle" : "", "family" : "Bayer", "given" : "Monika L", "non-dropping-particle" : "", "parse-names" : false, "suffix" : "" }, { "dropping-particle" : "", "family" : "Andersen", "given" : "Jesper L", "non-dropping-particle" : "", "parse-names" : false, "suffix" : "" }, { "dropping-particle" : "", "family" : "\u00d8rtenblad", "given" : "Niels", "non-dropping-particle" : "", "parse-names" : false, "suffix" : "" }, { "dropping-particle" : "", "family" : "Kjaer", "given" : "Michael", "non-dropping-particle" : "", "parse-names" : false, "suffix" : "" }, { "dropping-particle" : "", "family" : "Suetta", "given" : "Charlotte", "non-dropping-particle" : "", "parse-names" : false, "suffix" : "" } ], "container-title" : "Journal of applied physiology (Bethesda, Md. : 1985)", "id" : "ITEM-1", "issue" : "6", "issued" : { "date-parts" : [ [ "2010" ] ] }, "page" : "1628-1634", "title" : "Effects of aging on muscle mechanical function and muscle fiber morphology during short-term immobilization and subsequent retraining.", "type" : "article-journal", "volume" : "109" }, "uris" : [ "http://www.mendeley.com/documents/?uuid=19df41c5-6620-4315-9c2a-fbf7029a597a" ] }, { "id" : "ITEM-2", "itemData" : { "author" : [ { "dropping-particle" : "", "family" : "Kortebein", "given" : "P", "non-dropping-particle" : "", "parse-names" : false, "suffix" : "" }, { "dropping-particle" : "", "family" : "Ferrando", "given" : "A", "non-dropping-particle" : "", "parse-names" : false, "suffix" : "" }, { "dropping-particle" : "", "family" : "Lombeida", "given" : "J", "non-dropping-particle" : "", "parse-names" : false, "suffix" : "" } ], "container-title" : "Jama", "id" : "ITEM-2", "issued" : { "date-parts" : [ [ "2007" ] ] }, "page" : "4-6", "title" : "Effect of 10 Days of Bed Rest on Skeletal Muscle in Healthy Older Adults", "type" : "article-journal" }, "uris" : [ "http://www.mendeley.com/documents/?uuid=10b6a57d-9307-4ca0-a883-b8fde2f048a1" ] } ], "mendeley" : { "formattedCitation" : "&lt;sup&gt;52,64&lt;/sup&gt;", "plainTextFormattedCitation" : "52,64", "previouslyFormattedCitation" : "&lt;sup&gt;52,64&lt;/sup&gt;" }, "properties" : { "noteIndex" : 0 }, "schema" : "https://github.com/citation-style-language/schema/raw/master/csl-citation.json" }</w:instrText>
      </w:r>
      <w:r>
        <w:fldChar w:fldCharType="separate"/>
      </w:r>
      <w:r w:rsidR="003605CC" w:rsidRPr="003605CC">
        <w:rPr>
          <w:noProof/>
          <w:vertAlign w:val="superscript"/>
        </w:rPr>
        <w:t>52,64</w:t>
      </w:r>
      <w:r>
        <w:fldChar w:fldCharType="end"/>
      </w:r>
      <w:r>
        <w:rPr>
          <w:rFonts w:cs="Times New Roman"/>
        </w:rPr>
        <w:t>.</w:t>
      </w:r>
    </w:p>
    <w:p w14:paraId="5CE4031E" w14:textId="77777777" w:rsidR="00DA792D" w:rsidRDefault="00DA792D" w:rsidP="00DA792D">
      <w:pPr>
        <w:spacing w:line="480" w:lineRule="auto"/>
        <w:rPr>
          <w:rFonts w:cs="Times New Roman"/>
          <w:b/>
          <w:i/>
        </w:rPr>
      </w:pPr>
    </w:p>
    <w:p w14:paraId="32587EE0" w14:textId="77777777" w:rsidR="00DA792D" w:rsidRDefault="00DA792D" w:rsidP="00DA792D">
      <w:pPr>
        <w:pStyle w:val="Heading3"/>
      </w:pPr>
      <w:bookmarkStart w:id="70" w:name="_Toc296814812"/>
      <w:bookmarkStart w:id="71" w:name="_Toc296932791"/>
      <w:r w:rsidRPr="00BB6B3E">
        <w:t>Physical function</w:t>
      </w:r>
      <w:bookmarkEnd w:id="70"/>
      <w:bookmarkEnd w:id="71"/>
      <w:r>
        <w:t xml:space="preserve"> </w:t>
      </w:r>
    </w:p>
    <w:p w14:paraId="08081D36" w14:textId="5E1B2326" w:rsidR="00DA792D" w:rsidRDefault="00DA792D" w:rsidP="00DA792D">
      <w:pPr>
        <w:spacing w:line="480" w:lineRule="auto"/>
        <w:ind w:firstLine="720"/>
        <w:rPr>
          <w:rFonts w:cs="Times New Roman"/>
        </w:rPr>
      </w:pPr>
      <w:r>
        <w:rPr>
          <w:rFonts w:cs="Times New Roman"/>
        </w:rPr>
        <w:t xml:space="preserve">We did not find any impairment, after two weeks of SR, in the ability of our subjects to perform ADL as tested by 30CS, TUG and 6MWT, which are traditional clinical measures of physical function. In fact, the increased level of performance seen for the 30CS and 6MWT after RC compared to BL suggest that a ‘practice effect’ may have occurred for these tasks, despite repeated familiarization sessions. Given the opportunity to reduce the effects of repeated testing in this battery of physical function tests, it is possible that differences resulting from SR may have been elucidated. The only test </w:t>
      </w:r>
      <w:r w:rsidR="000541AF">
        <w:rPr>
          <w:rFonts w:cs="Times New Roman"/>
        </w:rPr>
        <w:t xml:space="preserve">that </w:t>
      </w:r>
      <w:r>
        <w:rPr>
          <w:rFonts w:cs="Times New Roman"/>
        </w:rPr>
        <w:t>may suggest an effect of SR was the TUG which increased by 0.4 seconds to reach an average of 7.4 ± 1.5 seconds, an increase that is not clinically relevant</w:t>
      </w:r>
      <w:r>
        <w:rPr>
          <w:rFonts w:cs="Times New Roman"/>
        </w:rPr>
        <w:fldChar w:fldCharType="begin" w:fldLock="1"/>
      </w:r>
      <w:r w:rsidR="000709FC">
        <w:rPr>
          <w:rFonts w:cs="Times New Roman"/>
        </w:rPr>
        <w:instrText>ADDIN CSL_CITATION { "citationItems" : [ { "id" : "ITEM-1", "itemData" : { "DOI" : "10.1519/00139143-200608000-00004", "ISBN" : "1539-8412 (Print)\\r1539-8412 (Linking)", "ISSN" : "1539-8412", "PMID" : "16914068", "abstract" : "Background and Purpose: The Timed Up and Go (TUG) test is widely employed in the examination of elders, but definitive normative reference values are lacking. This meta-analysis provided such values by consolidating data from multiple studies. Methods: Studies reporting TUG times for apparently healthy elders were identified through the on-line search of bibliographic databases. Study specifics and data were consolidated and examined for homogeneity. Results: Twenty-one studies were included in the meta-analysis. The mean (95% confidence interval) TUG time for individuals at least 60 years of age was 9.4 (8.9-9.9) seconds. Although the data contributing to this mean were homogeneous, data for individuals who could be categorized by age were more homogeneous. The mean (95% confidence intervals) for 3 age groups were: 8.1 (7.1-9.0) seconds for 60 to 69 year olds, 9.2 (8.2-10.2) seconds for 70 to 79 years, and 11.3 (10.0-12.7) seconds for 80 to 99 years. Conclusions: The reference values presented, though obtained from studies with clear differences, provide a standard to which patient performance can be compared. Patients whose performance exceeds the upper limit of reported confidence intervals can be considered to have worse than average performance.", "author" : [ { "dropping-particle" : "", "family" : "Bohannon", "given" : "Richard W", "non-dropping-particle" : "", "parse-names" : false, "suffix" : "" } ], "container-title" : "Journal of geriatric physical therapy (2001)", "id" : "ITEM-1", "issue" : "2", "issued" : { "date-parts" : [ [ "2006", "1" ] ] }, "note" : "From Duplicate 2 ( ", "page" : "64-68", "title" : "Reference values for the timed up and go test: a descriptive meta-analysis.", "type" : "article-journal", "volume" : "29" }, "uris" : [ "http://www.mendeley.com/documents/?uuid=50b77099-a749-4f20-b360-a5b6a5a43f06" ] } ], "mendeley" : { "formattedCitation" : "&lt;sup&gt;106&lt;/sup&gt;", "plainTextFormattedCitation" : "106", "previouslyFormattedCitation" : "&lt;sup&gt;106&lt;/sup&gt;"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106</w:t>
      </w:r>
      <w:r>
        <w:rPr>
          <w:rFonts w:cs="Times New Roman"/>
        </w:rPr>
        <w:fldChar w:fldCharType="end"/>
      </w:r>
      <w:r>
        <w:rPr>
          <w:rFonts w:cs="Times New Roman"/>
        </w:rPr>
        <w:t>.</w:t>
      </w:r>
    </w:p>
    <w:p w14:paraId="3A555F2F" w14:textId="4949F9EF" w:rsidR="00DA792D" w:rsidRDefault="00DA792D" w:rsidP="00DA792D">
      <w:pPr>
        <w:spacing w:line="480" w:lineRule="auto"/>
        <w:ind w:firstLine="720"/>
        <w:rPr>
          <w:rFonts w:cs="Times New Roman"/>
        </w:rPr>
      </w:pPr>
      <w:r>
        <w:rPr>
          <w:rFonts w:cs="Times New Roman"/>
        </w:rPr>
        <w:t>Decrements in ADL performance are frequently reported within a shorter time period than measured in this study. For example, even ~30% of ‘highly mobile’ older patients were discharged with declines in ADL after acute hospitalizations with an average 7.5 days spent in hospital</w:t>
      </w:r>
      <w:r>
        <w:rPr>
          <w:rFonts w:cs="Times New Roman"/>
        </w:rPr>
        <w:fldChar w:fldCharType="begin" w:fldLock="1"/>
      </w:r>
      <w:r w:rsidR="00225DB1">
        <w:rPr>
          <w:rFonts w:cs="Times New Roman"/>
        </w:rPr>
        <w:instrText>ADDIN CSL_CITATION { "citationItems" : [ { "id" : "ITEM-1", "itemData" : { "DOI" : "10.1111/j.1532-5415.2010.03276.x", "ISBN" : "0002-8614", "ISSN" : "00028614", "PMID" : "21314647", "abstract" : "To examine the association between mobility levels of older hospitalized adults and functional outcomes.", "author" : [ { "dropping-particle" : "", "family" : "Zisberg", "given" : "Anna", "non-dropping-particle" : "", "parse-names" : false, "suffix" : "" }, { "dropping-particle" : "", "family" : "Shadmi", "given" : "Efrat", "non-dropping-particle" : "", "parse-names" : false, "suffix" : "" }, { "dropping-particle" : "", "family" : "Sinoff", "given" : "Gary", "non-dropping-particle" : "", "parse-names" : false, "suffix" : "" }, { "dropping-particle" : "", "family" : "Gur-Yaish", "given" : "Nurit", "non-dropping-particle" : "", "parse-names" : false, "suffix" : "" }, { "dropping-particle" : "", "family" : "Srulovici", "given" : "Einav", "non-dropping-particle" : "", "parse-names" : false, "suffix" : "" }, { "dropping-particle" : "", "family" : "Admi", "given" : "Hanna", "non-dropping-particle" : "", "parse-names" : false, "suffix" : "" } ], "container-title" : "Journal of the American Geriatrics Society", "id" : "ITEM-1", "issue" : "2", "issued" : { "date-parts" : [ [ "2011", "2" ] ] }, "page" : "266-273", "title" : "Low mobility during hospitalization and functional decline in older adults", "type" : "article-journal", "volume" : "59" }, "uris" : [ "http://www.mendeley.com/documents/?uuid=94bee17c-dced-48d4-94c1-87075bc45639" ] } ], "mendeley" : { "formattedCitation" : "&lt;sup&gt;74&lt;/sup&gt;", "plainTextFormattedCitation" : "74", "previouslyFormattedCitation" : "&lt;sup&gt;74&lt;/sup&gt;"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74</w:t>
      </w:r>
      <w:r>
        <w:rPr>
          <w:rFonts w:cs="Times New Roman"/>
        </w:rPr>
        <w:fldChar w:fldCharType="end"/>
      </w:r>
      <w:r>
        <w:rPr>
          <w:rFonts w:cs="Times New Roman"/>
        </w:rPr>
        <w:t>. Of course, the impact of the illness that the patient had while in the hospital could have affected this outcome. While an SR-induced impairment in physical function seemed likely, due to evidence from hospitalization of the elderly</w:t>
      </w:r>
      <w:r>
        <w:rPr>
          <w:rFonts w:cs="Times New Roman"/>
        </w:rPr>
        <w:fldChar w:fldCharType="begin" w:fldLock="1"/>
      </w:r>
      <w:r w:rsidR="000709FC">
        <w:rPr>
          <w:rFonts w:cs="Times New Roman"/>
        </w:rPr>
        <w:instrText>ADDIN CSL_CITATION { "citationItems" : [ { "id" : "ITEM-1", "itemData" : { "DOI" : "10.1111/j.1532-5415.2010.03276.x", "ISBN" : "0002-8614", "ISSN" : "00028614", "PMID" : "21314647", "abstract" : "To examine the association between mobility levels of older hospitalized adults and functional outcomes.", "author" : [ { "dropping-particle" : "", "family" : "Zisberg", "given" : "Anna", "non-dropping-particle" : "", "parse-names" : false, "suffix" : "" }, { "dropping-particle" : "", "family" : "Shadmi", "given" : "Efrat", "non-dropping-particle" : "", "parse-names" : false, "suffix" : "" }, { "dropping-particle" : "", "family" : "Sinoff", "given" : "Gary", "non-dropping-particle" : "", "parse-names" : false, "suffix" : "" }, { "dropping-particle" : "", "family" : "Gur-Yaish", "given" : "Nurit", "non-dropping-particle" : "", "parse-names" : false, "suffix" : "" }, { "dropping-particle" : "", "family" : "Srulovici", "given" : "Einav", "non-dropping-particle" : "", "parse-names" : false, "suffix" : "" }, { "dropping-particle" : "", "family" : "Admi", "given" : "Hanna", "non-dropping-particle" : "", "parse-names" : false, "suffix" : "" } ], "container-title" : "Journal of the American Geriatrics Society", "id" : "ITEM-1", "issue" : "2", "issued" : { "date-parts" : [ [ "2011", "2" ] ] }, "page" : "266-273", "title" : "Low mobility during hospitalization and functional decline in older adults", "type" : "article-journal", "volume" : "59" }, "uris" : [ "http://www.mendeley.com/documents/?uuid=94bee17c-dced-48d4-94c1-87075bc45639" ] }, { "id" : "ITEM-2", "itemData" : { "DOI" : "10.1046/j.1532-5415.2003.51152.x", "ISBN" : "0002-8614 (Print) 0002-8614 (Linking)", "ISSN" : "00028614", "PMID" : "12657063", "abstract" : "OBJECTIVES: To describe the changes in activities of daily living (ADL) function occurring before and after hospital admission in older people hospitalized with medical illness and to assess the effect of age on loss of ADL function. DESIGN: Prospective observational study. SETTING: The general medical service of two hospitals. PARTICIPANTS: Two thousand two hundred ninety-three patients aged 70 and older (mean age 80, 64% women, 24% nonwhite). MEASUREMENTS: At the time of hospital admission, patients or their surrogates were interviewed about their independence in five ADLs (bathing, dressing, eating, transferring, and toileting) 2 weeks before admission (baseline) and at admission. Subjects were interviewed about ADL function at discharge. Outcome measures included functional decline between baseline and discharge and functional changes between baseline and admission and between admission and discharge. RESULTS: Thirty-five percent of patients declined in ADL function between baseline and discharge. This included the 23% of patients who declined between baseline and admission and failed to recover to baseline function between admission and discharge and the 12% of patients who did not decline between baseline and admission but declined between hospital admission and discharge. Twenty percent of patients declined between baseline and admission but recovered to baseline function between admission and discharge. The frequency of ADL decline between baseline and discharge varied markedly with age (23%, 28%, 38%, 50%, and 63% in patients aged 70-74, 75-79, 80-84, 85-89, and &gt; or =90, respectively, P &lt;.001). After adjustment for potential confounders, age was not associated with ADL decline before hospitalization (odds ratio (OR) for patients aged &gt; or =90 compared with patients aged 70-74 = 1.26, 95% confidence interval (CI) = 0.88-1.82). In contrast, age was associated with the failure to recover ADL function during hospitalization in patients who declined before admission (OR for patients aged &gt; or =90 compared with patients aged 70-74 = 2.09, 95% CI = 1.20-3.65) and with new losses of ADL function during hospitalization in patients who did not decline before admission (OR for patients aged &gt; or =90 compared with patients aged 70-74 = 3.43, 95% CI = 1.92-6.12). CONCLUSION: Many hospitalized older people are discharged with ADL function that is worse than their baseline function. The oldest patients are at particularly high risk of poor functional outcome\u2026", "author" : [ { "dropping-particle" : "", "family" : "Covinsky", "given" : "Kenneth E.", "non-dropping-particle" : "", "parse-names" : false, "suffix" : "" }, { "dropping-particle" : "", "family" : "Palmer", "given" : "Robert M.", "non-dropping-particle" : "", "parse-names" : false, "suffix" : "" }, { "dropping-particle" : "", "family" : "Fortinsky", "given" : "Richard H.", "non-dropping-particle" : "", "parse-names" : false, "suffix" : "" }, { "dropping-particle" : "", "family" : "Counsell", "given" : "Steven R.", "non-dropping-particle" : "", "parse-names" : false, "suffix" : "" }, { "dropping-particle" : "", "family" : "Stewart", "given" : "Anita L.", "non-dropping-particle" : "", "parse-names" : false, "suffix" : "" }, { "dropping-particle" : "", "family" : "Kresevic", "given" : "Denise", "non-dropping-particle" : "", "parse-names" : false, "suffix" : "" }, { "dropping-particle" : "", "family" : "Burant", "given" : "Christopher J.", "non-dropping-particle" : "", "parse-names" : false, "suffix" : "" }, { "dropping-particle" : "", "family" : "Landefeld", "given" : "C. Seth", "non-dropping-particle" : "", "parse-names" : false, "suffix" : "" } ], "container-title" : "Journal of the American Geriatrics Society", "id" : "ITEM-2", "issue" : "4", "issued" : { "date-parts" : [ [ "2003", "4" ] ] }, "page" : "451-458", "title" : "Loss of independence in activities of daily living in older adults hospitalized with medical illnesses: Increased vulnerability with age", "type" : "article-journal", "volume" : "51" }, "uris" : [ "http://www.mendeley.com/documents/?uuid=1a753f89-c36f-4b0a-8616-7d3ebd2ef692" ] }, { "id" : "ITEM-3", "itemData" : { "DOI" : "10.1111/j.1532-5415.2004.52354.x", "ISBN" : "0002-8614", "ISSN" : "00028614", "PMID" : "15271112", "abstract" : "OBJECTIVES: To estimate the prevalence of different levels of mobility in a hospitalized older cohort, to measure the degree and rate of adverse outcomes associated with different mobility levels, and to examine the physician activity orders and documented reasons for bedrest in the lowest mobility group. DESIGN: A prospective cohort study. SETTING: An 800-bed university teaching hospital. PARTICIPANTS: Four hundred ninety-eight hospitalized medical patients, aged 70 and older. MEASUREMENTS: Using average mobility level, scored from 0 to 12, the low-mobility group was defined as having a score of 4 or less, intermediate as a score of higher than 4 to 8, and high as higher than 8. Outcomes were functional decline, new institutionalization, death, and death or new institutionalization. RESULTS: Low and intermediate levels of mobility were common, accounting for 80 (16%) and 157 (32%) study patients, respectively. Overall, any activity of daily living (ADL) decline occurred in 29%, new institutionalization in 13%, death in 7%, and death or new institutionalization in 22% of patients in this cohort. When compared with the high mobility group, the low and intermediate groups were associated with the adverse outcomes in a graded fashion, even after controlling for multiple confounders. The low-mobility group had an adjusted odds ratio (OR) of 5.6 (95% confidence interval (CI)=2.9-11.0) for ADL decline, 6.0 (95% CI=2.5-14.8) for new institutionalization, 34.3 (95% CI=6.3-185.9) for death, and 7.2 (95% CI=3.6-14.4) for death or new institutionalization. The intermediate group had adjusted ORs of 2.5 (95% CI=1.5-4.1), 2.9 (95% CI=1.4-6.0), 10.1 (95% CI=1.9-52.9), and 3.3 (95% CI=1.8-5.9) for ADL decline, new institutionalization, death, and death or new institutionalization, respectively. Bedrest was ordered at some point during hospitalization in 165 (33%) patients. For most patients, mobility was limited involuntarily (bedrest orders), and almost 60% of bedrest episodes in the lowest mobility group had no documented medical indication. CONCLUSION: Low mobility and bedrest are common in hospitalized older patients and are important predictors of adverse outcomes. This study demonstrated that the adverse outcomes associated with low mobility and bedrest may be viewed as iatrogenic events leading to complications, such as functional decline.", "author" : [ { "dropping-particle" : "", "family" : "Brown", "given" : "Cynthia J.", "non-dropping-particle" : "", "parse-names" : false, "suffix" : "" }, { "dropping-particle" : "", "family" : "Friedkin", "given" : "Rebecca J.", "non-dropping-particle" : "", "parse-names" : false, "suffix" : "" }, { "dropping-particle" : "", "family" : "Inouye", "given" : "Sharon K.", "non-dropping-particle" : "", "parse-names" : false, "suffix" : "" } ], "container-title" : "Journal of the American Geriatrics Society", "id" : "ITEM-3", "issue" : "8", "issued" : { "date-parts" : [ [ "2004" ] ] }, "page" : "1263-1270", "title" : "Prevalence and outcomes of low mobility in hospitalized older patients", "type" : "article-journal", "volume" : "52" }, "uris" : [ "http://www.mendeley.com/documents/?uuid=24204b2a-6268-4a29-9611-2110af680394" ] }, { "id" : "ITEM-4", "itemData" : { "DOI" : "10.1111/j.1532-5415.2009.02455.x", "ISSN" : "1532-5415", "PMID" : "19694869", "abstract" : "To determine, in disabled, older, community-dwelling women who were hospitalized, the rates and predictors of functional decline, the probability and time course of subsequent functional recovery, and predictors of functional recovery.", "author" : [ { "dropping-particle" : "", "family" : "Boyd", "given" : "Cynthia M", "non-dropping-particle" : "", "parse-names" : false, "suffix" : "" }, { "dropping-particle" : "", "family" : "Ricks", "given" : "Michelle", "non-dropping-particle" : "", "parse-names" : false, "suffix" : "" }, { "dropping-particle" : "", "family" : "Fried", "given" : "Linda P", "non-dropping-particle" : "", "parse-names" : false, "suffix" : "" }, { "dropping-particle" : "", "family" : "Guralnik", "given" : "Jack M", "non-dropping-particle" : "", "parse-names" : false, "suffix" : "" }, { "dropping-particle" : "", "family" : "Xue", "given" : "Qian-Li", "non-dropping-particle" : "", "parse-names" : false, "suffix" : "" }, { "dropping-particle" : "", "family" : "Xia", "given" : "Jin", "non-dropping-particle" : "", "parse-names" : false, "suffix" : "" }, { "dropping-particle" : "", "family" : "Bandeen-Roche", "given" : "Karen", "non-dropping-particle" : "", "parse-names" : false, "suffix" : "" } ], "container-title" : "Journal of the American Geriatrics Society", "id" : "ITEM-4", "issue" : "10", "issued" : { "date-parts" : [ [ "2009", "10" ] ] }, "page" : "1757-1766", "title" : "Functional decline and recovery of activities of daily living in hospitalized, disabled older women: the Women's Health and Aging Study I.", "type" : "article-journal", "volume" : "57" }, "uris" : [ "http://www.mendeley.com/documents/?uuid=dc0b7cf9-7358-4b0a-8d07-867d547d8567" ] }, { "id" : "ITEM-5", "itemData" : { "DOI" : "10.1111/j.1532-5415.2008.02023.x.Recovery", "ISSN" : "0002-8614", "author" : [ { "dropping-particle" : "", "family" : "Boyd", "given" : "Cynthia M", "non-dropping-particle" : "", "parse-names" : false, "suffix" : "" }, { "dropping-particle" : "", "family" : "Landefeld", "given" : "C Seth", "non-dropping-particle" : "", "parse-names" : false, "suffix" : "" }, { "dropping-particle" : "", "family" : "Counsell", "given" : "Steven R", "non-dropping-particle" : "", "parse-names" : false, "suffix" : "" }, { "dropping-particle" : "", "family" : "Robert", "given" : "M", "non-dropping-particle" : "", "parse-names" : false, "suffix" : "" }, { "dropping-particle" : "", "family" : "Fortinsky", "given" : "Richard H", "non-dropping-particle" : "", "parse-names" : false, "suffix" : "" }, { "dropping-particle" : "", "family" : "Kresevic", "given" : "Denise", "non-dropping-particle" : "", "parse-names" : false, "suffix" : "" } ], "container-title" : "J Am Geriatr Soc", "id" : "ITEM-5", "issue" : "12", "issued" : { "date-parts" : [ [ "2009" ] ] }, "page" : "2171-2179", "title" : "Recovery in Activities of Daily Living Among Older Adults Following Hospitalization for Acute Medical Illness", "type" : "article-journal", "volume" : "56" }, "uris" : [ "http://www.mendeley.com/documents/?uuid=20b1a00b-e79f-4829-a46b-567e4bd4900b" ] } ], "mendeley" : { "formattedCitation" : "&lt;sup&gt;66,73,74,94,95&lt;/sup&gt;", "plainTextFormattedCitation" : "66,73,74,94,95", "previouslyFormattedCitation" : "&lt;sup&gt;66,73,74,94,95&lt;/sup&gt;" }, "properties" : { "noteIndex" : 0 }, "schema" : "https://github.com/citation-style-language/schema/raw/master/csl-citation.json" }</w:instrText>
      </w:r>
      <w:r>
        <w:rPr>
          <w:rFonts w:cs="Times New Roman"/>
        </w:rPr>
        <w:fldChar w:fldCharType="separate"/>
      </w:r>
      <w:r w:rsidR="003D1F84" w:rsidRPr="003D1F84">
        <w:rPr>
          <w:rFonts w:cs="Times New Roman"/>
          <w:noProof/>
          <w:vertAlign w:val="superscript"/>
        </w:rPr>
        <w:t>66,73,74,94,95</w:t>
      </w:r>
      <w:r>
        <w:rPr>
          <w:rFonts w:cs="Times New Roman"/>
        </w:rPr>
        <w:fldChar w:fldCharType="end"/>
      </w:r>
      <w:r>
        <w:rPr>
          <w:rFonts w:cs="Times New Roman"/>
        </w:rPr>
        <w:t xml:space="preserve"> </w:t>
      </w:r>
      <w:r w:rsidR="000541AF">
        <w:rPr>
          <w:rFonts w:cs="Times New Roman"/>
        </w:rPr>
        <w:t xml:space="preserve">as well as </w:t>
      </w:r>
      <w:r>
        <w:rPr>
          <w:rFonts w:cs="Times New Roman"/>
        </w:rPr>
        <w:t>an established relationship between knee extensor ISO-MVC</w:t>
      </w:r>
      <w:r>
        <w:rPr>
          <w:rFonts w:cs="Times New Roman"/>
          <w:vertAlign w:val="subscript"/>
        </w:rPr>
        <w:t>peak</w:t>
      </w:r>
      <w:r>
        <w:rPr>
          <w:rFonts w:cs="Times New Roman"/>
        </w:rPr>
        <w:t xml:space="preserve"> and ability to complete ADL</w:t>
      </w:r>
      <w:r>
        <w:rPr>
          <w:rFonts w:cs="Times New Roman"/>
        </w:rPr>
        <w:fldChar w:fldCharType="begin" w:fldLock="1"/>
      </w:r>
      <w:r w:rsidR="006670B1">
        <w:rPr>
          <w:rFonts w:cs="Times New Roman"/>
        </w:rPr>
        <w:instrText>ADDIN CSL_CITATION { "citationItems" : [ { "id" : "ITEM-1", "itemData" : { "author" : [ { "dropping-particle" : "", "family" : "Avlund", "given" : "K", "non-dropping-particle" : "", "parse-names" : false, "suffix" : "" }, { "dropping-particle" : "", "family" : "Schroll", "given" : "M", "non-dropping-particle" : "", "parse-names" : false, "suffix" : "" }, { "dropping-particle" : "", "family" : "Davidsen", "given" : "M", "non-dropping-particle" : "", "parse-names" : false, "suffix" : "" }, { "dropping-particle" : "", "family" : "Loveborg", "given" : "B", "non-dropping-particle" : "", "parse-names" : false, "suffix" : "" }, { "dropping-particle" : "", "family" : "Rantanen", "given" : "T", "non-dropping-particle" : "", "parse-names" : false, "suffix" : "" } ], "container-title" : "Scand J Med Sci Sports", "id" : "ITEM-1", "issued" : { "date-parts" : [ [ "1994" ] ] }, "page" : "9", "title" : "Maximal  isometric  muscle  strength  and functional ability in daily activities among 75-year-older-men and women", "type" : "article-journal", "volume" : "4" }, "uris" : [ "http://www.mendeley.com/documents/?uuid=c6d506db-0b72-46e7-bd39-9da28f8df093" ] } ], "mendeley" : { "formattedCitation" : "&lt;sup&gt;17&lt;/sup&gt;", "plainTextFormattedCitation" : "17", "previouslyFormattedCitation" : "&lt;sup&gt;17&lt;/sup&gt;" }, "properties" : { "noteIndex" : 0 }, "schema" : "https://github.com/citation-style-language/schema/raw/master/csl-citation.json" }</w:instrText>
      </w:r>
      <w:r>
        <w:rPr>
          <w:rFonts w:cs="Times New Roman"/>
        </w:rPr>
        <w:fldChar w:fldCharType="separate"/>
      </w:r>
      <w:r w:rsidR="004238C1" w:rsidRPr="004238C1">
        <w:rPr>
          <w:rFonts w:cs="Times New Roman"/>
          <w:noProof/>
          <w:vertAlign w:val="superscript"/>
        </w:rPr>
        <w:t>17</w:t>
      </w:r>
      <w:r>
        <w:rPr>
          <w:rFonts w:cs="Times New Roman"/>
        </w:rPr>
        <w:fldChar w:fldCharType="end"/>
      </w:r>
      <w:r>
        <w:rPr>
          <w:rFonts w:cs="Times New Roman"/>
        </w:rPr>
        <w:t>, without the concomitant losses of muscle mass and strength this association would not be expected. Our results agree with the findings of Breen et al.</w:t>
      </w:r>
      <w:r w:rsidR="000541AF">
        <w:rPr>
          <w:rFonts w:cs="Times New Roman"/>
        </w:rPr>
        <w:fldChar w:fldCharType="begin" w:fldLock="1"/>
      </w:r>
      <w:r w:rsidR="00F95641">
        <w:rPr>
          <w:rFonts w:cs="Times New Roman"/>
        </w:rPr>
        <w:instrText>ADDIN CSL_CITATION { "citationItems" : [ { "id" : "ITEM-1", "itemData" : { "DOI" : "10.1210/jc.2013-1502", "ISBN" : "0000000000000", "ISSN" : "0021972X", "PMID" : "23589526", "abstract" : "BACKGROUND: Alterations in muscle protein metabolism underlie age-related muscle atrophy. During periods of muscle disuse, muscle protein synthesis is blunted, and muscle atrophy occurs in young and old. The impact of a short reduction in physical activity on muscle protein metabolism in older adults is unknown.\\n\\nPURPOSE: The aim of this study was to investigate the impact of 14 days of reduced daily steps on fasted and fed-state rates of myofibrillar protein synthesis (MPS) to provide insight into the mechanisms for changes in muscle mass and markers of metabolic health.\\n\\nMETHODS: Before and after 14 days of reduced daily step-count, 10 healthy older adults (age, 72 \u00b1 1 y) underwent measures of insulin sensitivity, muscle strength, physical function, and body composition. Using a primed constant infusion of L-[ring-(13)C6]phenylalanine with serial muscle biopsies, basal, postabsorptive, and postprandial rates of MPS were determined before and after the 14-day intervention.\\n\\nRESULTS: Daily step-count was reduced by approximately 76% to 1413 \u00b1 110 steps per day. Leg fat-free mass was reduced by approximately 3.9% (P &lt; .001). Postabsorptive insulin resistance was increased by approximately 12%, and postprandial insulin sensitivity was reduced by approximately 43% after step reduction (P &lt; .005). Concentrations of TNF-\u03b1 and C-reactive protein were increased by approximately 12 and 25%, respectively, after step reduction (P &lt; .05). Postprandial rates of MPS were reduced by approximately 26% after the intervention (P = .028), with no difference in postabsorptive rates.\\n\\nCONCLUSION: The present study demonstrates that 14 days of reduced steps in older adults induces small but measurable reductions in muscle mass that appear to be underpinned by reductions in postprandial MPS and are accompanied by impairments in insulin sensitivity and systemic inflammatory markers and postprandial MPS.", "author" : [ { "dropping-particle" : "", "family" : "Breen", "given" : "Leigh", "non-dropping-particle" : "", "parse-names" : false, "suffix" : "" }, { "dropping-particle" : "", "family" : "Stokes", "given" : "Keith a.", "non-dropping-particle" : "", "parse-names" : false, "suffix" : "" }, { "dropping-particle" : "", "family" : "Churchward-Venne", "given" : "Tyler a.", "non-dropping-particle" : "", "parse-names" : false, "suffix" : "" }, { "dropping-particle" : "", "family" : "Moore", "given" : "Daniel R.", "non-dropping-particle" : "", "parse-names" : false, "suffix" : "" }, { "dropping-particle" : "", "family" : "Baker", "given" : "Stephen K.", "non-dropping-particle" : "", "parse-names" : false, "suffix" : "" }, { "dropping-particle" : "", "family" : "Smith", "given" : "Kenneth", "non-dropping-particle" : "", "parse-names" : false, "suffix" : "" }, { "dropping-particle" : "", "family" : "Atherton", "given" : "Philip J.", "non-dropping-particle" : "", "parse-names" : false, "suffix" : "" }, { "dropping-particle" : "", "family" : "Phillips", "given" : "Stuart M.", "non-dropping-particle" : "", "parse-names" : false, "suffix" : "" } ], "container-title" : "Journal of Clinical Endocrinology and Metabolism", "id" : "ITEM-1", "issue" : "6", "issued" : { "date-parts" : [ [ "2013", "6" ] ] }, "note" : "From Duplicate 1 ( ", "page" : "2604-2612", "title" : "Two weeks of reduced activity decreases leg lean mass and induces \"anabolic resistance\" of myofibrillar protein synthesis in healthy elderly", "type" : "article-journal", "volume" : "98" }, "uris" : [ "http://www.mendeley.com/documents/?uuid=7b247101-8e58-4f48-a336-f3d4e1f8abfc" ] } ], "mendeley" : { "formattedCitation" : "&lt;sup&gt;82&lt;/sup&gt;", "plainTextFormattedCitation" : "82", "previouslyFormattedCitation" : "&lt;sup&gt;82&lt;/sup&gt;" }, "properties" : { "noteIndex" : 0 }, "schema" : "https://github.com/citation-style-language/schema/raw/master/csl-citation.json" }</w:instrText>
      </w:r>
      <w:r w:rsidR="000541AF">
        <w:rPr>
          <w:rFonts w:cs="Times New Roman"/>
        </w:rPr>
        <w:fldChar w:fldCharType="separate"/>
      </w:r>
      <w:r w:rsidR="000541AF" w:rsidRPr="000541AF">
        <w:rPr>
          <w:rFonts w:cs="Times New Roman"/>
          <w:noProof/>
          <w:vertAlign w:val="superscript"/>
        </w:rPr>
        <w:t>82</w:t>
      </w:r>
      <w:r w:rsidR="000541AF">
        <w:rPr>
          <w:rFonts w:cs="Times New Roman"/>
        </w:rPr>
        <w:fldChar w:fldCharType="end"/>
      </w:r>
      <w:r>
        <w:rPr>
          <w:rFonts w:cs="Times New Roman"/>
        </w:rPr>
        <w:t xml:space="preserve"> who showed no effect of two weeks of SR on Short Physical Performance Battery tasks in older </w:t>
      </w:r>
      <w:proofErr w:type="gramStart"/>
      <w:r>
        <w:rPr>
          <w:rFonts w:cs="Times New Roman"/>
        </w:rPr>
        <w:t>adults.</w:t>
      </w:r>
      <w:proofErr w:type="gramEnd"/>
      <w:r>
        <w:rPr>
          <w:rFonts w:cs="Times New Roman"/>
        </w:rPr>
        <w:t xml:space="preserve"> </w:t>
      </w:r>
    </w:p>
    <w:p w14:paraId="78315B3F" w14:textId="0ECCA2C8" w:rsidR="00DA792D" w:rsidRPr="004F4122" w:rsidRDefault="00DA792D" w:rsidP="00DA792D">
      <w:pPr>
        <w:spacing w:line="480" w:lineRule="auto"/>
        <w:ind w:firstLine="720"/>
        <w:rPr>
          <w:rFonts w:cs="Times New Roman"/>
        </w:rPr>
      </w:pPr>
      <w:r>
        <w:rPr>
          <w:rFonts w:cs="Times New Roman"/>
        </w:rPr>
        <w:t xml:space="preserve">The RWT was included as an estimate of </w:t>
      </w:r>
      <w:r w:rsidRPr="000A0FE4">
        <w:rPr>
          <w:rFonts w:cs="Times New Roman"/>
          <w:lang w:val="en-US"/>
        </w:rPr>
        <w:t>V̇O</w:t>
      </w:r>
      <w:r>
        <w:rPr>
          <w:rFonts w:cs="Times New Roman"/>
          <w:vertAlign w:val="subscript"/>
        </w:rPr>
        <w:t>2peak</w:t>
      </w:r>
      <w:r>
        <w:rPr>
          <w:rFonts w:cs="Times New Roman"/>
        </w:rPr>
        <w:t xml:space="preserve"> because of the important role cardiorespiratory fitness plays in maintaining functional ability</w:t>
      </w:r>
      <w:r>
        <w:rPr>
          <w:rFonts w:cs="Times New Roman"/>
        </w:rPr>
        <w:fldChar w:fldCharType="begin" w:fldLock="1"/>
      </w:r>
      <w:r w:rsidR="002463EB">
        <w:rPr>
          <w:rFonts w:cs="Times New Roman"/>
        </w:rPr>
        <w:instrText>ADDIN CSL_CITATION { "citationItems" : [ { "id" : "ITEM-1", "itemData" : { "ISBN" : "0031-9023 (Print)\\r0031-9023 (Linking)", "ISSN" : "0031-9023", "PMID" : "12495411", "abstract" : "BACKGROUND AND PURPOSE: Age-related loss of muscle mass and cardiovascular endurance can lead to impairments in muscle force production and cardiac function that, in turn, limit performance in activities essential to everyday living. The purposes of this study were: (1) to identify the \"breakpoint\" or threshold of maximal voluntary performance and performance in ordinary daily function and (2) to evaluate the predictive validity of the threshold to identify the ability to live independently without self-reported functional limitation. SUBJECTS AND METHODS: Men and women (N=192; mean age=76 years, SD=7, range=65-97) were recruited from single-family community dwellings or retirement communities with multiple levels of care. Physical function was measured with the Continuous-Scale Physical Functional Performance Test (CS-PFP). Maximal voluntary performance measures included peak oxygen consumption (VO(2peak)) and isokinetic knee extensor torque (KET). Segmented linear regression models of the CS-PFP on the physical performance measures were used to determine the threshold values and their confidence intervals. A logistic regression model was used to evaluate the ability of the CS-PFP scores to identify those living independently and to further illustrate the concepts of threshold and physical reserve. RESULTS: Threshold values identified for VO(2peak) (20 mL x kg(-1) x min(-1)) and KET (2.5 N x m/[kg x m(-1)]) were associated with an average of CS-PFP score of 57 units. The threshold accurately predicted individuals reporting functional limitations. DISCUSSION AND CONCLUSION: The thresholds provide a mechanism for easily estimating an individual's physical reserve, predicting dependency in living status, and providing unbiased guidance for intervention in late-life independence.", "author" : [ { "dropping-particle" : "", "family" : "Cress", "given" : "M Elaine", "non-dropping-particle" : "", "parse-names" : false, "suffix" : "" }, { "dropping-particle" : "", "family" : "Meyer", "given" : "Mary", "non-dropping-particle" : "", "parse-names" : false, "suffix" : "" } ], "container-title" : "Physical therapy", "id" : "ITEM-1", "issue" : "1", "issued" : { "date-parts" : [ [ "2003" ] ] }, "page" : "37-48", "title" : "Maximal voluntary and functional performance levels needed for independence in adults aged 65 to 97 years.", "type" : "article-journal", "volume" : "83" }, "uris" : [ "http://www.mendeley.com/documents/?uuid=93be0c3b-f105-4be2-9764-6a0c4bc337fa" ] } ], "mendeley" : { "formattedCitation" : "&lt;sup&gt;143&lt;/sup&gt;", "plainTextFormattedCitation" : "143", "previouslyFormattedCitation" : "&lt;sup&gt;143&lt;/sup&gt;"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143</w:t>
      </w:r>
      <w:r>
        <w:rPr>
          <w:rFonts w:cs="Times New Roman"/>
        </w:rPr>
        <w:fldChar w:fldCharType="end"/>
      </w:r>
      <w:r>
        <w:rPr>
          <w:rFonts w:cs="Times New Roman"/>
        </w:rPr>
        <w:t>, mobility</w:t>
      </w:r>
      <w:r>
        <w:rPr>
          <w:rFonts w:cs="Times New Roman"/>
        </w:rPr>
        <w:fldChar w:fldCharType="begin" w:fldLock="1"/>
      </w:r>
      <w:r w:rsidR="002463EB">
        <w:rPr>
          <w:rFonts w:cs="Times New Roman"/>
        </w:rPr>
        <w:instrText>ADDIN CSL_CITATION { "citationItems" : [ { "id" : "ITEM-1", "itemData" : { "ISBN" : "1079-5006", "ISSN" : "1079-5006", "PMID" : "12902532", "abstract" : "BACKGROUND: Measures of maximal oxygen uptake (VO(2max)) are limited in disabled older adults, and measures of submaximal oxygen uptake (VO(2)) may better predict functional mobility limitations. These measures may include oxygen-uptake kinetics at the onset of submaximal exercise or during recovery. We sought to determine whether the lag in oxygen uptake at the beginning of exercise (oxygen deficit) and excess oxygen uptake above rest following exercise (excess postexercise oxygen consumption) (a) predict physical performance in impaired older adults with decreased aerobic function, and (b) predict physical performance better than peak VO(2). METHODS: Two groups of community-dwelling volunteers aged 65 or older were recruited according to their performance on a maximal graded exercise test. Using the Social Security Administration criterion of disability of a peak VO(2) &lt;or = 18 ml/kg/min, we compared the performance of an impaired aerobic capacity group at a peak VO(2) &lt; 18 ml/kg/min (Impaired, n = 20, mean +/- SEM age 82 +/- 1 years) with an unimpaired group at Peak VO(2) &gt; 18 (Unimpaired, n = 21, mean +/- SEM age 76 +/- 1 years). RESULTS: The mean +/- SEM peak VO(2) was 58% lower in the Impaired (14 +/- 1 ml/kg/min) than the Unimpaired (24 +/- 1 ml/kg/min) adults. The time constant for oxygen deficit, tc(deficit), was more than twice as high in the Impaired than the Unimpaired (p &lt;.05), and the time constant for excess postexercise oxygen consumption, tc(EPOC), tended to be higher in the Impaired than the Unimpaired (by 43%, p =.09). Measures of submaximal oxygen-uptake kinetics were as strong or more strongly predictive of functional mobility performance than peak VO(2) in both Unimpaired and Impaired older adults. The major predictor of functional performance for the Unimpaired was a measure of oxygen deficit accruing during exercise (tc(deficit)), and for the Impaired, it was a measure of oxygen debt during recovery, tc(EPOC). CONCLUSIONS: Measurement of submaximal oxygen-uptake kinetics may provide a more practical and relevant assessment of deconditioning in frail older adults, and may eventually supplant maximal (peak) oxygen uptake as a predictor of functional disability in older adults.", "author" : [ { "dropping-particle" : "", "family" : "Alexander", "given" : "Neil B", "non-dropping-particle" : "", "parse-names" : false, "suffix" : "" }, { "dropping-particle" : "", "family" : "Dengel", "given" : "Donald R", "non-dropping-particle" : "", "parse-names" : false, "suffix" : "" }, { "dropping-particle" : "", "family" : "Olson", "given" : "Rebecca J", "non-dropping-particle" : "", "parse-names" : false, "suffix" : "" }, { "dropping-particle" : "", "family" : "Krajewski", "given" : "Katheryn M", "non-dropping-particle" : "", "parse-names" : false, "suffix" : "" } ], "container-title" : "The journals of gerontology. Series A, Biological sciences and medical sciences", "id" : "ITEM-1", "issue" : "8", "issued" : { "date-parts" : [ [ "2003" ] ] }, "page" : "734-739", "title" : "Oxygen-uptake (VO2) kinetics and functional mobility performance in impaired older adults.", "type" : "article-journal", "volume" : "58" }, "uris" : [ "http://www.mendeley.com/documents/?uuid=057149e8-efae-4973-8e2f-b2f9cacf627e" ] } ], "mendeley" : { "formattedCitation" : "&lt;sup&gt;144&lt;/sup&gt;", "plainTextFormattedCitation" : "144", "previouslyFormattedCitation" : "&lt;sup&gt;144&lt;/sup&gt;"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144</w:t>
      </w:r>
      <w:r>
        <w:rPr>
          <w:rFonts w:cs="Times New Roman"/>
        </w:rPr>
        <w:fldChar w:fldCharType="end"/>
      </w:r>
      <w:r>
        <w:rPr>
          <w:rFonts w:cs="Times New Roman"/>
        </w:rPr>
        <w:t xml:space="preserve"> and ultimately independence in older adults</w:t>
      </w:r>
      <w:r>
        <w:rPr>
          <w:rFonts w:cs="Times New Roman"/>
        </w:rPr>
        <w:fldChar w:fldCharType="begin" w:fldLock="1"/>
      </w:r>
      <w:r w:rsidR="002463EB">
        <w:rPr>
          <w:rFonts w:cs="Times New Roman"/>
        </w:rPr>
        <w:instrText>ADDIN CSL_CITATION { "citationItems" : [ { "id" : "ITEM-1", "itemData" : { "DOI" : "10.1016/S0003-9993(95)80664-4", "ISBN" : "0003-9993", "ISSN" : "00039993", "PMID" : "7717839", "abstract" : "The purpose of this study was to determine the relationship in mature women between muscle strength and whole body oxidative capacity and the ability to perform activities of daily living (ADL). Sixty-one women (mean age 69 years) without major disease or disability were recruited from either a community exercise center or a personal care facility. Physiological measurements consisted of peak oxygen consumption on a cycle ergometer (VO2peak) and one repetition maximum strength of nine muscle groups (1-RM). Ability to perform ADL was measured with a balance and gait test, \"Bag Carrying Test\", and ADL questionnaires. Significant correlations were found with VO2peak and calf muscle strength and ability to perform ADL, with weaker or no correlations for other muscle groups. For some relationships, it was possible to identify the minimum level of physiological functioning associated with successful performance of independence tasks. In summary, physiological capacities, particularly VO2peak and strength of the calf muscles, predicted ability to perform activities needed for functional independence in healthy mature women.", "author" : [ { "dropping-particle" : "", "family" : "Posner", "given" : "J D", "non-dropping-particle" : "", "parse-names" : false, "suffix" : "" }, { "dropping-particle" : "", "family" : "McCully", "given" : "K K", "non-dropping-particle" : "", "parse-names" : false, "suffix" : "" }, { "dropping-particle" : "", "family" : "Landsberg", "given" : "L a", "non-dropping-particle" : "", "parse-names" : false, "suffix" : "" }, { "dropping-particle" : "", "family" : "Sands", "given" : "L P", "non-dropping-particle" : "", "parse-names" : false, "suffix" : "" }, { "dropping-particle" : "", "family" : "Tycenski", "given" : "P", "non-dropping-particle" : "", "parse-names" : false, "suffix" : "" }, { "dropping-particle" : "", "family" : "Hofmann", "given" : "M T", "non-dropping-particle" : "", "parse-names" : false, "suffix" : "" }, { "dropping-particle" : "", "family" : "Wetterholt", "given" : "K L", "non-dropping-particle" : "", "parse-names" : false, "suffix" : "" }, { "dropping-particle" : "", "family" : "Shaw", "given" : "C E", "non-dropping-particle" : "", "parse-names" : false, "suffix" : "" } ], "container-title" : "Archives of physical medicine and rehabilitation", "id" : "ITEM-1", "issue" : "4", "issued" : { "date-parts" : [ [ "1995" ] ] }, "page" : "373-380", "title" : "Physical determinants of independence in mature women.", "type" : "article-journal", "volume" : "76" }, "uris" : [ "http://www.mendeley.com/documents/?uuid=b6fd2483-6e2e-4572-bc27-c393a209a605" ] } ], "mendeley" : { "formattedCitation" : "&lt;sup&gt;145&lt;/sup&gt;", "plainTextFormattedCitation" : "145", "previouslyFormattedCitation" : "&lt;sup&gt;145&lt;/sup&gt;"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145</w:t>
      </w:r>
      <w:r>
        <w:rPr>
          <w:rFonts w:cs="Times New Roman"/>
        </w:rPr>
        <w:fldChar w:fldCharType="end"/>
      </w:r>
      <w:r>
        <w:rPr>
          <w:rFonts w:cs="Times New Roman"/>
        </w:rPr>
        <w:t xml:space="preserve">. Although the decline in estimated </w:t>
      </w:r>
      <w:r w:rsidRPr="000A0FE4">
        <w:rPr>
          <w:rFonts w:cs="Times New Roman"/>
          <w:lang w:val="en-US"/>
        </w:rPr>
        <w:t>V̇</w:t>
      </w:r>
      <w:r>
        <w:rPr>
          <w:rFonts w:cs="Times New Roman"/>
        </w:rPr>
        <w:t>O</w:t>
      </w:r>
      <w:r>
        <w:rPr>
          <w:rFonts w:cs="Times New Roman"/>
          <w:vertAlign w:val="subscript"/>
        </w:rPr>
        <w:t>2peak</w:t>
      </w:r>
      <w:r>
        <w:rPr>
          <w:rFonts w:cs="Times New Roman"/>
        </w:rPr>
        <w:t xml:space="preserve"> in the current study did not reach statistical significance, a post-hoc power analysis suggests that we were underpowered to detect any effect of SR on </w:t>
      </w:r>
      <w:r w:rsidRPr="000A0FE4">
        <w:rPr>
          <w:rFonts w:cs="Times New Roman"/>
          <w:lang w:val="en-US"/>
        </w:rPr>
        <w:t>V̇</w:t>
      </w:r>
      <w:r>
        <w:rPr>
          <w:rFonts w:cs="Times New Roman"/>
        </w:rPr>
        <w:t>O</w:t>
      </w:r>
      <w:r>
        <w:rPr>
          <w:rFonts w:cs="Times New Roman"/>
          <w:vertAlign w:val="subscript"/>
        </w:rPr>
        <w:t>2peak</w:t>
      </w:r>
      <w:r>
        <w:rPr>
          <w:rFonts w:cs="Times New Roman"/>
        </w:rPr>
        <w:t xml:space="preserve"> as measured by the RWT. We would have required a sample size of 34 participants to show that the SR was sufficient to reduce </w:t>
      </w:r>
      <w:r w:rsidRPr="000A0FE4">
        <w:rPr>
          <w:rFonts w:cs="Times New Roman"/>
          <w:lang w:val="en-US"/>
        </w:rPr>
        <w:t>V̇</w:t>
      </w:r>
      <w:r>
        <w:rPr>
          <w:rFonts w:cs="Times New Roman"/>
        </w:rPr>
        <w:t>O</w:t>
      </w:r>
      <w:r>
        <w:rPr>
          <w:rFonts w:cs="Times New Roman"/>
        </w:rPr>
        <w:softHyphen/>
      </w:r>
      <w:r>
        <w:rPr>
          <w:rFonts w:cs="Times New Roman"/>
          <w:vertAlign w:val="subscript"/>
        </w:rPr>
        <w:t>2peak</w:t>
      </w:r>
      <w:r>
        <w:rPr>
          <w:rFonts w:cs="Times New Roman"/>
        </w:rPr>
        <w:t xml:space="preserve">. There was also complete numerical recovery of estimated </w:t>
      </w:r>
      <w:r w:rsidRPr="000A0FE4">
        <w:rPr>
          <w:rFonts w:cs="Times New Roman"/>
          <w:lang w:val="en-US"/>
        </w:rPr>
        <w:t>V̇O</w:t>
      </w:r>
      <w:r>
        <w:rPr>
          <w:rFonts w:cs="Times New Roman"/>
          <w:vertAlign w:val="subscript"/>
        </w:rPr>
        <w:t>2peak</w:t>
      </w:r>
      <w:r>
        <w:rPr>
          <w:rFonts w:cs="Times New Roman"/>
        </w:rPr>
        <w:t xml:space="preserve"> with a return to habitual PA suggesting these impairments in cardiorespiratory fitness were, if they were present, transient.</w:t>
      </w:r>
    </w:p>
    <w:p w14:paraId="1886838A" w14:textId="77777777" w:rsidR="00DA792D" w:rsidRDefault="00DA792D" w:rsidP="00DA792D">
      <w:pPr>
        <w:spacing w:line="480" w:lineRule="auto"/>
        <w:rPr>
          <w:rFonts w:cs="Times New Roman"/>
          <w:b/>
          <w:i/>
        </w:rPr>
      </w:pPr>
    </w:p>
    <w:p w14:paraId="7B70FE26" w14:textId="77777777" w:rsidR="00DA792D" w:rsidRDefault="00DA792D" w:rsidP="00DA792D">
      <w:pPr>
        <w:pStyle w:val="Heading3"/>
      </w:pPr>
      <w:bookmarkStart w:id="72" w:name="_Toc296814813"/>
      <w:bookmarkStart w:id="73" w:name="_Toc296932792"/>
      <w:r w:rsidRPr="00BB6B3E">
        <w:t>In</w:t>
      </w:r>
      <w:r>
        <w:t>ter-in</w:t>
      </w:r>
      <w:r w:rsidRPr="00BB6B3E">
        <w:t>dividual</w:t>
      </w:r>
      <w:r>
        <w:t xml:space="preserve"> variability</w:t>
      </w:r>
      <w:bookmarkEnd w:id="72"/>
      <w:bookmarkEnd w:id="73"/>
    </w:p>
    <w:p w14:paraId="38D300C6" w14:textId="5B313DDA" w:rsidR="00DA792D" w:rsidRPr="006153A4" w:rsidRDefault="00DA792D" w:rsidP="00DA792D">
      <w:pPr>
        <w:spacing w:line="480" w:lineRule="auto"/>
        <w:ind w:firstLine="720"/>
        <w:rPr>
          <w:rFonts w:cs="Times New Roman"/>
        </w:rPr>
      </w:pPr>
      <w:r>
        <w:rPr>
          <w:rFonts w:cs="Times New Roman"/>
        </w:rPr>
        <w:t>What is most evident is the large range of daily steps taken, and it is therefore of interest to question how different habitual ambulation might affect the degree of change in various variables induced with SR. Our study, in agreement with previous work</w:t>
      </w:r>
      <w:r>
        <w:rPr>
          <w:rFonts w:cs="Times New Roman"/>
        </w:rPr>
        <w:fldChar w:fldCharType="begin" w:fldLock="1"/>
      </w:r>
      <w:r w:rsidR="00225DB1">
        <w:rPr>
          <w:rFonts w:cs="Times New Roman"/>
        </w:rPr>
        <w:instrText>ADDIN CSL_CITATION { "citationItems" : [ { "id" : "ITEM-1", "itemData" : { "DOI" : "10.1152/japplphysiol.00977.2009", "ISBN" : "8750-7587\\r1522-1601", "ISSN" : "8750-7587", "PMID" : "20044474", "abstract" : "US adults take between approximately 2,000 and approximately 12,000 steps per day, a wide range of ambulatory activity that at the low range could increase risk for developing chronic metabolic diseases. Dramatic reductions in physical activity induce insulin resistance; however, it is uncertain if and how low ambulatory activity would influence peripheral insulin sensitivity. We aimed to explore if healthy, nonexercising subjects who went from a normal to a low level of ambulatory activity for 2 wk would display metabolic alterations including reduced peripheral insulin sensitivity. To do this, ten healthy young men decreased their daily activity level from a mean of 10,501+/-808 to 1,344+/-33 steps/day for 2 wk. Hyperinsulinemic-euglycemic clamps with stable isotopes and muscle biopsies, maximal oxygen consumption (VO2 max) tests, and blood samples were performed pre- and postintervention. A reduced number of daily steps induced a significant reduction of 17% in the glucose infusion rate (GIR) during the clamp. This reduction was due to a decline in peripheral insulin sensitivity with no effect on hepatic endogenous glucose production. The insulin-stimulated ratio of pAktthr308/total Akt decreased after step reduction, with a post hoc analysis revealing the most pronounced effect after 4 h of insulin infusion. In addition, the 2-wk period induced a 7% decline in VO2 max (ml/min; cardiovascular fitness). Lean mass of legs, but not arms and trunk, decreased concurrently. Taken together, one possible biological cause for the public health problem of Type 2 diabetes has been identified. Reduced ambulatory activity for 2 wk in healthy, nonexercising young men significantly reduced peripheral insulin sensitivity, cardiovascular fitness, and lean leg mass.", "author" : [ { "dropping-particle" : "", "family" : "Krogh-Madsen", "given" : "Rikke", "non-dropping-particle" : "", "parse-names" : false, "suffix" : "" }, { "dropping-particle" : "", "family" : "Thyfault", "given" : "John P", "non-dropping-particle" : "", "parse-names" : false, "suffix" : "" }, { "dropping-particle" : "", "family" : "Broholm", "given" : "Christa", "non-dropping-particle" : "", "parse-names" : false, "suffix" : "" }, { "dropping-particle" : "", "family" : "Mortensen", "given" : "Ole Hartvig", "non-dropping-particle" : "", "parse-names" : false, "suffix" : "" }, { "dropping-particle" : "", "family" : "Olsen", "given" : "Rasmus H", "non-dropping-particle" : "", "parse-names" : false, "suffix" : "" }, { "dropping-particle" : "", "family" : "Mounier", "given" : "Remi", "non-dropping-particle" : "", "parse-names" : false, "suffix" : "" }, { "dropping-particle" : "", "family" : "Plomgaard", "given" : "Peter", "non-dropping-particle" : "", "parse-names" : false, "suffix" : "" }, { "dropping-particle" : "", "family" : "Hall", "given" : "Gerrit", "non-dropping-particle" : "van", "parse-names" : false, "suffix" : "" }, { "dropping-particle" : "", "family" : "Booth", "given" : "Frank W", "non-dropping-particle" : "", "parse-names" : false, "suffix" : "" }, { "dropping-particle" : "", "family" : "Pedersen", "given" : "Bente K", "non-dropping-particle" : "", "parse-names" : false, "suffix" : "" } ], "container-title" : "Journal of applied physiology (Bethesda, Md. : 1985)", "id" : "ITEM-1", "issue" : "5", "issued" : { "date-parts" : [ [ "2010", "5" ] ] }, "note" : "From Duplicate 1 ( ", "page" : "1034-1040", "title" : "A 2-wk reduction of ambulatory activity attenuates peripheral insulin sensitivity.", "type" : "article-journal", "volume" : "108" }, "uris" : [ "http://www.mendeley.com/documents/?uuid=e79211db-25b4-4bf9-a2d1-c4c657021667" ] } ], "mendeley" : { "formattedCitation" : "&lt;sup&gt;78&lt;/sup&gt;", "plainTextFormattedCitation" : "78", "previouslyFormattedCitation" : "&lt;sup&gt;78&lt;/sup&gt;"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78</w:t>
      </w:r>
      <w:r>
        <w:rPr>
          <w:rFonts w:cs="Times New Roman"/>
        </w:rPr>
        <w:fldChar w:fldCharType="end"/>
      </w:r>
      <w:r>
        <w:rPr>
          <w:rFonts w:cs="Times New Roman"/>
        </w:rPr>
        <w:t>, showed that there is no relationship between the reduction in habitual daily steps and changes in primary endpoint measures such as LM or insulin sensitivity. Although, the [</w:t>
      </w:r>
      <w:proofErr w:type="gramStart"/>
      <w:r>
        <w:rPr>
          <w:rFonts w:cs="Times New Roman"/>
        </w:rPr>
        <w:t>G]</w:t>
      </w:r>
      <w:r>
        <w:rPr>
          <w:rFonts w:cs="Times New Roman"/>
          <w:vertAlign w:val="subscript"/>
        </w:rPr>
        <w:t>120</w:t>
      </w:r>
      <w:proofErr w:type="gramEnd"/>
      <w:r>
        <w:rPr>
          <w:rFonts w:cs="Times New Roman"/>
        </w:rPr>
        <w:t xml:space="preserve"> after OGTT, which is a strong predictor of mortality independent of age</w:t>
      </w:r>
      <w:r>
        <w:rPr>
          <w:rFonts w:cs="Times New Roman"/>
        </w:rPr>
        <w:fldChar w:fldCharType="begin" w:fldLock="1"/>
      </w:r>
      <w:r w:rsidR="002463EB">
        <w:rPr>
          <w:rFonts w:cs="Times New Roman"/>
        </w:rPr>
        <w:instrText>ADDIN CSL_CITATION { "citationItems" : [ { "id" : "ITEM-1", "itemData" : { "DOI" : "10.1016/S0140-6736(98)12131-1", "ISBN" : "0140-6736 (Print)\\r0140-6736 (Linking)", "ISSN" : "0140-6736", "PMID" : "10466661", "abstract" : "BACKGROUND: The American Diabetes Association (ADA) recommend that fasting glucose alone with the oral glucose tolerance test should be used to diagnose diabetes mellitus. We assessed mortality associated with the ADA fasting-glucose criteria compared with the WHO 2 h post-challenge glucose criteria. METHODS: We assessed baseline data on glucose concentrations at fasting and 2 h after the 75 g oral glucose tolerance test from 13 prospective European cohort studies, which included 18,048 men and 7316 women aged 30 years or older. Mean follow-up was 7.3 years. We assessed the risk of death according to the different diagnostic glucose categories. FINDINGS: Compared with men who had normal fasting glucose (&lt; 6.1 mmol/L), men with newly diagnosed diabetes mellitus by the ADA fasting criteria (&gt; or = 7.0 mmol/L) had a hazard ratio for death of 1.81 (95% CI 1.49-2.20); for women the hazard ratio was 1.79 (1.18-2.69). For impaired fasting glucose (6.1-6.9 mmol/L), the hazard ratios were 1.21 (1.05-1.41) and 1.08 (0.70-1.66). For the WHO criteria (&gt; or = 11.1 mmol/L), the ratios for newly diagnosed diabetes were 2.02 (1.66-2.46) in men and 2.77 (1.96-3.92) in women, and for impaired glucose tolerance (7.8-11.1 mmol/L) were 1.51 (1.32-1.72) and 1.60 (1.22-2.10). Within each fasting-glucose classification, mortality increased with increasing 2 h glucose. However, for 2 h glucose classifications of impaired glucose tolerance, and diabetes, there was no trend for increasing fasting glucose concentrations. INTERPRETATION: Fasting-glucose concentrations alone do not identify individuals at increased risk of death associated with hyperglycaemia. The oral glucose tolerance test provides additional prognostic information and enables detection of individuals with impaired glucose tolerance, who have the greatest attributable risk of death.", "container-title" : "Lancet", "id" : "ITEM-1", "issue" : "9179", "issued" : { "date-parts" : [ [ "1999" ] ] }, "page" : "617-621", "title" : "Glucose tolerance and mortality: comparison of WHO and American Diabetes Association diagnostic criteria. The DECODE study group. European Diabetes Epidemiology Group. Diabetes Epidemiology: Collaborative analysis Of Diagnostic criteria in Europe.", "type" : "article-journal", "volume" : "354" }, "uris" : [ "http://www.mendeley.com/documents/?uuid=0291b67e-bd5c-4570-b59c-ba2cfb89af11" ] }, { "id" : "ITEM-2", "itemData" : { "DOI" : "10.2337/dc07-2102", "ISBN" : "0149-5992", "ISSN" : "01495992", "PMID" : "18268070", "abstract" : "OBJECTIVE: To verify what information from oral glucose tolerance tests (OGTTs) independently predicts mortality. RESEARCH DESIGN AND METHODS: A total of 1,401 initially nondiabetic participants from the Baltimore Longitudinal Study of Aging aged 17-95 years underwent one or more OGTTs (median 2, range 1-8), with insulin and glucose measurements taken every 20 min over the course of 2 h included in this study. Proportional hazards using the longitudinally collected data and Bayesian model averaging were used to examine the association of OGTT measurements individually and grouped with mortality, adjusting for covariates. RESULTS: Participants were followed for a median 20.3 years (range 0.5-40). The first-hour OGTT glucose and insulin levels increased only modestly with age, whereas levels during the second hour increased 4% per decade. Individually, 100- and 120-min glucose measures and fasting and 100-min insulin levels were all independent predictors of mortality. When all measures were considered together, only higher 120-min glucose was a significant independent risk factor for mortality. CONCLUSION: The steeper rise with age of the OGTT 2-h glucose values and the prognostic primacy of the 120-min glucose value for mortality is consistent with previous reports and suggests the value of using the OGTT in clinical practice.", "author" : [ { "dropping-particle" : "", "family" : "Metter", "given" : "E. Jeffrey", "non-dropping-particle" : "", "parse-names" : false, "suffix" : "" }, { "dropping-particle" : "", "family" : "Windham", "given" : "B. Gwen", "non-dropping-particle" : "", "parse-names" : false, "suffix" : "" }, { "dropping-particle" : "", "family" : "Maggio", "given" : "Marcello", "non-dropping-particle" : "", "parse-names" : false, "suffix" : "" }, { "dropping-particle" : "", "family" : "Simonsick", "given" : "Eleanor M.", "non-dropping-particle" : "", "parse-names" : false, "suffix" : "" }, { "dropping-particle" : "", "family" : "Ling", "given" : "Shari M.", "non-dropping-particle" : "", "parse-names" : false, "suffix" : "" }, { "dropping-particle" : "", "family" : "Egan", "given" : "Josephine M.", "non-dropping-particle" : "", "parse-names" : false, "suffix" : "" }, { "dropping-particle" : "", "family" : "Ferrucci", "given" : "Luigi", "non-dropping-particle" : "", "parse-names" : false, "suffix" : "" } ], "container-title" : "Diabetes Care", "id" : "ITEM-2", "issue" : "5", "issued" : { "date-parts" : [ [ "2008" ] ] }, "page" : "1026-1030", "title" : "Glucose and insulin measurements from the oral glucose tolerance test and mortality prediction", "type" : "article-journal", "volume" : "31" }, "uris" : [ "http://www.mendeley.com/documents/?uuid=7a1aa57a-25bb-4d28-8df6-7ae1ca717a47" ] } ], "mendeley" : { "formattedCitation" : "&lt;sup&gt;146,147&lt;/sup&gt;", "plainTextFormattedCitation" : "146,147", "previouslyFormattedCitation" : "&lt;sup&gt;146,147&lt;/sup&gt;"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146,147</w:t>
      </w:r>
      <w:r>
        <w:rPr>
          <w:rFonts w:cs="Times New Roman"/>
        </w:rPr>
        <w:fldChar w:fldCharType="end"/>
      </w:r>
      <w:r>
        <w:rPr>
          <w:rFonts w:cs="Times New Roman"/>
        </w:rPr>
        <w:t xml:space="preserve">, was significantly correlated with the reduction in </w:t>
      </w:r>
      <w:r w:rsidR="000541AF">
        <w:rPr>
          <w:rFonts w:cs="Times New Roman"/>
        </w:rPr>
        <w:t>daily steps</w:t>
      </w:r>
      <w:r>
        <w:rPr>
          <w:rFonts w:cs="Times New Roman"/>
        </w:rPr>
        <w:t xml:space="preserve">. This is only one measure, however, and in general it does not seem that increased habitual levels of daily steps were in any way protective against the effects of SR, nor does higher </w:t>
      </w:r>
      <w:r w:rsidR="002B63BD">
        <w:rPr>
          <w:rFonts w:cs="Times New Roman"/>
        </w:rPr>
        <w:t>BL</w:t>
      </w:r>
      <w:r>
        <w:rPr>
          <w:rFonts w:cs="Times New Roman"/>
        </w:rPr>
        <w:t xml:space="preserve"> </w:t>
      </w:r>
      <w:r w:rsidR="000541AF">
        <w:rPr>
          <w:rFonts w:cs="Times New Roman"/>
        </w:rPr>
        <w:t>daily stepping</w:t>
      </w:r>
      <w:r>
        <w:rPr>
          <w:rFonts w:cs="Times New Roman"/>
        </w:rPr>
        <w:t xml:space="preserve"> predispose older adults to greater consequences of SR.</w:t>
      </w:r>
    </w:p>
    <w:p w14:paraId="11D18745" w14:textId="43B13B87" w:rsidR="00DA792D" w:rsidRPr="0016733D" w:rsidRDefault="00DA792D" w:rsidP="00DA792D">
      <w:pPr>
        <w:spacing w:line="480" w:lineRule="auto"/>
        <w:ind w:firstLine="720"/>
        <w:rPr>
          <w:rFonts w:cs="Times New Roman"/>
        </w:rPr>
      </w:pPr>
      <w:r>
        <w:rPr>
          <w:rFonts w:cs="Times New Roman"/>
        </w:rPr>
        <w:t>While the current study was underpowered to detect any differences between men and women, we attempted to see if there were patterns or associations between multiple measures independent of sex. For example, during an OGTT the time spent in a toxic hyperglycemic state (&gt;10 mM)</w:t>
      </w:r>
      <w:r w:rsidR="000541AF">
        <w:rPr>
          <w:rFonts w:cs="Times New Roman"/>
        </w:rPr>
        <w:t>,</w:t>
      </w:r>
      <w:r>
        <w:rPr>
          <w:rFonts w:cs="Times New Roman"/>
        </w:rPr>
        <w:t xml:space="preserve"> associated with cardiovascular co</w:t>
      </w:r>
      <w:r w:rsidR="000541AF">
        <w:rPr>
          <w:rFonts w:cs="Times New Roman"/>
        </w:rPr>
        <w:t>nsequences</w:t>
      </w:r>
      <w:r>
        <w:rPr>
          <w:rFonts w:cs="Times New Roman"/>
        </w:rPr>
        <w:fldChar w:fldCharType="begin" w:fldLock="1"/>
      </w:r>
      <w:r w:rsidR="002463EB">
        <w:rPr>
          <w:rFonts w:cs="Times New Roman"/>
        </w:rPr>
        <w:instrText>ADDIN CSL_CITATION { "citationItems" : [ { "id" : "ITEM-1", "itemData" : { "DOI" : "10.1001/archinte.164.19.2147", "ISSN" : "0003-9926", "PMID" : "15505129", "abstract" : "BACKGROUND: Although hyperglycemia increases the risk of cardiovascular disease (CVD) in diabetic patients, the risk associated with blood glucose levels in the nondiabetic range remains unsettled. METHODS: We identified 38 reports in which CVD incidence or mortality was an end point, blood glucose levels were measured prospectively, and the relative risk (RR) and information necessary to calculate the variance were reported comparing groups of nondiabetic people. These reports were prospective studies, published in English-language journals. First author, publication year, participant age and sex, study duration, CVD end points, glucose assessment methods, control for confounding, range of blood glucose levels, RR, and confidence intervals (CIs) or P values were extracted. Using a random effects model, we calculated pooled RRs and 95% CIs. RESULTS: The group with the highest postchallenge blood glucose level (midpoint range, 150-194 mg/dL [8.3-10.8 mmol/L]) had a 27% greater risk for CVD compared with the group with the lowest level (midpoint range, 69-107 mg/dL [3.8-5.9 mmol/L]) (RR, 1.27 [95% CI, 1.09-1.48]). The results were similar when combining studies regardless of type of blood glucose assessment (RR, 1.36 [95% CI, 1.23-1.52]) and when using strict criteria for exclusion of diabetic subjects (RR, 1.26 [95% CI, 1.11-1.43]). Adjustment for CVD risk factors attenuated but did not abolish this relationship (RR, 1.19 [95% CI, 1.07-1.32]). The RR was greater in cohorts including women than in cohorts of men (RR, 1.56 vs 1.24 [P = .03]). CONCLUSION: Blood glucose level is a risk marker for CVD among apparently healthy individuals without diabetes.", "author" : [ { "dropping-particle" : "", "family" : "Levitan", "given" : "Emily B", "non-dropping-particle" : "", "parse-names" : false, "suffix" : "" }, { "dropping-particle" : "", "family" : "Song", "given" : "Yiqing", "non-dropping-particle" : "", "parse-names" : false, "suffix" : "" }, { "dropping-particle" : "", "family" : "Ford", "given" : "Earl S", "non-dropping-particle" : "", "parse-names" : false, "suffix" : "" }, { "dropping-particle" : "", "family" : "Liu", "given" : "Simin", "non-dropping-particle" : "", "parse-names" : false, "suffix" : "" } ], "container-title" : "Archives of internal medicine", "id" : "ITEM-1", "issue" : "19", "issued" : { "date-parts" : [ [ "2004" ] ] }, "page" : "2147-2155", "title" : "Is nondiabetic hyperglycemia a risk factor for cardiovascular disease? A meta-analysis of prospective studies.", "type" : "article-journal", "volume" : "164" }, "uris" : [ "http://www.mendeley.com/documents/?uuid=474181e4-9f59-4265-9633-2a403155a6c0" ] }, { "id" : "ITEM-2", "itemData" : { "DOI" : "10.2337/db08-0063", "ISBN" : "1939-327X (Electronic)", "ISSN" : "00121797", "PMID" : "18299315", "abstract" : "OBJECTIVE: To explore the possibility that oscillating glucose may outweigh A1C levels in determining the risk for cardiovascular diabetes complications. RESEARCH DESIGN AND METHODS: A euinsulinemic hyperglycemic clamp at 5, 10, and 15 mmol/l glucose was given in increasing steps as a single \"spike\" or oscillating between basal and high levels over 24 h in normal subjects and type 2 diabetic patients. Flow-mediated dilatation, a marker of endothelial function, and plasma 3-nitrotyrosine and 24-h urinary excretion rates of free 8-iso PGF2 alpha, two markers of oxidative stress, were measured over 48 h postclamp. RESULTS: Glucose at two different levels (10 and 15 mmol/l) resulted in a concentration-dependent fasting blood glucose-independent induction of both endothelial dysfunction and oxidative stress in both normal and type 2 diabetic patients. Oscillating glucose between 5 and 15 mmol/l every 6 h for 24 h resulted in further significant increases in endothelial dysfunction and oxidative stress compared with either continuous 10 or 15 mmol/l glucose. CONCLUSIONS: These data suggest that oscillating glucose can have more deleterious effects than constant high glucose on endothelial function and oxidative stress, two key players in favoring cardiovascular complications in diabetes. Concomitant vitamin C infusion can reverse this impairment.", "author" : [ { "dropping-particle" : "", "family" : "Ceriello", "given" : "Antonio", "non-dropping-particle" : "", "parse-names" : false, "suffix" : "" }, { "dropping-particle" : "", "family" : "Esposito", "given" : "Katherine", "non-dropping-particle" : "", "parse-names" : false, "suffix" : "" }, { "dropping-particle" : "", "family" : "Piconi", "given" : "Ludovica", "non-dropping-particle" : "", "parse-names" : false, "suffix" : "" }, { "dropping-particle" : "", "family" : "Ihnat", "given" : "Michael a.", "non-dropping-particle" : "", "parse-names" : false, "suffix" : "" }, { "dropping-particle" : "", "family" : "Thorpe", "given" : "Jessica E.", "non-dropping-particle" : "", "parse-names" : false, "suffix" : "" }, { "dropping-particle" : "", "family" : "Testa", "given" : "Roberto", "non-dropping-particle" : "", "parse-names" : false, "suffix" : "" }, { "dropping-particle" : "", "family" : "Boemi", "given" : "Massimo", "non-dropping-particle" : "", "parse-names" : false, "suffix" : "" }, { "dropping-particle" : "", "family" : "Giugliano", "given" : "Dario", "non-dropping-particle" : "", "parse-names" : false, "suffix" : "" } ], "container-title" : "Diabetes", "id" : "ITEM-2", "issue" : "5", "issued" : { "date-parts" : [ [ "2008" ] ] }, "page" : "1349-1354", "title" : "Oscillating glucose is more deleterious to endothelial function and oxidative stress than mean glucose in normal and type 2 diabetic patients", "type" : "article-journal", "volume" : "57" }, "uris" : [ "http://www.mendeley.com/documents/?uuid=09c20deb-0a9c-4184-9c4e-f6891b7b74a6" ] }, { "id" : "ITEM-3", "itemData" : { "DOI" : "10.1007/s00125-002-0931-5", "ISSN" : "0012-186X", "PMID" : "12652353", "abstract" : "It is both common and wise practice to adjust the treatment of diabetic patients to obtain plasma glucose concentrations as close as possible to the \"normal range\", correcting both postprandial hyperglycaemic spikes and the less increased, but persistently high, plasma glucose concentration between meals. The Diabetes Control and Complications Trials (DCCT) and the United Kingdom Prospective Diabetes Study (UKPDS) have provided evidence that intensive treatment can prevent complications associated with diabetes mellitus. In both studies, effectiveness of hyperglycaemic treatment was assessed by means of the glycated haemoglobin level. This is an integrated measure of both postprandial and fasting hyperglycaemia. The absolute and relative importance of the two conditions, however, could differ depending upon the organ or system suffering from diabetic complications and other more or less known individual factors. This paper aims to emphasize the effects of acute hyperglycaemia, in particular, postprandial hyperglycaemia, on the development of diabetic complications. The role of oxidative stress as a mediator of acute hyperglycaemia is further discussed. More investigation in this area is required so that treatment can be eventually individualised. Perhaps, in some patients, efforts could be concentrated on the control of hyperglycaemic spikes and/or specific organ or system susceptibility to either acute or chronic hyperglycaemia.", "author" : [ { "dropping-particle" : "", "family" : "Ceriello", "given" : "A", "non-dropping-particle" : "", "parse-names" : false, "suffix" : "" } ], "container-title" : "Diabetologia", "id" : "ITEM-3", "issued" : { "date-parts" : [ [ "2003" ] ] }, "page" : "M9-M16", "title" : "The possible role of postprandial hyperglycaemia in the pathogenesis of diabetic complications.", "type" : "article-journal", "volume" : "46 Suppl 1" }, "uris" : [ "http://www.mendeley.com/documents/?uuid=e5ffc8c7-f54e-4f03-9920-52ee042fd40b" ] } ], "mendeley" : { "formattedCitation" : "&lt;sup&gt;128,148,149&lt;/sup&gt;", "plainTextFormattedCitation" : "128,148,149", "previouslyFormattedCitation" : "&lt;sup&gt;128,148,149&lt;/sup&gt;" }, "properties" : { "noteIndex" : 0 }, "schema" : "https://github.com/citation-style-language/schema/raw/master/csl-citation.json" }</w:instrText>
      </w:r>
      <w:r>
        <w:rPr>
          <w:rFonts w:cs="Times New Roman"/>
        </w:rPr>
        <w:fldChar w:fldCharType="separate"/>
      </w:r>
      <w:r w:rsidR="002463EB" w:rsidRPr="002463EB">
        <w:rPr>
          <w:rFonts w:cs="Times New Roman"/>
          <w:noProof/>
          <w:vertAlign w:val="superscript"/>
        </w:rPr>
        <w:t>128,148,149</w:t>
      </w:r>
      <w:r>
        <w:rPr>
          <w:rFonts w:cs="Times New Roman"/>
        </w:rPr>
        <w:fldChar w:fldCharType="end"/>
      </w:r>
      <w:r>
        <w:rPr>
          <w:rFonts w:cs="Times New Roman"/>
        </w:rPr>
        <w:t>, was not affected in all participants. However, some participants spent anywhere from 20 to 95 more minutes in hyperglycemia, regardless of their individual increase in OGTT glucose AUC. What becomes abundantly clear from the investigation of individuals (Figure 14) is that some older adults responded with greater impairments in glycemic regulation as a result of the SR intervention, while others showed a limited response. It seems that all older adults are subject to some degree of impairment in insulin sensitivity after SR, which suggests that Matsuda ISI may be an important end-point outcome to target health after physical inactivity, rather than LM or strength. Furthermore, while many of the results from this study did not reach statistical significance due to the small sample size, it does not mean the effects of SR on individuals are not clinically relevant. Hypothetically, if at least one in ten participants from this current study experienced severe declines in glycemic control, strength, cardiovascular fitness or LM, when extrapolated to the Canadian population of older adults this could mean that ~500 000 Canadians</w:t>
      </w:r>
      <w:r>
        <w:rPr>
          <w:rFonts w:cs="Times New Roman"/>
        </w:rPr>
        <w:fldChar w:fldCharType="begin" w:fldLock="1"/>
      </w:r>
      <w:r w:rsidR="006670B1">
        <w:rPr>
          <w:rFonts w:cs="Times New Roman"/>
        </w:rPr>
        <w:instrText>ADDIN CSL_CITATION { "citationItems" : [ { "id" : "ITEM-1", "itemData" : { "ISBN" : "978-1-77109-227-2", "author" : [ { "dropping-particle" : "", "family" : "Canadian Institute for Health Information", "given" : "", "non-dropping-particle" : "", "parse-names" : false, "suffix" : "" } ], "id" : "ITEM-1", "issued" : { "date-parts" : [ [ "2013" ] ] }, "title" : "National Health Expenditure Trends , 1975 to 2013 (Executive Summary)", "type" : "report" }, "uris" : [ "http://www.mendeley.com/documents/?uuid=b34b34e3-ec41-4670-b140-5a6a54509954" ] } ], "mendeley" : { "formattedCitation" : "&lt;sup&gt;1&lt;/sup&gt;", "plainTextFormattedCitation" : "1", "previouslyFormattedCitation" : "&lt;sup&gt;1&lt;/sup&gt;" }, "properties" : { "noteIndex" : 0 }, "schema" : "https://github.com/citation-style-language/schema/raw/master/csl-citation.json" }</w:instrText>
      </w:r>
      <w:r>
        <w:rPr>
          <w:rFonts w:cs="Times New Roman"/>
        </w:rPr>
        <w:fldChar w:fldCharType="separate"/>
      </w:r>
      <w:r w:rsidR="004238C1" w:rsidRPr="004238C1">
        <w:rPr>
          <w:rFonts w:cs="Times New Roman"/>
          <w:noProof/>
          <w:vertAlign w:val="superscript"/>
        </w:rPr>
        <w:t>1</w:t>
      </w:r>
      <w:r>
        <w:rPr>
          <w:rFonts w:cs="Times New Roman"/>
        </w:rPr>
        <w:fldChar w:fldCharType="end"/>
      </w:r>
      <w:r>
        <w:rPr>
          <w:rFonts w:cs="Times New Roman"/>
        </w:rPr>
        <w:t xml:space="preserve"> are in some way negatively affected by acute periods of SR that approximate what we experimentally induced here. While underlying factors that make </w:t>
      </w:r>
      <w:r w:rsidR="000541AF">
        <w:rPr>
          <w:rFonts w:cs="Times New Roman"/>
        </w:rPr>
        <w:t xml:space="preserve">some </w:t>
      </w:r>
      <w:r>
        <w:rPr>
          <w:rFonts w:cs="Times New Roman"/>
        </w:rPr>
        <w:t>older adults more vulnerable to SR</w:t>
      </w:r>
      <w:r w:rsidR="000541AF">
        <w:rPr>
          <w:rFonts w:cs="Times New Roman"/>
        </w:rPr>
        <w:t xml:space="preserve"> than others</w:t>
      </w:r>
      <w:r>
        <w:rPr>
          <w:rFonts w:cs="Times New Roman"/>
        </w:rPr>
        <w:t xml:space="preserve"> are not yet understood</w:t>
      </w:r>
      <w:r w:rsidR="000541AF">
        <w:rPr>
          <w:rFonts w:cs="Times New Roman"/>
        </w:rPr>
        <w:t>, nor is a</w:t>
      </w:r>
      <w:r>
        <w:rPr>
          <w:rFonts w:cs="Times New Roman"/>
        </w:rPr>
        <w:t xml:space="preserve"> population-wide effect well established, SR </w:t>
      </w:r>
      <w:proofErr w:type="gramStart"/>
      <w:r>
        <w:rPr>
          <w:rFonts w:cs="Times New Roman"/>
        </w:rPr>
        <w:t>may</w:t>
      </w:r>
      <w:proofErr w:type="gramEnd"/>
      <w:r>
        <w:rPr>
          <w:rFonts w:cs="Times New Roman"/>
        </w:rPr>
        <w:t xml:space="preserve"> have underappreciated consequences for an individual.</w:t>
      </w:r>
    </w:p>
    <w:p w14:paraId="2E3F25A7" w14:textId="77777777" w:rsidR="00DA792D" w:rsidRDefault="00DA792D" w:rsidP="006C36C2">
      <w:pPr>
        <w:keepNext/>
        <w:spacing w:line="480" w:lineRule="auto"/>
      </w:pPr>
      <w:r>
        <w:rPr>
          <w:noProof/>
          <w:lang w:val="en-US" w:eastAsia="en-US"/>
        </w:rPr>
        <w:drawing>
          <wp:inline distT="0" distB="0" distL="0" distR="0" wp14:anchorId="499DD22B" wp14:editId="46949CA7">
            <wp:extent cx="4652176" cy="52812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 Responses.pdf"/>
                    <pic:cNvPicPr/>
                  </pic:nvPicPr>
                  <pic:blipFill>
                    <a:blip r:embed="rId27">
                      <a:extLst>
                        <a:ext uri="{28A0092B-C50C-407E-A947-70E740481C1C}">
                          <a14:useLocalDpi xmlns:a14="http://schemas.microsoft.com/office/drawing/2010/main" val="0"/>
                        </a:ext>
                      </a:extLst>
                    </a:blip>
                    <a:stretch>
                      <a:fillRect/>
                    </a:stretch>
                  </pic:blipFill>
                  <pic:spPr>
                    <a:xfrm>
                      <a:off x="0" y="0"/>
                      <a:ext cx="4652630" cy="5281810"/>
                    </a:xfrm>
                    <a:prstGeom prst="rect">
                      <a:avLst/>
                    </a:prstGeom>
                  </pic:spPr>
                </pic:pic>
              </a:graphicData>
            </a:graphic>
          </wp:inline>
        </w:drawing>
      </w:r>
    </w:p>
    <w:p w14:paraId="47944B5D" w14:textId="1FD9DC7D" w:rsidR="00DA792D" w:rsidRPr="008D1079" w:rsidRDefault="00DA792D" w:rsidP="00DA792D">
      <w:pPr>
        <w:pStyle w:val="Caption"/>
        <w:rPr>
          <w:rFonts w:cs="Times New Roman"/>
          <w:b w:val="0"/>
          <w:color w:val="auto"/>
          <w:sz w:val="24"/>
          <w:szCs w:val="24"/>
        </w:rPr>
      </w:pPr>
      <w:r w:rsidRPr="008D1079">
        <w:rPr>
          <w:color w:val="auto"/>
          <w:sz w:val="24"/>
          <w:szCs w:val="24"/>
        </w:rPr>
        <w:t>Figure 14.</w:t>
      </w:r>
      <w:r w:rsidRPr="008D1079">
        <w:rPr>
          <w:b w:val="0"/>
          <w:color w:val="auto"/>
          <w:sz w:val="24"/>
          <w:szCs w:val="24"/>
        </w:rPr>
        <w:t xml:space="preserve"> Individual </w:t>
      </w:r>
      <w:r>
        <w:rPr>
          <w:b w:val="0"/>
          <w:color w:val="auto"/>
          <w:sz w:val="24"/>
          <w:szCs w:val="24"/>
        </w:rPr>
        <w:t xml:space="preserve">change </w:t>
      </w:r>
      <w:r w:rsidRPr="008D1079">
        <w:rPr>
          <w:b w:val="0"/>
          <w:color w:val="auto"/>
          <w:sz w:val="24"/>
          <w:szCs w:val="24"/>
        </w:rPr>
        <w:t>responses of participants (each with unique symbol)</w:t>
      </w:r>
      <w:r>
        <w:rPr>
          <w:b w:val="0"/>
          <w:color w:val="auto"/>
          <w:sz w:val="24"/>
          <w:szCs w:val="24"/>
        </w:rPr>
        <w:t xml:space="preserve"> from BL to SR,</w:t>
      </w:r>
      <w:r w:rsidRPr="008D1079">
        <w:rPr>
          <w:b w:val="0"/>
          <w:color w:val="auto"/>
          <w:sz w:val="24"/>
          <w:szCs w:val="24"/>
        </w:rPr>
        <w:t xml:space="preserve"> organized from left to right by increasing reduction in daily steps during SR.</w:t>
      </w:r>
      <w:r w:rsidR="000541AF">
        <w:rPr>
          <w:b w:val="0"/>
          <w:color w:val="auto"/>
          <w:sz w:val="24"/>
          <w:szCs w:val="24"/>
        </w:rPr>
        <w:t xml:space="preserve"> n=10 (6 men and 4 women)</w:t>
      </w:r>
      <w:r w:rsidR="000541AF" w:rsidRPr="00D36817">
        <w:rPr>
          <w:b w:val="0"/>
          <w:color w:val="auto"/>
          <w:sz w:val="24"/>
          <w:szCs w:val="24"/>
        </w:rPr>
        <w:t>.</w:t>
      </w:r>
      <w:r w:rsidRPr="008D1079">
        <w:rPr>
          <w:b w:val="0"/>
          <w:color w:val="auto"/>
          <w:sz w:val="24"/>
          <w:szCs w:val="24"/>
        </w:rPr>
        <w:t xml:space="preserve"> </w:t>
      </w:r>
      <w:r w:rsidRPr="00BC3799">
        <w:rPr>
          <w:color w:val="auto"/>
          <w:sz w:val="24"/>
          <w:szCs w:val="24"/>
        </w:rPr>
        <w:t>A)</w:t>
      </w:r>
      <w:r>
        <w:rPr>
          <w:b w:val="0"/>
          <w:color w:val="auto"/>
          <w:sz w:val="24"/>
          <w:szCs w:val="24"/>
        </w:rPr>
        <w:t xml:space="preserve"> Individual percentage change in leg LM mass. </w:t>
      </w:r>
      <w:r w:rsidRPr="00BC3799">
        <w:rPr>
          <w:color w:val="auto"/>
          <w:sz w:val="24"/>
          <w:szCs w:val="24"/>
        </w:rPr>
        <w:t>B)</w:t>
      </w:r>
      <w:r>
        <w:rPr>
          <w:b w:val="0"/>
          <w:color w:val="auto"/>
          <w:sz w:val="24"/>
          <w:szCs w:val="24"/>
        </w:rPr>
        <w:t xml:space="preserve"> Individual percentage change in maximal knee extensor ISO-MVC. </w:t>
      </w:r>
      <w:r w:rsidRPr="00BC3799">
        <w:rPr>
          <w:color w:val="auto"/>
          <w:sz w:val="24"/>
          <w:szCs w:val="24"/>
        </w:rPr>
        <w:t>C)</w:t>
      </w:r>
      <w:r>
        <w:rPr>
          <w:b w:val="0"/>
          <w:color w:val="auto"/>
          <w:sz w:val="24"/>
          <w:szCs w:val="24"/>
        </w:rPr>
        <w:t xml:space="preserve"> Individual percentage change in estimated </w:t>
      </w:r>
      <w:r w:rsidRPr="00CF6E1E">
        <w:rPr>
          <w:rFonts w:cs="Times New Roman"/>
          <w:b w:val="0"/>
          <w:color w:val="auto"/>
          <w:sz w:val="24"/>
          <w:szCs w:val="24"/>
          <w:lang w:val="en-US"/>
        </w:rPr>
        <w:t>V̇</w:t>
      </w:r>
      <w:r>
        <w:rPr>
          <w:b w:val="0"/>
          <w:color w:val="auto"/>
          <w:sz w:val="24"/>
          <w:szCs w:val="24"/>
        </w:rPr>
        <w:t>O</w:t>
      </w:r>
      <w:r>
        <w:rPr>
          <w:b w:val="0"/>
          <w:color w:val="auto"/>
          <w:sz w:val="24"/>
          <w:szCs w:val="24"/>
          <w:vertAlign w:val="subscript"/>
        </w:rPr>
        <w:t>2peak</w:t>
      </w:r>
      <w:r>
        <w:rPr>
          <w:b w:val="0"/>
          <w:color w:val="auto"/>
          <w:sz w:val="24"/>
          <w:szCs w:val="24"/>
        </w:rPr>
        <w:t xml:space="preserve"> from RWT. </w:t>
      </w:r>
      <w:r w:rsidRPr="00BC3799">
        <w:rPr>
          <w:color w:val="auto"/>
          <w:sz w:val="24"/>
          <w:szCs w:val="24"/>
        </w:rPr>
        <w:t>D)</w:t>
      </w:r>
      <w:r>
        <w:rPr>
          <w:b w:val="0"/>
          <w:color w:val="auto"/>
          <w:sz w:val="24"/>
          <w:szCs w:val="24"/>
        </w:rPr>
        <w:t xml:space="preserve"> Individual percentage change in capillary blood glucose AUC during OGTT. </w:t>
      </w:r>
      <w:r w:rsidRPr="00BC3799">
        <w:rPr>
          <w:color w:val="auto"/>
          <w:sz w:val="24"/>
          <w:szCs w:val="24"/>
        </w:rPr>
        <w:t>E)</w:t>
      </w:r>
      <w:r>
        <w:rPr>
          <w:b w:val="0"/>
          <w:color w:val="auto"/>
          <w:sz w:val="24"/>
          <w:szCs w:val="24"/>
        </w:rPr>
        <w:t xml:space="preserve"> Individual percentage change in Matsuda ISI. </w:t>
      </w:r>
      <w:r w:rsidRPr="00BC3799">
        <w:rPr>
          <w:color w:val="auto"/>
          <w:sz w:val="24"/>
          <w:szCs w:val="24"/>
        </w:rPr>
        <w:t>F)</w:t>
      </w:r>
      <w:r>
        <w:rPr>
          <w:b w:val="0"/>
          <w:color w:val="auto"/>
          <w:sz w:val="24"/>
          <w:szCs w:val="24"/>
        </w:rPr>
        <w:t xml:space="preserve"> Individual percentage change in HOMA-IR.</w:t>
      </w:r>
    </w:p>
    <w:p w14:paraId="1F1C0481" w14:textId="77777777" w:rsidR="00DA792D" w:rsidRDefault="00DA792D" w:rsidP="00DA792D">
      <w:pPr>
        <w:spacing w:line="480" w:lineRule="auto"/>
        <w:rPr>
          <w:rFonts w:cs="Times New Roman"/>
          <w:b/>
          <w:i/>
        </w:rPr>
      </w:pPr>
    </w:p>
    <w:p w14:paraId="10E59AEA" w14:textId="77777777" w:rsidR="00DA792D" w:rsidRDefault="00DA792D" w:rsidP="00DA792D">
      <w:pPr>
        <w:pStyle w:val="Heading3"/>
      </w:pPr>
      <w:r>
        <w:br w:type="column"/>
      </w:r>
      <w:bookmarkStart w:id="74" w:name="_Toc296814814"/>
      <w:bookmarkStart w:id="75" w:name="_Toc296932793"/>
      <w:r w:rsidRPr="001E02FC">
        <w:t>Conclusions</w:t>
      </w:r>
      <w:bookmarkEnd w:id="74"/>
      <w:bookmarkEnd w:id="75"/>
      <w:r>
        <w:t xml:space="preserve"> </w:t>
      </w:r>
    </w:p>
    <w:p w14:paraId="5374B283" w14:textId="21F5A6B0" w:rsidR="00DA792D" w:rsidRDefault="00DA792D" w:rsidP="00DA792D">
      <w:pPr>
        <w:spacing w:line="480" w:lineRule="auto"/>
        <w:ind w:firstLine="720"/>
        <w:rPr>
          <w:rFonts w:cs="Times New Roman"/>
        </w:rPr>
      </w:pPr>
      <w:r>
        <w:rPr>
          <w:rFonts w:cs="Times New Roman"/>
        </w:rPr>
        <w:t xml:space="preserve">In summary we report that after two weeks of SR of fewer than 1000 steps per day, older adults experienced impairments in glycemic control measured with OGTT and free-living CGMS. However we did not detect significant declines in muscle mass, strength and physical function. Furthermore, despite a return to habitual levels of ambulation and exercise, older adults failed to recover their insulin sensitivity, which was significantly reduced after SR. This is the first study to report an inability for older adults to recover from a seemingly </w:t>
      </w:r>
      <w:r w:rsidR="00F842B1">
        <w:rPr>
          <w:rFonts w:cs="Times New Roman"/>
        </w:rPr>
        <w:t xml:space="preserve">relatively brief </w:t>
      </w:r>
      <w:r>
        <w:rPr>
          <w:rFonts w:cs="Times New Roman"/>
        </w:rPr>
        <w:t>period of physical inactivity such as a reduction in daily steps. When compared to the recovery potential of younger adults</w:t>
      </w:r>
      <w:r>
        <w:rPr>
          <w:rFonts w:cs="Times New Roman"/>
        </w:rPr>
        <w:fldChar w:fldCharType="begin" w:fldLock="1"/>
      </w:r>
      <w:r w:rsidR="00225DB1">
        <w:rPr>
          <w:rFonts w:cs="Times New Roman"/>
        </w:rPr>
        <w:instrText>ADDIN CSL_CITATION { "citationItems" : [ { "id" : "ITEM-1", "itemData" : { "DOI" : "10.1152/japplphysiol.00290.2009", "ISBN" : "1522-1601 (Electronic)\r0161-7567 (Linking)", "ISSN" : "1522-1601", "PMID" : "19661454", "abstract" : "Inactivity is a recognized compounding factor in sarcopenia and muscle weakness in old age. However, while the negative effects of unloading on skeletal muscle in young individuals are well elucidated, only little is known about the consequence of immobilization and the regenerative capacity in elderly individuals. Thus the aim of this study was to examine the effect of aging on changes in muscle contractile properties, specific force, and muscle mass characteristics in 9 old (61-74 yr) and 11 young men (21-27 yr) after 2 wk of immobilization and 4 wk of retraining. Both young and old experienced decreases in maximal muscle strength, resting twitch peak torque and twitch rate of force development, quadriceps muscle volume, pennation angle, and specific force after 2 wk of immobilization (P &lt; 0.05). The decline in quadriceps volume and pennation angle was smaller in old compared with young (P &lt; 0.05). In contrast, only old men experienced a decrease in quadriceps activation. After retraining, both young and old regained their initial muscle strength, but old had smaller gains in quadriceps volume compared with young, and pennation angle increased in young only (P &lt; 0.05). The present study is the first to demonstrate that aging alters the neuromuscular response to short-term disuse and recovery in humans. Notably, immobilization had a greater impact on neuronal motor function in old individuals, while young individuals were more affected at the muscle level. In addition, old individuals showed an attenuated response to retraining after immobilization compared with young individuals.", "author" : [ { "dropping-particle" : "", "family" : "Suetta", "given" : "C", "non-dropping-particle" : "", "parse-names" : false, "suffix" : "" }, { "dropping-particle" : "", "family" : "Hvid", "given" : "L G", "non-dropping-particle" : "", "parse-names" : false, "suffix" : "" }, { "dropping-particle" : "", "family" : "Justesen", "given" : "L", "non-dropping-particle" : "", "parse-names" : false, "suffix" : "" }, { "dropping-particle" : "", "family" : "Christensen", "given" : "U", "non-dropping-particle" : "", "parse-names" : false, "suffix" : "" }, { "dropping-particle" : "", "family" : "Neergaard", "given" : "K", "non-dropping-particle" : "", "parse-names" : false, "suffix" : "" }, { "dropping-particle" : "", "family" : "Simonsen", "given" : "L", "non-dropping-particle" : "", "parse-names" : false, "suffix" : "" }, { "dropping-particle" : "", "family" : "Ortenblad", "given" : "N", "non-dropping-particle" : "", "parse-names" : false, "suffix" : "" }, { "dropping-particle" : "", "family" : "Magnusson", "given" : "S P", "non-dropping-particle" : "", "parse-names" : false, "suffix" : "" }, { "dropping-particle" : "", "family" : "Kjaer", "given" : "M", "non-dropping-particle" : "", "parse-names" : false, "suffix" : "" }, { "dropping-particle" : "", "family" : "Aagaard", "given" : "P", "non-dropping-particle" : "", "parse-names" : false, "suffix" : "" } ], "container-title" : "Journal of applied physiology (Bethesda, Md. : 1985)", "id" : "ITEM-1", "issue" : "4", "issued" : { "date-parts" : [ [ "2009", "10" ] ] }, "page" : "1172-1180", "title" : "Effects of aging on human skeletal muscle after immobilization and retraining.", "type" : "article-journal", "volume" : "107" }, "uris" : [ "http://www.mendeley.com/documents/?uuid=03fe0af6-3cbe-40fc-8c94-5ae48ae103c2" ] }, { "id" : "ITEM-2", "itemData" : { "DOI" : "10.1152/japplphysiol.00189.2011", "ISBN" : "8750-7587\\r1522-1601", "ISSN" : "8750-7587", "PMID" : "22556394", "abstract" : "A lifestyle characterized by inactivity and a high-calorie diet is a known risk factor for impaired insulin sensitivity and development of Type 2 diabetes mellitus. To investigate possible links, nine young healthy men (24 \u00b1 3 yr; body mass index of 21.6 \u00b1 2.5 kg/m(2)) completed 14 days of step reduction (10,000 to 1,500 steps/day) and overfeeding (+50% kcal). Body composition (dual X-ray absorptiometry, MRI), aerobic fitness (maximal O(2) consumption), systemic inflammation and insulin sensitivity [oral glucose tolerance test (OGTT), hyperinsulinemic euglycemic clamp] were assessed before (day 0), during (days 3 and 7), and immediately after the intervention (day 14), with follow-up tests (day 30). Body weight had increased at days 7 and 14 (P &lt; 0.05). The amount of visceral fat had increased at day 14 compared with day 0 (P &lt; 0.05). The insulin response to the OGTT had increased at days 7 and 14 (P &lt; 0.05). Insulin sensitivity, estimated using the Matsuda index, had decreased at days 3 and 7 (P &lt; 0.01). At day 14, glucose infusion rates had decreased by \u223c44% during the euglycemic clamps (P &lt; 0.05). Also, plasma levels of leptin and adiponectin had increased (P &lt; 0.05), whereas no changes were seen in inflammatory markers. At day 30, body weight and whole body adiposity were still elevated compared with day 0 (P &lt; 0.05), whereas the insulin sensitivity as well as the insulin response to the OGTT did not differ from baseline. The glucose response to the OGTT was only affected at day 30, with a decrease compared with day 0. Our data show that insulin sensitivity was impaired after 3 days of inactivity and overfeeding. Impairments in insulin sensitivity occurred before changes in body composition, supporting the notion that the initial steps in impairment of insulin sensitivity may be linked directly to the effects of inactivity and a high calorie intake.", "author" : [ { "dropping-particle" : "", "family" : "Knudsen", "given" : "S. H.", "non-dropping-particle" : "", "parse-names" : false, "suffix" : "" }, { "dropping-particle" : "", "family" : "Hansen", "given" : "L. S.", "non-dropping-particle" : "", "parse-names" : false, "suffix" : "" }, { "dropping-particle" : "", "family" : "Pedersen", "given" : "M.", "non-dropping-particle" : "", "parse-names" : false, "suffix" : "" }, { "dropping-particle" : "", "family" : "Dejgaard", "given" : "T.", "non-dropping-particle" : "", "parse-names" : false, "suffix" : "" }, { "dropping-particle" : "", "family" : "Hansen", "given" : "J.", "non-dropping-particle" : "", "parse-names" : false, "suffix" : "" }, { "dropping-particle" : "V.", "family" : "Hall", "given" : "G.", "non-dropping-particle" : "", "parse-names" : false, "suffix" : "" }, { "dropping-particle" : "", "family" : "Thomsen", "given" : "C.", "non-dropping-particle" : "", "parse-names" : false, "suffix" : "" }, { "dropping-particle" : "", "family" : "Solomon", "given" : "T. P. J.", "non-dropping-particle" : "", "parse-names" : false, "suffix" : "" }, { "dropping-particle" : "", "family" : "Pedersen", "given" : "B. K.", "non-dropping-particle" : "", "parse-names" : false, "suffix" : "" }, { "dropping-particle" : "", "family" : "Krogh-Madsen", "given" : "R.", "non-dropping-particle" : "", "parse-names" : false, "suffix" : "" } ], "container-title" : "Journal of Applied Physiology", "id" : "ITEM-2", "issue" : "1", "issued" : { "date-parts" : [ [ "2012", "7" ] ] }, "page" : "7-15", "title" : "Changes in insulin sensitivity precede changes in body composition during 14 days of step reduction combined with overfeeding in healthy young men", "type" : "article-journal", "volume" : "113" }, "uris" : [ "http://www.mendeley.com/documents/?uuid=fd55b369-3ad5-4fab-a9be-62ff792b9582" ] } ], "mendeley" : { "formattedCitation" : "&lt;sup&gt;56,79&lt;/sup&gt;", "plainTextFormattedCitation" : "56,79", "previouslyFormattedCitation" : "&lt;sup&gt;56,79&lt;/sup&gt;"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56,79</w:t>
      </w:r>
      <w:r>
        <w:rPr>
          <w:rFonts w:cs="Times New Roman"/>
        </w:rPr>
        <w:fldChar w:fldCharType="end"/>
      </w:r>
      <w:r>
        <w:rPr>
          <w:rFonts w:cs="Times New Roman"/>
        </w:rPr>
        <w:t>, the findings of the current study highlight the increased vulnerability of older adults to muscular disuse. No therapeutic guidelines currently exist for ambulation in hospitals</w:t>
      </w:r>
      <w:r>
        <w:rPr>
          <w:rFonts w:cs="Times New Roman"/>
        </w:rPr>
        <w:fldChar w:fldCharType="begin" w:fldLock="1"/>
      </w:r>
      <w:r w:rsidR="00225DB1">
        <w:rPr>
          <w:rFonts w:cs="Times New Roman"/>
        </w:rPr>
        <w:instrText>ADDIN CSL_CITATION { "citationItems" : [ { "id" : "ITEM-1", "itemData" : { "DOI" : "10.1111/j.1532-5415.2004.52354.x", "ISBN" : "0002-8614", "ISSN" : "00028614", "PMID" : "15271112", "abstract" : "OBJECTIVES: To estimate the prevalence of different levels of mobility in a hospitalized older cohort, to measure the degree and rate of adverse outcomes associated with different mobility levels, and to examine the physician activity orders and documented reasons for bedrest in the lowest mobility group. DESIGN: A prospective cohort study. SETTING: An 800-bed university teaching hospital. PARTICIPANTS: Four hundred ninety-eight hospitalized medical patients, aged 70 and older. MEASUREMENTS: Using average mobility level, scored from 0 to 12, the low-mobility group was defined as having a score of 4 or less, intermediate as a score of higher than 4 to 8, and high as higher than 8. Outcomes were functional decline, new institutionalization, death, and death or new institutionalization. RESULTS: Low and intermediate levels of mobility were common, accounting for 80 (16%) and 157 (32%) study patients, respectively. Overall, any activity of daily living (ADL) decline occurred in 29%, new institutionalization in 13%, death in 7%, and death or new institutionalization in 22% of patients in this cohort. When compared with the high mobility group, the low and intermediate groups were associated with the adverse outcomes in a graded fashion, even after controlling for multiple confounders. The low-mobility group had an adjusted odds ratio (OR) of 5.6 (95% confidence interval (CI)=2.9-11.0) for ADL decline, 6.0 (95% CI=2.5-14.8) for new institutionalization, 34.3 (95% CI=6.3-185.9) for death, and 7.2 (95% CI=3.6-14.4) for death or new institutionalization. The intermediate group had adjusted ORs of 2.5 (95% CI=1.5-4.1), 2.9 (95% CI=1.4-6.0), 10.1 (95% CI=1.9-52.9), and 3.3 (95% CI=1.8-5.9) for ADL decline, new institutionalization, death, and death or new institutionalization, respectively. Bedrest was ordered at some point during hospitalization in 165 (33%) patients. For most patients, mobility was limited involuntarily (bedrest orders), and almost 60% of bedrest episodes in the lowest mobility group had no documented medical indication. CONCLUSION: Low mobility and bedrest are common in hospitalized older patients and are important predictors of adverse outcomes. This study demonstrated that the adverse outcomes associated with low mobility and bedrest may be viewed as iatrogenic events leading to complications, such as functional decline.", "author" : [ { "dropping-particle" : "", "family" : "Brown", "given" : "Cynthia J.", "non-dropping-particle" : "", "parse-names" : false, "suffix" : "" }, { "dropping-particle" : "", "family" : "Friedkin", "given" : "Rebecca J.", "non-dropping-particle" : "", "parse-names" : false, "suffix" : "" }, { "dropping-particle" : "", "family" : "Inouye", "given" : "Sharon K.", "non-dropping-particle" : "", "parse-names" : false, "suffix" : "" } ], "container-title" : "Journal of the American Geriatrics Society", "id" : "ITEM-1", "issue" : "8", "issued" : { "date-parts" : [ [ "2004" ] ] }, "page" : "1263-1270", "title" : "Prevalence and outcomes of low mobility in hospitalized older patients", "type" : "article-journal", "volume" : "52" }, "uris" : [ "http://www.mendeley.com/documents/?uuid=24204b2a-6268-4a29-9611-2110af680394" ] } ], "mendeley" : { "formattedCitation" : "&lt;sup&gt;66&lt;/sup&gt;", "plainTextFormattedCitation" : "66", "previouslyFormattedCitation" : "&lt;sup&gt;66&lt;/sup&gt;" }, "properties" : { "noteIndex" : 0 }, "schema" : "https://github.com/citation-style-language/schema/raw/master/csl-citation.json" }</w:instrText>
      </w:r>
      <w:r>
        <w:rPr>
          <w:rFonts w:cs="Times New Roman"/>
        </w:rPr>
        <w:fldChar w:fldCharType="separate"/>
      </w:r>
      <w:r w:rsidR="003605CC" w:rsidRPr="003605CC">
        <w:rPr>
          <w:rFonts w:cs="Times New Roman"/>
          <w:noProof/>
          <w:vertAlign w:val="superscript"/>
        </w:rPr>
        <w:t>66</w:t>
      </w:r>
      <w:r>
        <w:rPr>
          <w:rFonts w:cs="Times New Roman"/>
        </w:rPr>
        <w:fldChar w:fldCharType="end"/>
      </w:r>
      <w:r>
        <w:rPr>
          <w:rFonts w:cs="Times New Roman"/>
        </w:rPr>
        <w:t xml:space="preserve">, and as such, the results of SR studies direct attention towards care that would limit the </w:t>
      </w:r>
      <w:r w:rsidRPr="001D1176">
        <w:rPr>
          <w:rFonts w:cs="Times New Roman"/>
        </w:rPr>
        <w:t>iatrogenic</w:t>
      </w:r>
      <w:r>
        <w:rPr>
          <w:rFonts w:cs="Times New Roman"/>
        </w:rPr>
        <w:t xml:space="preserve"> effects of reduced ambulation during acute illness and hospitalization.</w:t>
      </w:r>
    </w:p>
    <w:p w14:paraId="3EF12B93" w14:textId="77777777" w:rsidR="00DA792D" w:rsidRDefault="00DA792D" w:rsidP="00DA792D">
      <w:pPr>
        <w:spacing w:line="480" w:lineRule="auto"/>
        <w:rPr>
          <w:rFonts w:cs="Times New Roman"/>
          <w:b/>
          <w:i/>
        </w:rPr>
      </w:pPr>
    </w:p>
    <w:p w14:paraId="45217407" w14:textId="77777777" w:rsidR="00DA792D" w:rsidRDefault="00DA792D" w:rsidP="00DA792D">
      <w:pPr>
        <w:pStyle w:val="Heading3"/>
      </w:pPr>
      <w:bookmarkStart w:id="76" w:name="_Toc296814815"/>
      <w:bookmarkStart w:id="77" w:name="_Toc296932794"/>
      <w:r w:rsidRPr="007D5382">
        <w:t>Future direction</w:t>
      </w:r>
      <w:r>
        <w:t>s</w:t>
      </w:r>
      <w:bookmarkEnd w:id="76"/>
      <w:bookmarkEnd w:id="77"/>
    </w:p>
    <w:p w14:paraId="4EDCE7D6" w14:textId="68087378" w:rsidR="00FA550E" w:rsidRDefault="00DA792D" w:rsidP="00DA792D">
      <w:pPr>
        <w:spacing w:line="480" w:lineRule="auto"/>
        <w:ind w:firstLine="720"/>
      </w:pPr>
      <w:r>
        <w:rPr>
          <w:rFonts w:cs="Times New Roman"/>
        </w:rPr>
        <w:t xml:space="preserve">In order to address some of the limitations of the current study, subsequent research should place primary importance on using well controlled measures or ‘gold standard’ methodologies for measuring outcomes such as muscle mass and strength. Using a larger sample size for increased statistical power would provide a better opportunity to investigate differences between men and women in response to physical inactivity, as well as understand any relationships between habitual PA and susceptibility to the consequences of SR. While the current model of SR and RC attempted to mimic a non-pathologic inactivity and recovery period in older adults, clinical investigations of SR may show augmented consequences of SR due to concomitant pathologies. This study suggests </w:t>
      </w:r>
      <w:r w:rsidR="000541AF">
        <w:rPr>
          <w:rFonts w:cs="Times New Roman"/>
        </w:rPr>
        <w:t xml:space="preserve">that some </w:t>
      </w:r>
      <w:r>
        <w:rPr>
          <w:rFonts w:cs="Times New Roman"/>
        </w:rPr>
        <w:t>older adults</w:t>
      </w:r>
      <w:r>
        <w:t xml:space="preserve"> may be able to defend against </w:t>
      </w:r>
      <w:r w:rsidR="000541AF">
        <w:t>two</w:t>
      </w:r>
      <w:r>
        <w:t xml:space="preserve"> weeks of SR, however, more protracted periods of SR (eg. illness/injury and convalescence lasting 3-4 weeks) may surpass this threshold and have greater adverse health consequences. Future studies altering the length or degree of SR may in fact find these changes impact the consequences of SR for older adults, while longer post-SR periods may help characterize the time course of recovery for the elderly.</w:t>
      </w:r>
    </w:p>
    <w:p w14:paraId="7F1D32C5" w14:textId="77777777" w:rsidR="004238C1" w:rsidRDefault="004238C1" w:rsidP="004238C1">
      <w:pPr>
        <w:spacing w:line="480" w:lineRule="auto"/>
      </w:pPr>
    </w:p>
    <w:p w14:paraId="1E31A954" w14:textId="2AF24CD3" w:rsidR="004238C1" w:rsidRDefault="004238C1" w:rsidP="006670B1">
      <w:pPr>
        <w:pStyle w:val="Heading1"/>
      </w:pPr>
      <w:bookmarkStart w:id="78" w:name="_Toc296932795"/>
      <w:r>
        <w:t>REFERENCES</w:t>
      </w:r>
      <w:bookmarkEnd w:id="78"/>
    </w:p>
    <w:p w14:paraId="276FEF05" w14:textId="531ABBEE" w:rsidR="00572BFC" w:rsidRPr="00572BFC" w:rsidRDefault="004238C1">
      <w:pPr>
        <w:pStyle w:val="NormalWeb"/>
        <w:ind w:left="640" w:hanging="640"/>
        <w:divId w:val="1331449340"/>
        <w:rPr>
          <w:rFonts w:ascii="Times New Roman" w:hAnsi="Times New Roman"/>
          <w:noProof/>
        </w:rPr>
      </w:pPr>
      <w:r w:rsidRPr="001C7536">
        <w:rPr>
          <w:rFonts w:ascii="Times New Roman" w:hAnsi="Times New Roman"/>
        </w:rPr>
        <w:fldChar w:fldCharType="begin" w:fldLock="1"/>
      </w:r>
      <w:r w:rsidRPr="001C7536">
        <w:rPr>
          <w:rFonts w:ascii="Times New Roman" w:hAnsi="Times New Roman"/>
        </w:rPr>
        <w:instrText xml:space="preserve">ADDIN Mendeley Bibliography CSL_BIBLIOGRAPHY </w:instrText>
      </w:r>
      <w:r w:rsidRPr="001C7536">
        <w:rPr>
          <w:rFonts w:ascii="Times New Roman" w:hAnsi="Times New Roman"/>
        </w:rPr>
        <w:fldChar w:fldCharType="separate"/>
      </w:r>
      <w:r w:rsidR="00572BFC" w:rsidRPr="00572BFC">
        <w:rPr>
          <w:rFonts w:ascii="Times New Roman" w:hAnsi="Times New Roman"/>
          <w:noProof/>
        </w:rPr>
        <w:t>1.</w:t>
      </w:r>
      <w:r w:rsidR="00572BFC" w:rsidRPr="00572BFC">
        <w:rPr>
          <w:rFonts w:ascii="Times New Roman" w:hAnsi="Times New Roman"/>
          <w:noProof/>
        </w:rPr>
        <w:tab/>
        <w:t xml:space="preserve">Canadian Institute for Health Information. </w:t>
      </w:r>
      <w:r w:rsidR="00572BFC" w:rsidRPr="00572BFC">
        <w:rPr>
          <w:rFonts w:ascii="Times New Roman" w:hAnsi="Times New Roman"/>
          <w:i/>
          <w:iCs/>
          <w:noProof/>
        </w:rPr>
        <w:t>National Health Expenditure Trends , 1975 to 2013 (Executive Summary)</w:t>
      </w:r>
      <w:r w:rsidR="00572BFC" w:rsidRPr="00572BFC">
        <w:rPr>
          <w:rFonts w:ascii="Times New Roman" w:hAnsi="Times New Roman"/>
          <w:noProof/>
        </w:rPr>
        <w:t>. (2013).</w:t>
      </w:r>
    </w:p>
    <w:p w14:paraId="0C3166E4"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2.</w:t>
      </w:r>
      <w:r w:rsidRPr="00572BFC">
        <w:rPr>
          <w:rFonts w:ascii="Times New Roman" w:hAnsi="Times New Roman"/>
          <w:noProof/>
        </w:rPr>
        <w:tab/>
        <w:t xml:space="preserve">World Health Organization. </w:t>
      </w:r>
      <w:r w:rsidRPr="00572BFC">
        <w:rPr>
          <w:rFonts w:ascii="Times New Roman" w:hAnsi="Times New Roman"/>
          <w:i/>
          <w:iCs/>
          <w:noProof/>
        </w:rPr>
        <w:t>Global health and aging</w:t>
      </w:r>
      <w:r w:rsidRPr="00572BFC">
        <w:rPr>
          <w:rFonts w:ascii="Times New Roman" w:hAnsi="Times New Roman"/>
          <w:noProof/>
        </w:rPr>
        <w:t>. (2011).</w:t>
      </w:r>
    </w:p>
    <w:p w14:paraId="5E44E4A9"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3.</w:t>
      </w:r>
      <w:r w:rsidRPr="00572BFC">
        <w:rPr>
          <w:rFonts w:ascii="Times New Roman" w:hAnsi="Times New Roman"/>
          <w:noProof/>
        </w:rPr>
        <w:tab/>
        <w:t xml:space="preserve">Rosenberg, I. H. Summary comments. </w:t>
      </w:r>
      <w:r w:rsidRPr="00572BFC">
        <w:rPr>
          <w:rFonts w:ascii="Times New Roman" w:hAnsi="Times New Roman"/>
          <w:i/>
          <w:iCs/>
          <w:noProof/>
        </w:rPr>
        <w:t>Am. J. Clin. Nutr.</w:t>
      </w:r>
      <w:r w:rsidRPr="00572BFC">
        <w:rPr>
          <w:rFonts w:ascii="Times New Roman" w:hAnsi="Times New Roman"/>
          <w:noProof/>
        </w:rPr>
        <w:t xml:space="preserve"> </w:t>
      </w:r>
      <w:r w:rsidRPr="00572BFC">
        <w:rPr>
          <w:rFonts w:ascii="Times New Roman" w:hAnsi="Times New Roman"/>
          <w:b/>
          <w:bCs/>
          <w:noProof/>
        </w:rPr>
        <w:t>50,</w:t>
      </w:r>
      <w:r w:rsidRPr="00572BFC">
        <w:rPr>
          <w:rFonts w:ascii="Times New Roman" w:hAnsi="Times New Roman"/>
          <w:noProof/>
        </w:rPr>
        <w:t xml:space="preserve"> 1231–1233 (1989).</w:t>
      </w:r>
    </w:p>
    <w:p w14:paraId="14050B34"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4.</w:t>
      </w:r>
      <w:r w:rsidRPr="00572BFC">
        <w:rPr>
          <w:rFonts w:ascii="Times New Roman" w:hAnsi="Times New Roman"/>
          <w:noProof/>
        </w:rPr>
        <w:tab/>
        <w:t xml:space="preserve">Janssen, I. &amp; Ross, R. Linking age-related changes in skeletal muscle mass and composition with metabolism and disease. </w:t>
      </w:r>
      <w:r w:rsidRPr="00572BFC">
        <w:rPr>
          <w:rFonts w:ascii="Times New Roman" w:hAnsi="Times New Roman"/>
          <w:i/>
          <w:iCs/>
          <w:noProof/>
        </w:rPr>
        <w:t>J. Nutr. Health Aging</w:t>
      </w:r>
      <w:r w:rsidRPr="00572BFC">
        <w:rPr>
          <w:rFonts w:ascii="Times New Roman" w:hAnsi="Times New Roman"/>
          <w:noProof/>
        </w:rPr>
        <w:t xml:space="preserve"> </w:t>
      </w:r>
      <w:r w:rsidRPr="00572BFC">
        <w:rPr>
          <w:rFonts w:ascii="Times New Roman" w:hAnsi="Times New Roman"/>
          <w:b/>
          <w:bCs/>
          <w:noProof/>
        </w:rPr>
        <w:t>9,</w:t>
      </w:r>
      <w:r w:rsidRPr="00572BFC">
        <w:rPr>
          <w:rFonts w:ascii="Times New Roman" w:hAnsi="Times New Roman"/>
          <w:noProof/>
        </w:rPr>
        <w:t xml:space="preserve"> 408–419 (2005).</w:t>
      </w:r>
    </w:p>
    <w:p w14:paraId="208B7B45"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5.</w:t>
      </w:r>
      <w:r w:rsidRPr="00572BFC">
        <w:rPr>
          <w:rFonts w:ascii="Times New Roman" w:hAnsi="Times New Roman"/>
          <w:noProof/>
        </w:rPr>
        <w:tab/>
        <w:t xml:space="preserve">Hughes, V. a </w:t>
      </w:r>
      <w:r w:rsidRPr="00572BFC">
        <w:rPr>
          <w:rFonts w:ascii="Times New Roman" w:hAnsi="Times New Roman"/>
          <w:i/>
          <w:iCs/>
          <w:noProof/>
        </w:rPr>
        <w:t>et al.</w:t>
      </w:r>
      <w:r w:rsidRPr="00572BFC">
        <w:rPr>
          <w:rFonts w:ascii="Times New Roman" w:hAnsi="Times New Roman"/>
          <w:noProof/>
        </w:rPr>
        <w:t xml:space="preserve"> Longitudinal muscle strength changes in older adults: influence of muscle mass, physical activity, and health. </w:t>
      </w:r>
      <w:r w:rsidRPr="00572BFC">
        <w:rPr>
          <w:rFonts w:ascii="Times New Roman" w:hAnsi="Times New Roman"/>
          <w:i/>
          <w:iCs/>
          <w:noProof/>
        </w:rPr>
        <w:t>J. Gerontol. A. Biol. Sci. Med. Sci.</w:t>
      </w:r>
      <w:r w:rsidRPr="00572BFC">
        <w:rPr>
          <w:rFonts w:ascii="Times New Roman" w:hAnsi="Times New Roman"/>
          <w:noProof/>
        </w:rPr>
        <w:t xml:space="preserve"> </w:t>
      </w:r>
      <w:r w:rsidRPr="00572BFC">
        <w:rPr>
          <w:rFonts w:ascii="Times New Roman" w:hAnsi="Times New Roman"/>
          <w:b/>
          <w:bCs/>
          <w:noProof/>
        </w:rPr>
        <w:t>56,</w:t>
      </w:r>
      <w:r w:rsidRPr="00572BFC">
        <w:rPr>
          <w:rFonts w:ascii="Times New Roman" w:hAnsi="Times New Roman"/>
          <w:noProof/>
        </w:rPr>
        <w:t xml:space="preserve"> B209–B217 (2001).</w:t>
      </w:r>
    </w:p>
    <w:p w14:paraId="2204D472"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6.</w:t>
      </w:r>
      <w:r w:rsidRPr="00572BFC">
        <w:rPr>
          <w:rFonts w:ascii="Times New Roman" w:hAnsi="Times New Roman"/>
          <w:noProof/>
        </w:rPr>
        <w:tab/>
        <w:t xml:space="preserve">Goodpaster, B. H. </w:t>
      </w:r>
      <w:r w:rsidRPr="00572BFC">
        <w:rPr>
          <w:rFonts w:ascii="Times New Roman" w:hAnsi="Times New Roman"/>
          <w:i/>
          <w:iCs/>
          <w:noProof/>
        </w:rPr>
        <w:t>et al.</w:t>
      </w:r>
      <w:r w:rsidRPr="00572BFC">
        <w:rPr>
          <w:rFonts w:ascii="Times New Roman" w:hAnsi="Times New Roman"/>
          <w:noProof/>
        </w:rPr>
        <w:t xml:space="preserve"> The loss of skeletal muscle strength, mass, and quality in older adults: the health, aging and body composition study. </w:t>
      </w:r>
      <w:r w:rsidRPr="00572BFC">
        <w:rPr>
          <w:rFonts w:ascii="Times New Roman" w:hAnsi="Times New Roman"/>
          <w:i/>
          <w:iCs/>
          <w:noProof/>
        </w:rPr>
        <w:t>J. Gerontol.</w:t>
      </w:r>
      <w:r w:rsidRPr="00572BFC">
        <w:rPr>
          <w:rFonts w:ascii="Times New Roman" w:hAnsi="Times New Roman"/>
          <w:noProof/>
        </w:rPr>
        <w:t xml:space="preserve"> </w:t>
      </w:r>
      <w:r w:rsidRPr="00572BFC">
        <w:rPr>
          <w:rFonts w:ascii="Times New Roman" w:hAnsi="Times New Roman"/>
          <w:b/>
          <w:bCs/>
          <w:noProof/>
        </w:rPr>
        <w:t>61,</w:t>
      </w:r>
      <w:r w:rsidRPr="00572BFC">
        <w:rPr>
          <w:rFonts w:ascii="Times New Roman" w:hAnsi="Times New Roman"/>
          <w:noProof/>
        </w:rPr>
        <w:t xml:space="preserve"> 1059–64 (2006).</w:t>
      </w:r>
    </w:p>
    <w:p w14:paraId="2E56CCBE"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7.</w:t>
      </w:r>
      <w:r w:rsidRPr="00572BFC">
        <w:rPr>
          <w:rFonts w:ascii="Times New Roman" w:hAnsi="Times New Roman"/>
          <w:noProof/>
        </w:rPr>
        <w:tab/>
        <w:t xml:space="preserve">Baumgartner, R. N. </w:t>
      </w:r>
      <w:r w:rsidRPr="00572BFC">
        <w:rPr>
          <w:rFonts w:ascii="Times New Roman" w:hAnsi="Times New Roman"/>
          <w:i/>
          <w:iCs/>
          <w:noProof/>
        </w:rPr>
        <w:t>et al.</w:t>
      </w:r>
      <w:r w:rsidRPr="00572BFC">
        <w:rPr>
          <w:rFonts w:ascii="Times New Roman" w:hAnsi="Times New Roman"/>
          <w:noProof/>
        </w:rPr>
        <w:t xml:space="preserve"> Epidemiology of sarcopenia among the elderly in New Mexico. </w:t>
      </w:r>
      <w:r w:rsidRPr="00572BFC">
        <w:rPr>
          <w:rFonts w:ascii="Times New Roman" w:hAnsi="Times New Roman"/>
          <w:i/>
          <w:iCs/>
          <w:noProof/>
        </w:rPr>
        <w:t>Am. J. Epidemiol.</w:t>
      </w:r>
      <w:r w:rsidRPr="00572BFC">
        <w:rPr>
          <w:rFonts w:ascii="Times New Roman" w:hAnsi="Times New Roman"/>
          <w:noProof/>
        </w:rPr>
        <w:t xml:space="preserve"> </w:t>
      </w:r>
      <w:r w:rsidRPr="00572BFC">
        <w:rPr>
          <w:rFonts w:ascii="Times New Roman" w:hAnsi="Times New Roman"/>
          <w:b/>
          <w:bCs/>
          <w:noProof/>
        </w:rPr>
        <w:t>147,</w:t>
      </w:r>
      <w:r w:rsidRPr="00572BFC">
        <w:rPr>
          <w:rFonts w:ascii="Times New Roman" w:hAnsi="Times New Roman"/>
          <w:noProof/>
        </w:rPr>
        <w:t xml:space="preserve"> 755–763 (1998).</w:t>
      </w:r>
    </w:p>
    <w:p w14:paraId="52F958C2"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8.</w:t>
      </w:r>
      <w:r w:rsidRPr="00572BFC">
        <w:rPr>
          <w:rFonts w:ascii="Times New Roman" w:hAnsi="Times New Roman"/>
          <w:noProof/>
        </w:rPr>
        <w:tab/>
        <w:t xml:space="preserve">Iannuzzi-Sucich, M., Prestwood, K. M. &amp; Kenny, A. M. Prevalence of sarcopenia and predictors of skeletal muscle mass in healthy, older men and women. </w:t>
      </w:r>
      <w:r w:rsidRPr="00572BFC">
        <w:rPr>
          <w:rFonts w:ascii="Times New Roman" w:hAnsi="Times New Roman"/>
          <w:i/>
          <w:iCs/>
          <w:noProof/>
        </w:rPr>
        <w:t>J. Gerontol. A. Biol. Sci. Med. Sci.</w:t>
      </w:r>
      <w:r w:rsidRPr="00572BFC">
        <w:rPr>
          <w:rFonts w:ascii="Times New Roman" w:hAnsi="Times New Roman"/>
          <w:noProof/>
        </w:rPr>
        <w:t xml:space="preserve"> </w:t>
      </w:r>
      <w:r w:rsidRPr="00572BFC">
        <w:rPr>
          <w:rFonts w:ascii="Times New Roman" w:hAnsi="Times New Roman"/>
          <w:b/>
          <w:bCs/>
          <w:noProof/>
        </w:rPr>
        <w:t>57,</w:t>
      </w:r>
      <w:r w:rsidRPr="00572BFC">
        <w:rPr>
          <w:rFonts w:ascii="Times New Roman" w:hAnsi="Times New Roman"/>
          <w:noProof/>
        </w:rPr>
        <w:t xml:space="preserve"> M772–M777 (2002).</w:t>
      </w:r>
    </w:p>
    <w:p w14:paraId="42CEEC1C"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9.</w:t>
      </w:r>
      <w:r w:rsidRPr="00572BFC">
        <w:rPr>
          <w:rFonts w:ascii="Times New Roman" w:hAnsi="Times New Roman"/>
          <w:noProof/>
        </w:rPr>
        <w:tab/>
        <w:t xml:space="preserve">Tankó, L. B., Movsesyan, L., Mouritzen, U., Christiansen, C. &amp; Svendsen, O. L. Appendicular lean tissue mass and the prevalence of sarcopenia among healthy women. </w:t>
      </w:r>
      <w:r w:rsidRPr="00572BFC">
        <w:rPr>
          <w:rFonts w:ascii="Times New Roman" w:hAnsi="Times New Roman"/>
          <w:i/>
          <w:iCs/>
          <w:noProof/>
        </w:rPr>
        <w:t>Metabolism.</w:t>
      </w:r>
      <w:r w:rsidRPr="00572BFC">
        <w:rPr>
          <w:rFonts w:ascii="Times New Roman" w:hAnsi="Times New Roman"/>
          <w:noProof/>
        </w:rPr>
        <w:t xml:space="preserve"> </w:t>
      </w:r>
      <w:r w:rsidRPr="00572BFC">
        <w:rPr>
          <w:rFonts w:ascii="Times New Roman" w:hAnsi="Times New Roman"/>
          <w:b/>
          <w:bCs/>
          <w:noProof/>
        </w:rPr>
        <w:t>51,</w:t>
      </w:r>
      <w:r w:rsidRPr="00572BFC">
        <w:rPr>
          <w:rFonts w:ascii="Times New Roman" w:hAnsi="Times New Roman"/>
          <w:noProof/>
        </w:rPr>
        <w:t xml:space="preserve"> 69–74 (2002).</w:t>
      </w:r>
    </w:p>
    <w:p w14:paraId="1744BBA7"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10.</w:t>
      </w:r>
      <w:r w:rsidRPr="00572BFC">
        <w:rPr>
          <w:rFonts w:ascii="Times New Roman" w:hAnsi="Times New Roman"/>
          <w:noProof/>
        </w:rPr>
        <w:tab/>
        <w:t xml:space="preserve">Janssen, I., Baumgartner, R. N., Ross, R., Rosenberg, I. H. &amp; Roubenoff, R. Skeletal Muscle Cutpoints Associated with Elevated Physical Disability Risk in Older Men and Women. </w:t>
      </w:r>
      <w:r w:rsidRPr="00572BFC">
        <w:rPr>
          <w:rFonts w:ascii="Times New Roman" w:hAnsi="Times New Roman"/>
          <w:i/>
          <w:iCs/>
          <w:noProof/>
        </w:rPr>
        <w:t>Am. J. Epidemiol.</w:t>
      </w:r>
      <w:r w:rsidRPr="00572BFC">
        <w:rPr>
          <w:rFonts w:ascii="Times New Roman" w:hAnsi="Times New Roman"/>
          <w:noProof/>
        </w:rPr>
        <w:t xml:space="preserve"> </w:t>
      </w:r>
      <w:r w:rsidRPr="00572BFC">
        <w:rPr>
          <w:rFonts w:ascii="Times New Roman" w:hAnsi="Times New Roman"/>
          <w:b/>
          <w:bCs/>
          <w:noProof/>
        </w:rPr>
        <w:t>159,</w:t>
      </w:r>
      <w:r w:rsidRPr="00572BFC">
        <w:rPr>
          <w:rFonts w:ascii="Times New Roman" w:hAnsi="Times New Roman"/>
          <w:noProof/>
        </w:rPr>
        <w:t xml:space="preserve"> 413–421 (2004).</w:t>
      </w:r>
    </w:p>
    <w:p w14:paraId="42DFA21A"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11.</w:t>
      </w:r>
      <w:r w:rsidRPr="00572BFC">
        <w:rPr>
          <w:rFonts w:ascii="Times New Roman" w:hAnsi="Times New Roman"/>
          <w:noProof/>
        </w:rPr>
        <w:tab/>
        <w:t xml:space="preserve">Ikai, M. &amp; Fukunaga, T. Calculation of muscle strength per unit cross-sectional area of human muscle by means of ultrasonic measurement. </w:t>
      </w:r>
      <w:r w:rsidRPr="00572BFC">
        <w:rPr>
          <w:rFonts w:ascii="Times New Roman" w:hAnsi="Times New Roman"/>
          <w:i/>
          <w:iCs/>
          <w:noProof/>
        </w:rPr>
        <w:t>Int. Zeitschrift für Angew. Physiol. Einschließlich Arbeitsphysiologie</w:t>
      </w:r>
      <w:r w:rsidRPr="00572BFC">
        <w:rPr>
          <w:rFonts w:ascii="Times New Roman" w:hAnsi="Times New Roman"/>
          <w:noProof/>
        </w:rPr>
        <w:t xml:space="preserve"> </w:t>
      </w:r>
      <w:r w:rsidRPr="00572BFC">
        <w:rPr>
          <w:rFonts w:ascii="Times New Roman" w:hAnsi="Times New Roman"/>
          <w:b/>
          <w:bCs/>
          <w:noProof/>
        </w:rPr>
        <w:t>26,</w:t>
      </w:r>
      <w:r w:rsidRPr="00572BFC">
        <w:rPr>
          <w:rFonts w:ascii="Times New Roman" w:hAnsi="Times New Roman"/>
          <w:noProof/>
        </w:rPr>
        <w:t xml:space="preserve"> 26–32 (1968).</w:t>
      </w:r>
    </w:p>
    <w:p w14:paraId="185A8E46"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12.</w:t>
      </w:r>
      <w:r w:rsidRPr="00572BFC">
        <w:rPr>
          <w:rFonts w:ascii="Times New Roman" w:hAnsi="Times New Roman"/>
          <w:noProof/>
        </w:rPr>
        <w:tab/>
        <w:t xml:space="preserve">Frontera, W. R., Hughes, V. a, Lutz, K. J. &amp; Evans, W. J. A cross-sectional study of muscle strength and mass in 45- to 78-yr-old men and women. </w:t>
      </w:r>
      <w:r w:rsidRPr="00572BFC">
        <w:rPr>
          <w:rFonts w:ascii="Times New Roman" w:hAnsi="Times New Roman"/>
          <w:i/>
          <w:iCs/>
          <w:noProof/>
        </w:rPr>
        <w:t>J. Appl. Physiol.</w:t>
      </w:r>
      <w:r w:rsidRPr="00572BFC">
        <w:rPr>
          <w:rFonts w:ascii="Times New Roman" w:hAnsi="Times New Roman"/>
          <w:noProof/>
        </w:rPr>
        <w:t xml:space="preserve"> </w:t>
      </w:r>
      <w:r w:rsidRPr="00572BFC">
        <w:rPr>
          <w:rFonts w:ascii="Times New Roman" w:hAnsi="Times New Roman"/>
          <w:b/>
          <w:bCs/>
          <w:noProof/>
        </w:rPr>
        <w:t>71,</w:t>
      </w:r>
      <w:r w:rsidRPr="00572BFC">
        <w:rPr>
          <w:rFonts w:ascii="Times New Roman" w:hAnsi="Times New Roman"/>
          <w:noProof/>
        </w:rPr>
        <w:t xml:space="preserve"> 644–650 (1991).</w:t>
      </w:r>
    </w:p>
    <w:p w14:paraId="6510CA33"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13.</w:t>
      </w:r>
      <w:r w:rsidRPr="00572BFC">
        <w:rPr>
          <w:rFonts w:ascii="Times New Roman" w:hAnsi="Times New Roman"/>
          <w:noProof/>
        </w:rPr>
        <w:tab/>
        <w:t>Janssen, I., Heymsfield, S. B. &amp; Ross, R. Low Relative Skeletal Muscle Mass(Sarcopenia) in older persons is assoaci</w:t>
      </w:r>
      <w:bookmarkStart w:id="79" w:name="_GoBack"/>
      <w:bookmarkEnd w:id="79"/>
      <w:r w:rsidRPr="00572BFC">
        <w:rPr>
          <w:rFonts w:ascii="Times New Roman" w:hAnsi="Times New Roman"/>
          <w:noProof/>
        </w:rPr>
        <w:t xml:space="preserve">ated with Functional Impairment an Physical Disability. </w:t>
      </w:r>
      <w:r w:rsidRPr="00572BFC">
        <w:rPr>
          <w:rFonts w:ascii="Times New Roman" w:hAnsi="Times New Roman"/>
          <w:i/>
          <w:iCs/>
          <w:noProof/>
        </w:rPr>
        <w:t>J. Am. Geriatr. Soc.</w:t>
      </w:r>
      <w:r w:rsidRPr="00572BFC">
        <w:rPr>
          <w:rFonts w:ascii="Times New Roman" w:hAnsi="Times New Roman"/>
          <w:noProof/>
        </w:rPr>
        <w:t xml:space="preserve"> 889–896 (2002).</w:t>
      </w:r>
    </w:p>
    <w:p w14:paraId="5029FE43"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14.</w:t>
      </w:r>
      <w:r w:rsidRPr="00572BFC">
        <w:rPr>
          <w:rFonts w:ascii="Times New Roman" w:hAnsi="Times New Roman"/>
          <w:noProof/>
        </w:rPr>
        <w:tab/>
        <w:t xml:space="preserve">Dufour, A. B., Hannan, M. T., Murabito, J. M., Kiel, D. P. &amp; McLean, R. R. Sarcopenia definitions considering body size and fat mass are associated with mobility limitations: The framingham study. </w:t>
      </w:r>
      <w:r w:rsidRPr="00572BFC">
        <w:rPr>
          <w:rFonts w:ascii="Times New Roman" w:hAnsi="Times New Roman"/>
          <w:i/>
          <w:iCs/>
          <w:noProof/>
        </w:rPr>
        <w:t>Journals Gerontol. - Ser. A Biol. Sci. Med. Sci.</w:t>
      </w:r>
      <w:r w:rsidRPr="00572BFC">
        <w:rPr>
          <w:rFonts w:ascii="Times New Roman" w:hAnsi="Times New Roman"/>
          <w:noProof/>
        </w:rPr>
        <w:t xml:space="preserve"> </w:t>
      </w:r>
      <w:r w:rsidRPr="00572BFC">
        <w:rPr>
          <w:rFonts w:ascii="Times New Roman" w:hAnsi="Times New Roman"/>
          <w:b/>
          <w:bCs/>
          <w:noProof/>
        </w:rPr>
        <w:t>68,</w:t>
      </w:r>
      <w:r w:rsidRPr="00572BFC">
        <w:rPr>
          <w:rFonts w:ascii="Times New Roman" w:hAnsi="Times New Roman"/>
          <w:noProof/>
        </w:rPr>
        <w:t xml:space="preserve"> 168–174 (2013).</w:t>
      </w:r>
    </w:p>
    <w:p w14:paraId="760C3437"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15.</w:t>
      </w:r>
      <w:r w:rsidRPr="00572BFC">
        <w:rPr>
          <w:rFonts w:ascii="Times New Roman" w:hAnsi="Times New Roman"/>
          <w:noProof/>
        </w:rPr>
        <w:tab/>
        <w:t xml:space="preserve">Hairi, N. N. </w:t>
      </w:r>
      <w:r w:rsidRPr="00572BFC">
        <w:rPr>
          <w:rFonts w:ascii="Times New Roman" w:hAnsi="Times New Roman"/>
          <w:i/>
          <w:iCs/>
          <w:noProof/>
        </w:rPr>
        <w:t>et al.</w:t>
      </w:r>
      <w:r w:rsidRPr="00572BFC">
        <w:rPr>
          <w:rFonts w:ascii="Times New Roman" w:hAnsi="Times New Roman"/>
          <w:noProof/>
        </w:rPr>
        <w:t xml:space="preserve"> Loss of muscle strength, mass (sarcopenia), and quality (specific force) and its relationship with functional limitation and physical disability: The concord health and ageing in men project. </w:t>
      </w:r>
      <w:r w:rsidRPr="00572BFC">
        <w:rPr>
          <w:rFonts w:ascii="Times New Roman" w:hAnsi="Times New Roman"/>
          <w:i/>
          <w:iCs/>
          <w:noProof/>
        </w:rPr>
        <w:t>J. Am. Geriatr. Soc.</w:t>
      </w:r>
      <w:r w:rsidRPr="00572BFC">
        <w:rPr>
          <w:rFonts w:ascii="Times New Roman" w:hAnsi="Times New Roman"/>
          <w:noProof/>
        </w:rPr>
        <w:t xml:space="preserve"> </w:t>
      </w:r>
      <w:r w:rsidRPr="00572BFC">
        <w:rPr>
          <w:rFonts w:ascii="Times New Roman" w:hAnsi="Times New Roman"/>
          <w:b/>
          <w:bCs/>
          <w:noProof/>
        </w:rPr>
        <w:t>58,</w:t>
      </w:r>
      <w:r w:rsidRPr="00572BFC">
        <w:rPr>
          <w:rFonts w:ascii="Times New Roman" w:hAnsi="Times New Roman"/>
          <w:noProof/>
        </w:rPr>
        <w:t xml:space="preserve"> 2055–2062 (2010).</w:t>
      </w:r>
    </w:p>
    <w:p w14:paraId="4D3C270D"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16.</w:t>
      </w:r>
      <w:r w:rsidRPr="00572BFC">
        <w:rPr>
          <w:rFonts w:ascii="Times New Roman" w:hAnsi="Times New Roman"/>
          <w:noProof/>
        </w:rPr>
        <w:tab/>
        <w:t xml:space="preserve">Newman, A. B. </w:t>
      </w:r>
      <w:r w:rsidRPr="00572BFC">
        <w:rPr>
          <w:rFonts w:ascii="Times New Roman" w:hAnsi="Times New Roman"/>
          <w:i/>
          <w:iCs/>
          <w:noProof/>
        </w:rPr>
        <w:t>et al.</w:t>
      </w:r>
      <w:r w:rsidRPr="00572BFC">
        <w:rPr>
          <w:rFonts w:ascii="Times New Roman" w:hAnsi="Times New Roman"/>
          <w:noProof/>
        </w:rPr>
        <w:t xml:space="preserve"> Strength, but not muscle mass, is associated with mortality in the health, aging and body composition study cohort. </w:t>
      </w:r>
      <w:r w:rsidRPr="00572BFC">
        <w:rPr>
          <w:rFonts w:ascii="Times New Roman" w:hAnsi="Times New Roman"/>
          <w:i/>
          <w:iCs/>
          <w:noProof/>
        </w:rPr>
        <w:t>J. Gerontol. A. Biol. Sci. Med. Sci.</w:t>
      </w:r>
      <w:r w:rsidRPr="00572BFC">
        <w:rPr>
          <w:rFonts w:ascii="Times New Roman" w:hAnsi="Times New Roman"/>
          <w:noProof/>
        </w:rPr>
        <w:t xml:space="preserve"> </w:t>
      </w:r>
      <w:r w:rsidRPr="00572BFC">
        <w:rPr>
          <w:rFonts w:ascii="Times New Roman" w:hAnsi="Times New Roman"/>
          <w:b/>
          <w:bCs/>
          <w:noProof/>
        </w:rPr>
        <w:t>61,</w:t>
      </w:r>
      <w:r w:rsidRPr="00572BFC">
        <w:rPr>
          <w:rFonts w:ascii="Times New Roman" w:hAnsi="Times New Roman"/>
          <w:noProof/>
        </w:rPr>
        <w:t xml:space="preserve"> 72–77 (2006).</w:t>
      </w:r>
    </w:p>
    <w:p w14:paraId="17B30E58"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17.</w:t>
      </w:r>
      <w:r w:rsidRPr="00572BFC">
        <w:rPr>
          <w:rFonts w:ascii="Times New Roman" w:hAnsi="Times New Roman"/>
          <w:noProof/>
        </w:rPr>
        <w:tab/>
        <w:t xml:space="preserve">Avlund, K., Schroll, M., Davidsen, M., Loveborg, B. &amp; Rantanen, T. Maximal  isometric muscle strength and functional ability in daily activities among 75-year-older-men and women. </w:t>
      </w:r>
      <w:r w:rsidRPr="00572BFC">
        <w:rPr>
          <w:rFonts w:ascii="Times New Roman" w:hAnsi="Times New Roman"/>
          <w:i/>
          <w:iCs/>
          <w:noProof/>
        </w:rPr>
        <w:t>Scand J Med Sci Sport.</w:t>
      </w:r>
      <w:r w:rsidRPr="00572BFC">
        <w:rPr>
          <w:rFonts w:ascii="Times New Roman" w:hAnsi="Times New Roman"/>
          <w:noProof/>
        </w:rPr>
        <w:t xml:space="preserve"> </w:t>
      </w:r>
      <w:r w:rsidRPr="00572BFC">
        <w:rPr>
          <w:rFonts w:ascii="Times New Roman" w:hAnsi="Times New Roman"/>
          <w:b/>
          <w:bCs/>
          <w:noProof/>
        </w:rPr>
        <w:t>4,</w:t>
      </w:r>
      <w:r w:rsidRPr="00572BFC">
        <w:rPr>
          <w:rFonts w:ascii="Times New Roman" w:hAnsi="Times New Roman"/>
          <w:noProof/>
        </w:rPr>
        <w:t xml:space="preserve"> 9 (1994).</w:t>
      </w:r>
    </w:p>
    <w:p w14:paraId="4B39F9AB"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18.</w:t>
      </w:r>
      <w:r w:rsidRPr="00572BFC">
        <w:rPr>
          <w:rFonts w:ascii="Times New Roman" w:hAnsi="Times New Roman"/>
          <w:noProof/>
        </w:rPr>
        <w:tab/>
        <w:t xml:space="preserve">Manini, T. M. </w:t>
      </w:r>
      <w:r w:rsidRPr="00572BFC">
        <w:rPr>
          <w:rFonts w:ascii="Times New Roman" w:hAnsi="Times New Roman"/>
          <w:i/>
          <w:iCs/>
          <w:noProof/>
        </w:rPr>
        <w:t>et al.</w:t>
      </w:r>
      <w:r w:rsidRPr="00572BFC">
        <w:rPr>
          <w:rFonts w:ascii="Times New Roman" w:hAnsi="Times New Roman"/>
          <w:noProof/>
        </w:rPr>
        <w:t xml:space="preserve"> Knee extension strength cutpoints for maintaining mobility. </w:t>
      </w:r>
      <w:r w:rsidRPr="00572BFC">
        <w:rPr>
          <w:rFonts w:ascii="Times New Roman" w:hAnsi="Times New Roman"/>
          <w:i/>
          <w:iCs/>
          <w:noProof/>
        </w:rPr>
        <w:t>J. Am. Geriatr. Soc.</w:t>
      </w:r>
      <w:r w:rsidRPr="00572BFC">
        <w:rPr>
          <w:rFonts w:ascii="Times New Roman" w:hAnsi="Times New Roman"/>
          <w:noProof/>
        </w:rPr>
        <w:t xml:space="preserve"> </w:t>
      </w:r>
      <w:r w:rsidRPr="00572BFC">
        <w:rPr>
          <w:rFonts w:ascii="Times New Roman" w:hAnsi="Times New Roman"/>
          <w:b/>
          <w:bCs/>
          <w:noProof/>
        </w:rPr>
        <w:t>55,</w:t>
      </w:r>
      <w:r w:rsidRPr="00572BFC">
        <w:rPr>
          <w:rFonts w:ascii="Times New Roman" w:hAnsi="Times New Roman"/>
          <w:noProof/>
        </w:rPr>
        <w:t xml:space="preserve"> 451–457 (2007).</w:t>
      </w:r>
    </w:p>
    <w:p w14:paraId="0A2BFBB4"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19.</w:t>
      </w:r>
      <w:r w:rsidRPr="00572BFC">
        <w:rPr>
          <w:rFonts w:ascii="Times New Roman" w:hAnsi="Times New Roman"/>
          <w:noProof/>
        </w:rPr>
        <w:tab/>
        <w:t xml:space="preserve">Choquette, S. </w:t>
      </w:r>
      <w:r w:rsidRPr="00572BFC">
        <w:rPr>
          <w:rFonts w:ascii="Times New Roman" w:hAnsi="Times New Roman"/>
          <w:i/>
          <w:iCs/>
          <w:noProof/>
        </w:rPr>
        <w:t>et al.</w:t>
      </w:r>
      <w:r w:rsidRPr="00572BFC">
        <w:rPr>
          <w:rFonts w:ascii="Times New Roman" w:hAnsi="Times New Roman"/>
          <w:noProof/>
        </w:rPr>
        <w:t xml:space="preserve"> Relative strength as a determinant of mobility in elders 67-84 years of age. A nuage study: Nutrition as a determinant of successful aging. </w:t>
      </w:r>
      <w:r w:rsidRPr="00572BFC">
        <w:rPr>
          <w:rFonts w:ascii="Times New Roman" w:hAnsi="Times New Roman"/>
          <w:i/>
          <w:iCs/>
          <w:noProof/>
        </w:rPr>
        <w:t>J. Nutr. Heal. Aging</w:t>
      </w:r>
      <w:r w:rsidRPr="00572BFC">
        <w:rPr>
          <w:rFonts w:ascii="Times New Roman" w:hAnsi="Times New Roman"/>
          <w:noProof/>
        </w:rPr>
        <w:t xml:space="preserve"> </w:t>
      </w:r>
      <w:r w:rsidRPr="00572BFC">
        <w:rPr>
          <w:rFonts w:ascii="Times New Roman" w:hAnsi="Times New Roman"/>
          <w:b/>
          <w:bCs/>
          <w:noProof/>
        </w:rPr>
        <w:t>14,</w:t>
      </w:r>
      <w:r w:rsidRPr="00572BFC">
        <w:rPr>
          <w:rFonts w:ascii="Times New Roman" w:hAnsi="Times New Roman"/>
          <w:noProof/>
        </w:rPr>
        <w:t xml:space="preserve"> 190–195 (2010).</w:t>
      </w:r>
    </w:p>
    <w:p w14:paraId="5463CF0D"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20.</w:t>
      </w:r>
      <w:r w:rsidRPr="00572BFC">
        <w:rPr>
          <w:rFonts w:ascii="Times New Roman" w:hAnsi="Times New Roman"/>
          <w:noProof/>
        </w:rPr>
        <w:tab/>
        <w:t xml:space="preserve">Holloszy, J. O. Exercise-induced increase in muscle insulin sensitivity. </w:t>
      </w:r>
      <w:r w:rsidRPr="00572BFC">
        <w:rPr>
          <w:rFonts w:ascii="Times New Roman" w:hAnsi="Times New Roman"/>
          <w:i/>
          <w:iCs/>
          <w:noProof/>
        </w:rPr>
        <w:t>J. Appl. Physiol.</w:t>
      </w:r>
      <w:r w:rsidRPr="00572BFC">
        <w:rPr>
          <w:rFonts w:ascii="Times New Roman" w:hAnsi="Times New Roman"/>
          <w:noProof/>
        </w:rPr>
        <w:t xml:space="preserve"> </w:t>
      </w:r>
      <w:r w:rsidRPr="00572BFC">
        <w:rPr>
          <w:rFonts w:ascii="Times New Roman" w:hAnsi="Times New Roman"/>
          <w:b/>
          <w:bCs/>
          <w:noProof/>
        </w:rPr>
        <w:t>99,</w:t>
      </w:r>
      <w:r w:rsidRPr="00572BFC">
        <w:rPr>
          <w:rFonts w:ascii="Times New Roman" w:hAnsi="Times New Roman"/>
          <w:noProof/>
        </w:rPr>
        <w:t xml:space="preserve"> 338–343 (2005).</w:t>
      </w:r>
    </w:p>
    <w:p w14:paraId="140B1B70"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21.</w:t>
      </w:r>
      <w:r w:rsidRPr="00572BFC">
        <w:rPr>
          <w:rFonts w:ascii="Times New Roman" w:hAnsi="Times New Roman"/>
          <w:noProof/>
        </w:rPr>
        <w:tab/>
        <w:t xml:space="preserve">Wul, J. </w:t>
      </w:r>
      <w:r w:rsidRPr="00572BFC">
        <w:rPr>
          <w:rFonts w:ascii="Times New Roman" w:hAnsi="Times New Roman"/>
          <w:i/>
          <w:iCs/>
          <w:noProof/>
        </w:rPr>
        <w:t>et al.</w:t>
      </w:r>
      <w:r w:rsidRPr="00572BFC">
        <w:rPr>
          <w:rFonts w:ascii="Times New Roman" w:hAnsi="Times New Roman"/>
          <w:noProof/>
        </w:rPr>
        <w:t xml:space="preserve"> Muscle triacylglycerol and hormone-sensitive lipase activity in untrained and trained human muscles. </w:t>
      </w:r>
      <w:r w:rsidRPr="00572BFC">
        <w:rPr>
          <w:rFonts w:ascii="Times New Roman" w:hAnsi="Times New Roman"/>
          <w:i/>
          <w:iCs/>
          <w:noProof/>
        </w:rPr>
        <w:t>Eur. J. Appl. Physiol.</w:t>
      </w:r>
      <w:r w:rsidRPr="00572BFC">
        <w:rPr>
          <w:rFonts w:ascii="Times New Roman" w:hAnsi="Times New Roman"/>
          <w:noProof/>
        </w:rPr>
        <w:t xml:space="preserve"> </w:t>
      </w:r>
      <w:r w:rsidRPr="00572BFC">
        <w:rPr>
          <w:rFonts w:ascii="Times New Roman" w:hAnsi="Times New Roman"/>
          <w:b/>
          <w:bCs/>
          <w:noProof/>
        </w:rPr>
        <w:t>97,</w:t>
      </w:r>
      <w:r w:rsidRPr="00572BFC">
        <w:rPr>
          <w:rFonts w:ascii="Times New Roman" w:hAnsi="Times New Roman"/>
          <w:noProof/>
        </w:rPr>
        <w:t xml:space="preserve"> 566–72 (2006).</w:t>
      </w:r>
    </w:p>
    <w:p w14:paraId="092858E1"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22.</w:t>
      </w:r>
      <w:r w:rsidRPr="00572BFC">
        <w:rPr>
          <w:rFonts w:ascii="Times New Roman" w:hAnsi="Times New Roman"/>
          <w:noProof/>
        </w:rPr>
        <w:tab/>
        <w:t xml:space="preserve">Müller, M. J., Bosy-Westphal, A., Kutzner, D. &amp; Heller, M. Metabolically active components of fat free mass (FFM) and resting energy expenditure (REE) in humans. </w:t>
      </w:r>
      <w:r w:rsidRPr="00572BFC">
        <w:rPr>
          <w:rFonts w:ascii="Times New Roman" w:hAnsi="Times New Roman"/>
          <w:i/>
          <w:iCs/>
          <w:noProof/>
        </w:rPr>
        <w:t>Forum Nutr.</w:t>
      </w:r>
      <w:r w:rsidRPr="00572BFC">
        <w:rPr>
          <w:rFonts w:ascii="Times New Roman" w:hAnsi="Times New Roman"/>
          <w:noProof/>
        </w:rPr>
        <w:t xml:space="preserve"> </w:t>
      </w:r>
      <w:r w:rsidRPr="00572BFC">
        <w:rPr>
          <w:rFonts w:ascii="Times New Roman" w:hAnsi="Times New Roman"/>
          <w:b/>
          <w:bCs/>
          <w:noProof/>
        </w:rPr>
        <w:t>56,</w:t>
      </w:r>
      <w:r w:rsidRPr="00572BFC">
        <w:rPr>
          <w:rFonts w:ascii="Times New Roman" w:hAnsi="Times New Roman"/>
          <w:noProof/>
        </w:rPr>
        <w:t xml:space="preserve"> 301–303 (2003).</w:t>
      </w:r>
    </w:p>
    <w:p w14:paraId="6BE66443"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23.</w:t>
      </w:r>
      <w:r w:rsidRPr="00572BFC">
        <w:rPr>
          <w:rFonts w:ascii="Times New Roman" w:hAnsi="Times New Roman"/>
          <w:noProof/>
        </w:rPr>
        <w:tab/>
        <w:t xml:space="preserve">Wolfe, R. R. The underappreciated role of muscle in health and disease. </w:t>
      </w:r>
      <w:r w:rsidRPr="00572BFC">
        <w:rPr>
          <w:rFonts w:ascii="Times New Roman" w:hAnsi="Times New Roman"/>
          <w:i/>
          <w:iCs/>
          <w:noProof/>
        </w:rPr>
        <w:t>Am. J. Clin. Nutr.</w:t>
      </w:r>
      <w:r w:rsidRPr="00572BFC">
        <w:rPr>
          <w:rFonts w:ascii="Times New Roman" w:hAnsi="Times New Roman"/>
          <w:noProof/>
        </w:rPr>
        <w:t xml:space="preserve"> 475–482 (2006).</w:t>
      </w:r>
    </w:p>
    <w:p w14:paraId="00A144D9"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24.</w:t>
      </w:r>
      <w:r w:rsidRPr="00572BFC">
        <w:rPr>
          <w:rFonts w:ascii="Times New Roman" w:hAnsi="Times New Roman"/>
          <w:noProof/>
        </w:rPr>
        <w:tab/>
        <w:t xml:space="preserve">Karakelides, H. &amp; Nair, K. S. Sarcopenia of Aging and Its Metabolic Impact. </w:t>
      </w:r>
      <w:r w:rsidRPr="00572BFC">
        <w:rPr>
          <w:rFonts w:ascii="Times New Roman" w:hAnsi="Times New Roman"/>
          <w:i/>
          <w:iCs/>
          <w:noProof/>
        </w:rPr>
        <w:t>Curr. Top. Dev. Biol.</w:t>
      </w:r>
      <w:r w:rsidRPr="00572BFC">
        <w:rPr>
          <w:rFonts w:ascii="Times New Roman" w:hAnsi="Times New Roman"/>
          <w:noProof/>
        </w:rPr>
        <w:t xml:space="preserve"> </w:t>
      </w:r>
      <w:r w:rsidRPr="00572BFC">
        <w:rPr>
          <w:rFonts w:ascii="Times New Roman" w:hAnsi="Times New Roman"/>
          <w:b/>
          <w:bCs/>
          <w:noProof/>
        </w:rPr>
        <w:t>68,</w:t>
      </w:r>
      <w:r w:rsidRPr="00572BFC">
        <w:rPr>
          <w:rFonts w:ascii="Times New Roman" w:hAnsi="Times New Roman"/>
          <w:noProof/>
        </w:rPr>
        <w:t xml:space="preserve"> 123–148 (2005).</w:t>
      </w:r>
    </w:p>
    <w:p w14:paraId="45DAD887"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25.</w:t>
      </w:r>
      <w:r w:rsidRPr="00572BFC">
        <w:rPr>
          <w:rFonts w:ascii="Times New Roman" w:hAnsi="Times New Roman"/>
          <w:noProof/>
        </w:rPr>
        <w:tab/>
        <w:t xml:space="preserve">Walrand, S., Guillet, C., Salles, J., Cano, N. &amp; Boirie, Y. Physiopathological mechanism of sarcopenia. </w:t>
      </w:r>
      <w:r w:rsidRPr="00572BFC">
        <w:rPr>
          <w:rFonts w:ascii="Times New Roman" w:hAnsi="Times New Roman"/>
          <w:i/>
          <w:iCs/>
          <w:noProof/>
        </w:rPr>
        <w:t>Clin. Geriatr. Med.</w:t>
      </w:r>
      <w:r w:rsidRPr="00572BFC">
        <w:rPr>
          <w:rFonts w:ascii="Times New Roman" w:hAnsi="Times New Roman"/>
          <w:noProof/>
        </w:rPr>
        <w:t xml:space="preserve"> </w:t>
      </w:r>
      <w:r w:rsidRPr="00572BFC">
        <w:rPr>
          <w:rFonts w:ascii="Times New Roman" w:hAnsi="Times New Roman"/>
          <w:b/>
          <w:bCs/>
          <w:noProof/>
        </w:rPr>
        <w:t>27,</w:t>
      </w:r>
      <w:r w:rsidRPr="00572BFC">
        <w:rPr>
          <w:rFonts w:ascii="Times New Roman" w:hAnsi="Times New Roman"/>
          <w:noProof/>
        </w:rPr>
        <w:t xml:space="preserve"> 365–385 (2011).</w:t>
      </w:r>
    </w:p>
    <w:p w14:paraId="77B18683"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26.</w:t>
      </w:r>
      <w:r w:rsidRPr="00572BFC">
        <w:rPr>
          <w:rFonts w:ascii="Times New Roman" w:hAnsi="Times New Roman"/>
          <w:noProof/>
        </w:rPr>
        <w:tab/>
        <w:t xml:space="preserve">Lammes, E. &amp; Akner, G. Resting metabolic rate in elderly nursing home patients with multiple diagnoses. </w:t>
      </w:r>
      <w:r w:rsidRPr="00572BFC">
        <w:rPr>
          <w:rFonts w:ascii="Times New Roman" w:hAnsi="Times New Roman"/>
          <w:i/>
          <w:iCs/>
          <w:noProof/>
        </w:rPr>
        <w:t>J. Nutr. Health Aging</w:t>
      </w:r>
      <w:r w:rsidRPr="00572BFC">
        <w:rPr>
          <w:rFonts w:ascii="Times New Roman" w:hAnsi="Times New Roman"/>
          <w:noProof/>
        </w:rPr>
        <w:t xml:space="preserve"> </w:t>
      </w:r>
      <w:r w:rsidRPr="00572BFC">
        <w:rPr>
          <w:rFonts w:ascii="Times New Roman" w:hAnsi="Times New Roman"/>
          <w:b/>
          <w:bCs/>
          <w:noProof/>
        </w:rPr>
        <w:t>10,</w:t>
      </w:r>
      <w:r w:rsidRPr="00572BFC">
        <w:rPr>
          <w:rFonts w:ascii="Times New Roman" w:hAnsi="Times New Roman"/>
          <w:noProof/>
        </w:rPr>
        <w:t xml:space="preserve"> 263–270 (2006).</w:t>
      </w:r>
    </w:p>
    <w:p w14:paraId="7082423A"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27.</w:t>
      </w:r>
      <w:r w:rsidRPr="00572BFC">
        <w:rPr>
          <w:rFonts w:ascii="Times New Roman" w:hAnsi="Times New Roman"/>
          <w:noProof/>
        </w:rPr>
        <w:tab/>
        <w:t xml:space="preserve">Stephen, W. C. &amp; Janssen, I. Sarcopenic-obesity and cardiovascular disease risk in the elderly. </w:t>
      </w:r>
      <w:r w:rsidRPr="00572BFC">
        <w:rPr>
          <w:rFonts w:ascii="Times New Roman" w:hAnsi="Times New Roman"/>
          <w:i/>
          <w:iCs/>
          <w:noProof/>
        </w:rPr>
        <w:t>J. Nutr. Health Aging</w:t>
      </w:r>
      <w:r w:rsidRPr="00572BFC">
        <w:rPr>
          <w:rFonts w:ascii="Times New Roman" w:hAnsi="Times New Roman"/>
          <w:noProof/>
        </w:rPr>
        <w:t xml:space="preserve"> </w:t>
      </w:r>
      <w:r w:rsidRPr="00572BFC">
        <w:rPr>
          <w:rFonts w:ascii="Times New Roman" w:hAnsi="Times New Roman"/>
          <w:b/>
          <w:bCs/>
          <w:noProof/>
        </w:rPr>
        <w:t>13,</w:t>
      </w:r>
      <w:r w:rsidRPr="00572BFC">
        <w:rPr>
          <w:rFonts w:ascii="Times New Roman" w:hAnsi="Times New Roman"/>
          <w:noProof/>
        </w:rPr>
        <w:t xml:space="preserve"> 460–466 (2009).</w:t>
      </w:r>
    </w:p>
    <w:p w14:paraId="5033A7FA"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28.</w:t>
      </w:r>
      <w:r w:rsidRPr="00572BFC">
        <w:rPr>
          <w:rFonts w:ascii="Times New Roman" w:hAnsi="Times New Roman"/>
          <w:noProof/>
        </w:rPr>
        <w:tab/>
        <w:t xml:space="preserve">Miller, M. D. </w:t>
      </w:r>
      <w:r w:rsidRPr="00572BFC">
        <w:rPr>
          <w:rFonts w:ascii="Times New Roman" w:hAnsi="Times New Roman"/>
          <w:i/>
          <w:iCs/>
          <w:noProof/>
        </w:rPr>
        <w:t>et al.</w:t>
      </w:r>
      <w:r w:rsidRPr="00572BFC">
        <w:rPr>
          <w:rFonts w:ascii="Times New Roman" w:hAnsi="Times New Roman"/>
          <w:noProof/>
        </w:rPr>
        <w:t xml:space="preserve"> Corrected arm muscle area: An independent predictor of long-term mortality in community-dwelling older adults? </w:t>
      </w:r>
      <w:r w:rsidRPr="00572BFC">
        <w:rPr>
          <w:rFonts w:ascii="Times New Roman" w:hAnsi="Times New Roman"/>
          <w:i/>
          <w:iCs/>
          <w:noProof/>
        </w:rPr>
        <w:t>J. Am. Geriatr. Soc.</w:t>
      </w:r>
      <w:r w:rsidRPr="00572BFC">
        <w:rPr>
          <w:rFonts w:ascii="Times New Roman" w:hAnsi="Times New Roman"/>
          <w:noProof/>
        </w:rPr>
        <w:t xml:space="preserve"> </w:t>
      </w:r>
      <w:r w:rsidRPr="00572BFC">
        <w:rPr>
          <w:rFonts w:ascii="Times New Roman" w:hAnsi="Times New Roman"/>
          <w:b/>
          <w:bCs/>
          <w:noProof/>
        </w:rPr>
        <w:t>50,</w:t>
      </w:r>
      <w:r w:rsidRPr="00572BFC">
        <w:rPr>
          <w:rFonts w:ascii="Times New Roman" w:hAnsi="Times New Roman"/>
          <w:noProof/>
        </w:rPr>
        <w:t xml:space="preserve"> 1272–1277 (2002).</w:t>
      </w:r>
    </w:p>
    <w:p w14:paraId="68BFF3DD"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29.</w:t>
      </w:r>
      <w:r w:rsidRPr="00572BFC">
        <w:rPr>
          <w:rFonts w:ascii="Times New Roman" w:hAnsi="Times New Roman"/>
          <w:noProof/>
        </w:rPr>
        <w:tab/>
        <w:t xml:space="preserve">Prothro, J. W. &amp; Rosenbloom, C. a. Body measurements of black and white elderly persons with emphasis on body composition. </w:t>
      </w:r>
      <w:r w:rsidRPr="00572BFC">
        <w:rPr>
          <w:rFonts w:ascii="Times New Roman" w:hAnsi="Times New Roman"/>
          <w:i/>
          <w:iCs/>
          <w:noProof/>
        </w:rPr>
        <w:t>Gerontology</w:t>
      </w:r>
      <w:r w:rsidRPr="00572BFC">
        <w:rPr>
          <w:rFonts w:ascii="Times New Roman" w:hAnsi="Times New Roman"/>
          <w:noProof/>
        </w:rPr>
        <w:t xml:space="preserve"> </w:t>
      </w:r>
      <w:r w:rsidRPr="00572BFC">
        <w:rPr>
          <w:rFonts w:ascii="Times New Roman" w:hAnsi="Times New Roman"/>
          <w:b/>
          <w:bCs/>
          <w:noProof/>
        </w:rPr>
        <w:t>41,</w:t>
      </w:r>
      <w:r w:rsidRPr="00572BFC">
        <w:rPr>
          <w:rFonts w:ascii="Times New Roman" w:hAnsi="Times New Roman"/>
          <w:noProof/>
        </w:rPr>
        <w:t xml:space="preserve"> 22–38 (1995).</w:t>
      </w:r>
    </w:p>
    <w:p w14:paraId="26FB6185"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30.</w:t>
      </w:r>
      <w:r w:rsidRPr="00572BFC">
        <w:rPr>
          <w:rFonts w:ascii="Times New Roman" w:hAnsi="Times New Roman"/>
          <w:noProof/>
        </w:rPr>
        <w:tab/>
        <w:t xml:space="preserve">Mühlethaler, R., Stuck, a E., Minder, C. E. &amp; Frey, B. M. The prognostic significance of protein-energy malnutrition in geriatric patients. </w:t>
      </w:r>
      <w:r w:rsidRPr="00572BFC">
        <w:rPr>
          <w:rFonts w:ascii="Times New Roman" w:hAnsi="Times New Roman"/>
          <w:i/>
          <w:iCs/>
          <w:noProof/>
        </w:rPr>
        <w:t>Age Ageing</w:t>
      </w:r>
      <w:r w:rsidRPr="00572BFC">
        <w:rPr>
          <w:rFonts w:ascii="Times New Roman" w:hAnsi="Times New Roman"/>
          <w:noProof/>
        </w:rPr>
        <w:t xml:space="preserve"> </w:t>
      </w:r>
      <w:r w:rsidRPr="00572BFC">
        <w:rPr>
          <w:rFonts w:ascii="Times New Roman" w:hAnsi="Times New Roman"/>
          <w:b/>
          <w:bCs/>
          <w:noProof/>
        </w:rPr>
        <w:t>24,</w:t>
      </w:r>
      <w:r w:rsidRPr="00572BFC">
        <w:rPr>
          <w:rFonts w:ascii="Times New Roman" w:hAnsi="Times New Roman"/>
          <w:noProof/>
        </w:rPr>
        <w:t xml:space="preserve"> 193–197 (1995).</w:t>
      </w:r>
    </w:p>
    <w:p w14:paraId="14D8E4F0"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31.</w:t>
      </w:r>
      <w:r w:rsidRPr="00572BFC">
        <w:rPr>
          <w:rFonts w:ascii="Times New Roman" w:hAnsi="Times New Roman"/>
          <w:noProof/>
        </w:rPr>
        <w:tab/>
        <w:t xml:space="preserve">Huffman, D. M. &amp; Barzilai, N. Role of visceral adipose tissue in aging. </w:t>
      </w:r>
      <w:r w:rsidRPr="00572BFC">
        <w:rPr>
          <w:rFonts w:ascii="Times New Roman" w:hAnsi="Times New Roman"/>
          <w:i/>
          <w:iCs/>
          <w:noProof/>
        </w:rPr>
        <w:t>Biochim. Biophys. Acta - Gen. Subj.</w:t>
      </w:r>
      <w:r w:rsidRPr="00572BFC">
        <w:rPr>
          <w:rFonts w:ascii="Times New Roman" w:hAnsi="Times New Roman"/>
          <w:noProof/>
        </w:rPr>
        <w:t xml:space="preserve"> </w:t>
      </w:r>
      <w:r w:rsidRPr="00572BFC">
        <w:rPr>
          <w:rFonts w:ascii="Times New Roman" w:hAnsi="Times New Roman"/>
          <w:b/>
          <w:bCs/>
          <w:noProof/>
        </w:rPr>
        <w:t>1790,</w:t>
      </w:r>
      <w:r w:rsidRPr="00572BFC">
        <w:rPr>
          <w:rFonts w:ascii="Times New Roman" w:hAnsi="Times New Roman"/>
          <w:noProof/>
        </w:rPr>
        <w:t xml:space="preserve"> 1117–1123 (2009).</w:t>
      </w:r>
    </w:p>
    <w:p w14:paraId="5FD398D0"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32.</w:t>
      </w:r>
      <w:r w:rsidRPr="00572BFC">
        <w:rPr>
          <w:rFonts w:ascii="Times New Roman" w:hAnsi="Times New Roman"/>
          <w:noProof/>
        </w:rPr>
        <w:tab/>
        <w:t xml:space="preserve">Canadian Diabetic Association &amp; Diabète Québec. </w:t>
      </w:r>
      <w:r w:rsidRPr="00572BFC">
        <w:rPr>
          <w:rFonts w:ascii="Times New Roman" w:hAnsi="Times New Roman"/>
          <w:i/>
          <w:iCs/>
          <w:noProof/>
        </w:rPr>
        <w:t>Diabetes : Canada at the tipping point Charting a New Path: Why We Are Here and What Can Be Done</w:t>
      </w:r>
      <w:r w:rsidRPr="00572BFC">
        <w:rPr>
          <w:rFonts w:ascii="Times New Roman" w:hAnsi="Times New Roman"/>
          <w:noProof/>
        </w:rPr>
        <w:t xml:space="preserve">. </w:t>
      </w:r>
      <w:r w:rsidRPr="00572BFC">
        <w:rPr>
          <w:rFonts w:ascii="Times New Roman" w:hAnsi="Times New Roman"/>
          <w:i/>
          <w:iCs/>
          <w:noProof/>
        </w:rPr>
        <w:t>Diabetes</w:t>
      </w:r>
      <w:r w:rsidRPr="00572BFC">
        <w:rPr>
          <w:rFonts w:ascii="Times New Roman" w:hAnsi="Times New Roman"/>
          <w:noProof/>
        </w:rPr>
        <w:t xml:space="preserve"> (2010).</w:t>
      </w:r>
    </w:p>
    <w:p w14:paraId="539A444B"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33.</w:t>
      </w:r>
      <w:r w:rsidRPr="00572BFC">
        <w:rPr>
          <w:rFonts w:ascii="Times New Roman" w:hAnsi="Times New Roman"/>
          <w:noProof/>
        </w:rPr>
        <w:tab/>
        <w:t xml:space="preserve">Amati, F. </w:t>
      </w:r>
      <w:r w:rsidRPr="00572BFC">
        <w:rPr>
          <w:rFonts w:ascii="Times New Roman" w:hAnsi="Times New Roman"/>
          <w:i/>
          <w:iCs/>
          <w:noProof/>
        </w:rPr>
        <w:t>et al.</w:t>
      </w:r>
      <w:r w:rsidRPr="00572BFC">
        <w:rPr>
          <w:rFonts w:ascii="Times New Roman" w:hAnsi="Times New Roman"/>
          <w:noProof/>
        </w:rPr>
        <w:t xml:space="preserve"> Physical inactivity and obesity underlie the insulin resistance of aging. </w:t>
      </w:r>
      <w:r w:rsidRPr="00572BFC">
        <w:rPr>
          <w:rFonts w:ascii="Times New Roman" w:hAnsi="Times New Roman"/>
          <w:i/>
          <w:iCs/>
          <w:noProof/>
        </w:rPr>
        <w:t>Diabetes Care</w:t>
      </w:r>
      <w:r w:rsidRPr="00572BFC">
        <w:rPr>
          <w:rFonts w:ascii="Times New Roman" w:hAnsi="Times New Roman"/>
          <w:noProof/>
        </w:rPr>
        <w:t xml:space="preserve"> </w:t>
      </w:r>
      <w:r w:rsidRPr="00572BFC">
        <w:rPr>
          <w:rFonts w:ascii="Times New Roman" w:hAnsi="Times New Roman"/>
          <w:b/>
          <w:bCs/>
          <w:noProof/>
        </w:rPr>
        <w:t>32,</w:t>
      </w:r>
      <w:r w:rsidRPr="00572BFC">
        <w:rPr>
          <w:rFonts w:ascii="Times New Roman" w:hAnsi="Times New Roman"/>
          <w:noProof/>
        </w:rPr>
        <w:t xml:space="preserve"> 1547–1549 (2009).</w:t>
      </w:r>
    </w:p>
    <w:p w14:paraId="603ADE31"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34.</w:t>
      </w:r>
      <w:r w:rsidRPr="00572BFC">
        <w:rPr>
          <w:rFonts w:ascii="Times New Roman" w:hAnsi="Times New Roman"/>
          <w:noProof/>
        </w:rPr>
        <w:tab/>
        <w:t xml:space="preserve">Goulet, E. D. B. </w:t>
      </w:r>
      <w:r w:rsidRPr="00572BFC">
        <w:rPr>
          <w:rFonts w:ascii="Times New Roman" w:hAnsi="Times New Roman"/>
          <w:i/>
          <w:iCs/>
          <w:noProof/>
        </w:rPr>
        <w:t>et al.</w:t>
      </w:r>
      <w:r w:rsidRPr="00572BFC">
        <w:rPr>
          <w:rFonts w:ascii="Times New Roman" w:hAnsi="Times New Roman"/>
          <w:noProof/>
        </w:rPr>
        <w:t xml:space="preserve"> Frailty in the elderly is associated with insulin resistance of glucose metabolism in the postabsorptive state only in the presence of increased abdominal fat. </w:t>
      </w:r>
      <w:r w:rsidRPr="00572BFC">
        <w:rPr>
          <w:rFonts w:ascii="Times New Roman" w:hAnsi="Times New Roman"/>
          <w:i/>
          <w:iCs/>
          <w:noProof/>
        </w:rPr>
        <w:t>Exp. Gerontol.</w:t>
      </w:r>
      <w:r w:rsidRPr="00572BFC">
        <w:rPr>
          <w:rFonts w:ascii="Times New Roman" w:hAnsi="Times New Roman"/>
          <w:noProof/>
        </w:rPr>
        <w:t xml:space="preserve"> </w:t>
      </w:r>
      <w:r w:rsidRPr="00572BFC">
        <w:rPr>
          <w:rFonts w:ascii="Times New Roman" w:hAnsi="Times New Roman"/>
          <w:b/>
          <w:bCs/>
          <w:noProof/>
        </w:rPr>
        <w:t>44,</w:t>
      </w:r>
      <w:r w:rsidRPr="00572BFC">
        <w:rPr>
          <w:rFonts w:ascii="Times New Roman" w:hAnsi="Times New Roman"/>
          <w:noProof/>
        </w:rPr>
        <w:t xml:space="preserve"> 740–744 (2009).</w:t>
      </w:r>
    </w:p>
    <w:p w14:paraId="4D6ADBAF"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35.</w:t>
      </w:r>
      <w:r w:rsidRPr="00572BFC">
        <w:rPr>
          <w:rFonts w:ascii="Times New Roman" w:hAnsi="Times New Roman"/>
          <w:noProof/>
        </w:rPr>
        <w:tab/>
        <w:t xml:space="preserve">Baumgartner, R. N. Body composition in healthy aging. </w:t>
      </w:r>
      <w:r w:rsidRPr="00572BFC">
        <w:rPr>
          <w:rFonts w:ascii="Times New Roman" w:hAnsi="Times New Roman"/>
          <w:i/>
          <w:iCs/>
          <w:noProof/>
        </w:rPr>
        <w:t>Ann. N. Y. Acad. Sci.</w:t>
      </w:r>
      <w:r w:rsidRPr="00572BFC">
        <w:rPr>
          <w:rFonts w:ascii="Times New Roman" w:hAnsi="Times New Roman"/>
          <w:noProof/>
        </w:rPr>
        <w:t xml:space="preserve"> </w:t>
      </w:r>
      <w:r w:rsidRPr="00572BFC">
        <w:rPr>
          <w:rFonts w:ascii="Times New Roman" w:hAnsi="Times New Roman"/>
          <w:b/>
          <w:bCs/>
          <w:noProof/>
        </w:rPr>
        <w:t>904,</w:t>
      </w:r>
      <w:r w:rsidRPr="00572BFC">
        <w:rPr>
          <w:rFonts w:ascii="Times New Roman" w:hAnsi="Times New Roman"/>
          <w:noProof/>
        </w:rPr>
        <w:t xml:space="preserve"> 437–448 (2000).</w:t>
      </w:r>
    </w:p>
    <w:p w14:paraId="177AB945"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36.</w:t>
      </w:r>
      <w:r w:rsidRPr="00572BFC">
        <w:rPr>
          <w:rFonts w:ascii="Times New Roman" w:hAnsi="Times New Roman"/>
          <w:noProof/>
        </w:rPr>
        <w:tab/>
        <w:t xml:space="preserve">Baumgartner, R. N. </w:t>
      </w:r>
      <w:r w:rsidRPr="00572BFC">
        <w:rPr>
          <w:rFonts w:ascii="Times New Roman" w:hAnsi="Times New Roman"/>
          <w:i/>
          <w:iCs/>
          <w:noProof/>
        </w:rPr>
        <w:t>et al.</w:t>
      </w:r>
      <w:r w:rsidRPr="00572BFC">
        <w:rPr>
          <w:rFonts w:ascii="Times New Roman" w:hAnsi="Times New Roman"/>
          <w:noProof/>
        </w:rPr>
        <w:t xml:space="preserve"> Sarcopenic obesity predicts instrumental activities of daily living disability in the elderly. </w:t>
      </w:r>
      <w:r w:rsidRPr="00572BFC">
        <w:rPr>
          <w:rFonts w:ascii="Times New Roman" w:hAnsi="Times New Roman"/>
          <w:i/>
          <w:iCs/>
          <w:noProof/>
        </w:rPr>
        <w:t>Obes. Res.</w:t>
      </w:r>
      <w:r w:rsidRPr="00572BFC">
        <w:rPr>
          <w:rFonts w:ascii="Times New Roman" w:hAnsi="Times New Roman"/>
          <w:noProof/>
        </w:rPr>
        <w:t xml:space="preserve"> </w:t>
      </w:r>
      <w:r w:rsidRPr="00572BFC">
        <w:rPr>
          <w:rFonts w:ascii="Times New Roman" w:hAnsi="Times New Roman"/>
          <w:b/>
          <w:bCs/>
          <w:noProof/>
        </w:rPr>
        <w:t>12,</w:t>
      </w:r>
      <w:r w:rsidRPr="00572BFC">
        <w:rPr>
          <w:rFonts w:ascii="Times New Roman" w:hAnsi="Times New Roman"/>
          <w:noProof/>
        </w:rPr>
        <w:t xml:space="preserve"> 1995–2004 (2004).</w:t>
      </w:r>
    </w:p>
    <w:p w14:paraId="5A2246BC"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37.</w:t>
      </w:r>
      <w:r w:rsidRPr="00572BFC">
        <w:rPr>
          <w:rFonts w:ascii="Times New Roman" w:hAnsi="Times New Roman"/>
          <w:noProof/>
        </w:rPr>
        <w:tab/>
        <w:t xml:space="preserve">Demakakos, P., Hamer, M., Stamatakis, E. &amp; Steptoe, a. Low-intensity physical activity is associated with reduced risk of incident type 2 diabetes in older adults: Evidence from the English Longitudinal Study of Ageing. </w:t>
      </w:r>
      <w:r w:rsidRPr="00572BFC">
        <w:rPr>
          <w:rFonts w:ascii="Times New Roman" w:hAnsi="Times New Roman"/>
          <w:i/>
          <w:iCs/>
          <w:noProof/>
        </w:rPr>
        <w:t>Diabetologia</w:t>
      </w:r>
      <w:r w:rsidRPr="00572BFC">
        <w:rPr>
          <w:rFonts w:ascii="Times New Roman" w:hAnsi="Times New Roman"/>
          <w:noProof/>
        </w:rPr>
        <w:t xml:space="preserve"> </w:t>
      </w:r>
      <w:r w:rsidRPr="00572BFC">
        <w:rPr>
          <w:rFonts w:ascii="Times New Roman" w:hAnsi="Times New Roman"/>
          <w:b/>
          <w:bCs/>
          <w:noProof/>
        </w:rPr>
        <w:t>53,</w:t>
      </w:r>
      <w:r w:rsidRPr="00572BFC">
        <w:rPr>
          <w:rFonts w:ascii="Times New Roman" w:hAnsi="Times New Roman"/>
          <w:noProof/>
        </w:rPr>
        <w:t xml:space="preserve"> 1877–1885 (2010).</w:t>
      </w:r>
    </w:p>
    <w:p w14:paraId="70007CC0"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38.</w:t>
      </w:r>
      <w:r w:rsidRPr="00572BFC">
        <w:rPr>
          <w:rFonts w:ascii="Times New Roman" w:hAnsi="Times New Roman"/>
          <w:noProof/>
        </w:rPr>
        <w:tab/>
        <w:t>Moreland, J. D., Richardson, Ã. J. A., Goldsmith, C. H., Clase, C. M. &amp; Richardson, J. a. Muscle weakness and falls in older adults: a systematic review and meta</w:t>
      </w:r>
      <w:r w:rsidRPr="00572BFC">
        <w:rPr>
          <w:rFonts w:ascii="Adobe Caslon Pro Bold" w:hAnsi="Adobe Caslon Pro Bold" w:cs="Adobe Caslon Pro Bold"/>
          <w:noProof/>
        </w:rPr>
        <w:t>‐</w:t>
      </w:r>
      <w:r w:rsidRPr="00572BFC">
        <w:rPr>
          <w:rFonts w:ascii="Times New Roman" w:hAnsi="Times New Roman"/>
          <w:noProof/>
        </w:rPr>
        <w:t xml:space="preserve">analysis. </w:t>
      </w:r>
      <w:r w:rsidRPr="00572BFC">
        <w:rPr>
          <w:rFonts w:ascii="Times New Roman" w:hAnsi="Times New Roman"/>
          <w:i/>
          <w:iCs/>
          <w:noProof/>
        </w:rPr>
        <w:t>J. Am. Geriatr. Soc.</w:t>
      </w:r>
      <w:r w:rsidRPr="00572BFC">
        <w:rPr>
          <w:rFonts w:ascii="Times New Roman" w:hAnsi="Times New Roman"/>
          <w:noProof/>
        </w:rPr>
        <w:t xml:space="preserve"> </w:t>
      </w:r>
      <w:r w:rsidRPr="00572BFC">
        <w:rPr>
          <w:rFonts w:ascii="Times New Roman" w:hAnsi="Times New Roman"/>
          <w:b/>
          <w:bCs/>
          <w:noProof/>
        </w:rPr>
        <w:t>52,</w:t>
      </w:r>
      <w:r w:rsidRPr="00572BFC">
        <w:rPr>
          <w:rFonts w:ascii="Times New Roman" w:hAnsi="Times New Roman"/>
          <w:noProof/>
        </w:rPr>
        <w:t xml:space="preserve"> 1121–1129 (2004).</w:t>
      </w:r>
    </w:p>
    <w:p w14:paraId="5DBEC583"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39.</w:t>
      </w:r>
      <w:r w:rsidRPr="00572BFC">
        <w:rPr>
          <w:rFonts w:ascii="Times New Roman" w:hAnsi="Times New Roman"/>
          <w:noProof/>
        </w:rPr>
        <w:tab/>
        <w:t xml:space="preserve">Janssen, I. Evolution of sarcopenia research. </w:t>
      </w:r>
      <w:r w:rsidRPr="00572BFC">
        <w:rPr>
          <w:rFonts w:ascii="Times New Roman" w:hAnsi="Times New Roman"/>
          <w:i/>
          <w:iCs/>
          <w:noProof/>
        </w:rPr>
        <w:t>Appl. Physiol. Nutr. Metab.</w:t>
      </w:r>
      <w:r w:rsidRPr="00572BFC">
        <w:rPr>
          <w:rFonts w:ascii="Times New Roman" w:hAnsi="Times New Roman"/>
          <w:noProof/>
        </w:rPr>
        <w:t xml:space="preserve"> </w:t>
      </w:r>
      <w:r w:rsidRPr="00572BFC">
        <w:rPr>
          <w:rFonts w:ascii="Times New Roman" w:hAnsi="Times New Roman"/>
          <w:b/>
          <w:bCs/>
          <w:noProof/>
        </w:rPr>
        <w:t>35,</w:t>
      </w:r>
      <w:r w:rsidRPr="00572BFC">
        <w:rPr>
          <w:rFonts w:ascii="Times New Roman" w:hAnsi="Times New Roman"/>
          <w:noProof/>
        </w:rPr>
        <w:t xml:space="preserve"> 707–712 (2010).</w:t>
      </w:r>
    </w:p>
    <w:p w14:paraId="7AAC24DA"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40.</w:t>
      </w:r>
      <w:r w:rsidRPr="00572BFC">
        <w:rPr>
          <w:rFonts w:ascii="Times New Roman" w:hAnsi="Times New Roman"/>
          <w:noProof/>
        </w:rPr>
        <w:tab/>
        <w:t xml:space="preserve">English, K. L. &amp; Paddon-Jones, D. Protecting muscle mass and function in older adults during bed rest. </w:t>
      </w:r>
      <w:r w:rsidRPr="00572BFC">
        <w:rPr>
          <w:rFonts w:ascii="Times New Roman" w:hAnsi="Times New Roman"/>
          <w:i/>
          <w:iCs/>
          <w:noProof/>
        </w:rPr>
        <w:t>Curr. Opin. Clin. Nutr. Metab. Care</w:t>
      </w:r>
      <w:r w:rsidRPr="00572BFC">
        <w:rPr>
          <w:rFonts w:ascii="Times New Roman" w:hAnsi="Times New Roman"/>
          <w:noProof/>
        </w:rPr>
        <w:t xml:space="preserve"> </w:t>
      </w:r>
      <w:r w:rsidRPr="00572BFC">
        <w:rPr>
          <w:rFonts w:ascii="Times New Roman" w:hAnsi="Times New Roman"/>
          <w:b/>
          <w:bCs/>
          <w:noProof/>
        </w:rPr>
        <w:t>13,</w:t>
      </w:r>
      <w:r w:rsidRPr="00572BFC">
        <w:rPr>
          <w:rFonts w:ascii="Times New Roman" w:hAnsi="Times New Roman"/>
          <w:noProof/>
        </w:rPr>
        <w:t xml:space="preserve"> 34–39 (2010).</w:t>
      </w:r>
    </w:p>
    <w:p w14:paraId="390EBF79"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41.</w:t>
      </w:r>
      <w:r w:rsidRPr="00572BFC">
        <w:rPr>
          <w:rFonts w:ascii="Times New Roman" w:hAnsi="Times New Roman"/>
          <w:noProof/>
        </w:rPr>
        <w:tab/>
        <w:t xml:space="preserve">Phillips, S. M., Glover, E. I. &amp; Rennie, M. J. Alterations of protein turnover underlying disuse atrophy in human skeletal muscle. </w:t>
      </w:r>
      <w:r w:rsidRPr="00572BFC">
        <w:rPr>
          <w:rFonts w:ascii="Times New Roman" w:hAnsi="Times New Roman"/>
          <w:i/>
          <w:iCs/>
          <w:noProof/>
        </w:rPr>
        <w:t>J. Appl. Physiol.</w:t>
      </w:r>
      <w:r w:rsidRPr="00572BFC">
        <w:rPr>
          <w:rFonts w:ascii="Times New Roman" w:hAnsi="Times New Roman"/>
          <w:noProof/>
        </w:rPr>
        <w:t xml:space="preserve"> </w:t>
      </w:r>
      <w:r w:rsidRPr="00572BFC">
        <w:rPr>
          <w:rFonts w:ascii="Times New Roman" w:hAnsi="Times New Roman"/>
          <w:b/>
          <w:bCs/>
          <w:noProof/>
        </w:rPr>
        <w:t>107,</w:t>
      </w:r>
      <w:r w:rsidRPr="00572BFC">
        <w:rPr>
          <w:rFonts w:ascii="Times New Roman" w:hAnsi="Times New Roman"/>
          <w:noProof/>
        </w:rPr>
        <w:t xml:space="preserve"> 645–654 (2009).</w:t>
      </w:r>
    </w:p>
    <w:p w14:paraId="05D45D9A"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42.</w:t>
      </w:r>
      <w:r w:rsidRPr="00572BFC">
        <w:rPr>
          <w:rFonts w:ascii="Times New Roman" w:hAnsi="Times New Roman"/>
          <w:noProof/>
        </w:rPr>
        <w:tab/>
        <w:t xml:space="preserve">Yang, Y. </w:t>
      </w:r>
      <w:r w:rsidRPr="00572BFC">
        <w:rPr>
          <w:rFonts w:ascii="Times New Roman" w:hAnsi="Times New Roman"/>
          <w:i/>
          <w:iCs/>
          <w:noProof/>
        </w:rPr>
        <w:t>et al.</w:t>
      </w:r>
      <w:r w:rsidRPr="00572BFC">
        <w:rPr>
          <w:rFonts w:ascii="Times New Roman" w:hAnsi="Times New Roman"/>
          <w:noProof/>
        </w:rPr>
        <w:t xml:space="preserve"> Resistance exercise enhances myofibrillar protein synthesis with graded intakes of whey protein in older men. </w:t>
      </w:r>
      <w:r w:rsidRPr="00572BFC">
        <w:rPr>
          <w:rFonts w:ascii="Times New Roman" w:hAnsi="Times New Roman"/>
          <w:i/>
          <w:iCs/>
          <w:noProof/>
        </w:rPr>
        <w:t>Br. J. Nutr.</w:t>
      </w:r>
      <w:r w:rsidRPr="00572BFC">
        <w:rPr>
          <w:rFonts w:ascii="Times New Roman" w:hAnsi="Times New Roman"/>
          <w:noProof/>
        </w:rPr>
        <w:t xml:space="preserve"> </w:t>
      </w:r>
      <w:r w:rsidRPr="00572BFC">
        <w:rPr>
          <w:rFonts w:ascii="Times New Roman" w:hAnsi="Times New Roman"/>
          <w:b/>
          <w:bCs/>
          <w:noProof/>
        </w:rPr>
        <w:t>108,</w:t>
      </w:r>
      <w:r w:rsidRPr="00572BFC">
        <w:rPr>
          <w:rFonts w:ascii="Times New Roman" w:hAnsi="Times New Roman"/>
          <w:noProof/>
        </w:rPr>
        <w:t xml:space="preserve"> 1–9 (2012).</w:t>
      </w:r>
    </w:p>
    <w:p w14:paraId="3F178BDA"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43.</w:t>
      </w:r>
      <w:r w:rsidRPr="00572BFC">
        <w:rPr>
          <w:rFonts w:ascii="Times New Roman" w:hAnsi="Times New Roman"/>
          <w:noProof/>
        </w:rPr>
        <w:tab/>
        <w:t xml:space="preserve">Bortz II, W. M. Disuse and Aging. </w:t>
      </w:r>
      <w:r w:rsidRPr="00572BFC">
        <w:rPr>
          <w:rFonts w:ascii="Times New Roman" w:hAnsi="Times New Roman"/>
          <w:i/>
          <w:iCs/>
          <w:noProof/>
        </w:rPr>
        <w:t>JAMA</w:t>
      </w:r>
      <w:r w:rsidRPr="00572BFC">
        <w:rPr>
          <w:rFonts w:ascii="Times New Roman" w:hAnsi="Times New Roman"/>
          <w:noProof/>
        </w:rPr>
        <w:t xml:space="preserve"> </w:t>
      </w:r>
      <w:r w:rsidRPr="00572BFC">
        <w:rPr>
          <w:rFonts w:ascii="Times New Roman" w:hAnsi="Times New Roman"/>
          <w:b/>
          <w:bCs/>
          <w:noProof/>
        </w:rPr>
        <w:t>248,</w:t>
      </w:r>
      <w:r w:rsidRPr="00572BFC">
        <w:rPr>
          <w:rFonts w:ascii="Times New Roman" w:hAnsi="Times New Roman"/>
          <w:noProof/>
        </w:rPr>
        <w:t xml:space="preserve"> 1203–1208 (1982).</w:t>
      </w:r>
    </w:p>
    <w:p w14:paraId="055CF8CD"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44.</w:t>
      </w:r>
      <w:r w:rsidRPr="00572BFC">
        <w:rPr>
          <w:rFonts w:ascii="Times New Roman" w:hAnsi="Times New Roman"/>
          <w:noProof/>
        </w:rPr>
        <w:tab/>
        <w:t xml:space="preserve">McGavock, J. M. </w:t>
      </w:r>
      <w:r w:rsidRPr="00572BFC">
        <w:rPr>
          <w:rFonts w:ascii="Times New Roman" w:hAnsi="Times New Roman"/>
          <w:i/>
          <w:iCs/>
          <w:noProof/>
        </w:rPr>
        <w:t>et al.</w:t>
      </w:r>
      <w:r w:rsidRPr="00572BFC">
        <w:rPr>
          <w:rFonts w:ascii="Times New Roman" w:hAnsi="Times New Roman"/>
          <w:noProof/>
        </w:rPr>
        <w:t xml:space="preserve"> A forty-year follow-up of the Dallas Bed Rest and Training Study: The effect of age on the cardiovascular response to exercise in men. </w:t>
      </w:r>
      <w:r w:rsidRPr="00572BFC">
        <w:rPr>
          <w:rFonts w:ascii="Times New Roman" w:hAnsi="Times New Roman"/>
          <w:i/>
          <w:iCs/>
          <w:noProof/>
        </w:rPr>
        <w:t>Journals Gerontol. - Ser. A Biol. Sci. Med. Sci.</w:t>
      </w:r>
      <w:r w:rsidRPr="00572BFC">
        <w:rPr>
          <w:rFonts w:ascii="Times New Roman" w:hAnsi="Times New Roman"/>
          <w:noProof/>
        </w:rPr>
        <w:t xml:space="preserve"> </w:t>
      </w:r>
      <w:r w:rsidRPr="00572BFC">
        <w:rPr>
          <w:rFonts w:ascii="Times New Roman" w:hAnsi="Times New Roman"/>
          <w:b/>
          <w:bCs/>
          <w:noProof/>
        </w:rPr>
        <w:t>64,</w:t>
      </w:r>
      <w:r w:rsidRPr="00572BFC">
        <w:rPr>
          <w:rFonts w:ascii="Times New Roman" w:hAnsi="Times New Roman"/>
          <w:noProof/>
        </w:rPr>
        <w:t xml:space="preserve"> 293–298 (2009).</w:t>
      </w:r>
    </w:p>
    <w:p w14:paraId="5AC17257"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45.</w:t>
      </w:r>
      <w:r w:rsidRPr="00572BFC">
        <w:rPr>
          <w:rFonts w:ascii="Times New Roman" w:hAnsi="Times New Roman"/>
          <w:noProof/>
        </w:rPr>
        <w:tab/>
        <w:t xml:space="preserve">Asher, R. a. J. Dangers of Going to Bed. </w:t>
      </w:r>
      <w:r w:rsidRPr="00572BFC">
        <w:rPr>
          <w:rFonts w:ascii="Times New Roman" w:hAnsi="Times New Roman"/>
          <w:i/>
          <w:iCs/>
          <w:noProof/>
        </w:rPr>
        <w:t>Br. Med. J.</w:t>
      </w:r>
      <w:r w:rsidRPr="00572BFC">
        <w:rPr>
          <w:rFonts w:ascii="Times New Roman" w:hAnsi="Times New Roman"/>
          <w:noProof/>
        </w:rPr>
        <w:t xml:space="preserve"> </w:t>
      </w:r>
      <w:r w:rsidRPr="00572BFC">
        <w:rPr>
          <w:rFonts w:ascii="Times New Roman" w:hAnsi="Times New Roman"/>
          <w:b/>
          <w:bCs/>
          <w:noProof/>
        </w:rPr>
        <w:t>2,</w:t>
      </w:r>
      <w:r w:rsidRPr="00572BFC">
        <w:rPr>
          <w:rFonts w:ascii="Times New Roman" w:hAnsi="Times New Roman"/>
          <w:noProof/>
        </w:rPr>
        <w:t xml:space="preserve"> 967–968 (1947).</w:t>
      </w:r>
    </w:p>
    <w:p w14:paraId="4A4C5157"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46.</w:t>
      </w:r>
      <w:r w:rsidRPr="00572BFC">
        <w:rPr>
          <w:rFonts w:ascii="Times New Roman" w:hAnsi="Times New Roman"/>
          <w:noProof/>
        </w:rPr>
        <w:tab/>
        <w:t xml:space="preserve">Manton, K. G., Corder, L. S. &amp; Stallard, E. Estimates of change in chronic disability and institutional incidence and prevalence rates in the U.S. elderly population from the 1982, 1984, and 1989 National Long Term Care Survey. </w:t>
      </w:r>
      <w:r w:rsidRPr="00572BFC">
        <w:rPr>
          <w:rFonts w:ascii="Times New Roman" w:hAnsi="Times New Roman"/>
          <w:i/>
          <w:iCs/>
          <w:noProof/>
        </w:rPr>
        <w:t>J. Gerontol.</w:t>
      </w:r>
      <w:r w:rsidRPr="00572BFC">
        <w:rPr>
          <w:rFonts w:ascii="Times New Roman" w:hAnsi="Times New Roman"/>
          <w:noProof/>
        </w:rPr>
        <w:t xml:space="preserve"> </w:t>
      </w:r>
      <w:r w:rsidRPr="00572BFC">
        <w:rPr>
          <w:rFonts w:ascii="Times New Roman" w:hAnsi="Times New Roman"/>
          <w:b/>
          <w:bCs/>
          <w:noProof/>
        </w:rPr>
        <w:t>48,</w:t>
      </w:r>
      <w:r w:rsidRPr="00572BFC">
        <w:rPr>
          <w:rFonts w:ascii="Times New Roman" w:hAnsi="Times New Roman"/>
          <w:noProof/>
        </w:rPr>
        <w:t xml:space="preserve"> S153–S166 (1993).</w:t>
      </w:r>
    </w:p>
    <w:p w14:paraId="6CD9595C"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47.</w:t>
      </w:r>
      <w:r w:rsidRPr="00572BFC">
        <w:rPr>
          <w:rFonts w:ascii="Times New Roman" w:hAnsi="Times New Roman"/>
          <w:noProof/>
        </w:rPr>
        <w:tab/>
        <w:t xml:space="preserve">Thompson, W. W. </w:t>
      </w:r>
      <w:r w:rsidRPr="00572BFC">
        <w:rPr>
          <w:rFonts w:ascii="Times New Roman" w:hAnsi="Times New Roman"/>
          <w:i/>
          <w:iCs/>
          <w:noProof/>
        </w:rPr>
        <w:t>et al.</w:t>
      </w:r>
      <w:r w:rsidRPr="00572BFC">
        <w:rPr>
          <w:rFonts w:ascii="Times New Roman" w:hAnsi="Times New Roman"/>
          <w:noProof/>
        </w:rPr>
        <w:t xml:space="preserve"> Influenza-associated hospitalizations in the United States. </w:t>
      </w:r>
      <w:r w:rsidRPr="00572BFC">
        <w:rPr>
          <w:rFonts w:ascii="Times New Roman" w:hAnsi="Times New Roman"/>
          <w:i/>
          <w:iCs/>
          <w:noProof/>
        </w:rPr>
        <w:t>JAMA</w:t>
      </w:r>
      <w:r w:rsidRPr="00572BFC">
        <w:rPr>
          <w:rFonts w:ascii="Times New Roman" w:hAnsi="Times New Roman"/>
          <w:noProof/>
        </w:rPr>
        <w:t xml:space="preserve"> </w:t>
      </w:r>
      <w:r w:rsidRPr="00572BFC">
        <w:rPr>
          <w:rFonts w:ascii="Times New Roman" w:hAnsi="Times New Roman"/>
          <w:b/>
          <w:bCs/>
          <w:noProof/>
        </w:rPr>
        <w:t>292,</w:t>
      </w:r>
      <w:r w:rsidRPr="00572BFC">
        <w:rPr>
          <w:rFonts w:ascii="Times New Roman" w:hAnsi="Times New Roman"/>
          <w:noProof/>
        </w:rPr>
        <w:t xml:space="preserve"> 1333–1340 (2004).</w:t>
      </w:r>
    </w:p>
    <w:p w14:paraId="694607B2"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48.</w:t>
      </w:r>
      <w:r w:rsidRPr="00572BFC">
        <w:rPr>
          <w:rFonts w:ascii="Times New Roman" w:hAnsi="Times New Roman"/>
          <w:noProof/>
        </w:rPr>
        <w:tab/>
        <w:t xml:space="preserve">Raymond, T. M., Dastur, J. K., Khot, U. P. &amp; Parker, M. C. Hospital stay and return to full activity following laparoscopic colorectal surgery. </w:t>
      </w:r>
      <w:r w:rsidRPr="00572BFC">
        <w:rPr>
          <w:rFonts w:ascii="Times New Roman" w:hAnsi="Times New Roman"/>
          <w:i/>
          <w:iCs/>
          <w:noProof/>
        </w:rPr>
        <w:t>JSLS</w:t>
      </w:r>
      <w:r w:rsidRPr="00572BFC">
        <w:rPr>
          <w:rFonts w:ascii="Times New Roman" w:hAnsi="Times New Roman"/>
          <w:noProof/>
        </w:rPr>
        <w:t xml:space="preserve"> </w:t>
      </w:r>
      <w:r w:rsidRPr="00572BFC">
        <w:rPr>
          <w:rFonts w:ascii="Times New Roman" w:hAnsi="Times New Roman"/>
          <w:b/>
          <w:bCs/>
          <w:noProof/>
        </w:rPr>
        <w:t>12,</w:t>
      </w:r>
      <w:r w:rsidRPr="00572BFC">
        <w:rPr>
          <w:rFonts w:ascii="Times New Roman" w:hAnsi="Times New Roman"/>
          <w:noProof/>
        </w:rPr>
        <w:t xml:space="preserve"> 143–9 (2008).</w:t>
      </w:r>
    </w:p>
    <w:p w14:paraId="3EA21972"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49.</w:t>
      </w:r>
      <w:r w:rsidRPr="00572BFC">
        <w:rPr>
          <w:rFonts w:ascii="Times New Roman" w:hAnsi="Times New Roman"/>
          <w:noProof/>
        </w:rPr>
        <w:tab/>
        <w:t xml:space="preserve">Stinchcombe, a., Kuran, N. &amp; Powell, S. </w:t>
      </w:r>
      <w:r w:rsidRPr="00572BFC">
        <w:rPr>
          <w:rFonts w:ascii="Times New Roman" w:hAnsi="Times New Roman"/>
          <w:i/>
          <w:iCs/>
          <w:noProof/>
        </w:rPr>
        <w:t>Seniors’ falls in Canada: Second report: Key highlights</w:t>
      </w:r>
      <w:r w:rsidRPr="00572BFC">
        <w:rPr>
          <w:rFonts w:ascii="Times New Roman" w:hAnsi="Times New Roman"/>
          <w:noProof/>
        </w:rPr>
        <w:t xml:space="preserve">. </w:t>
      </w:r>
      <w:r w:rsidRPr="00572BFC">
        <w:rPr>
          <w:rFonts w:ascii="Times New Roman" w:hAnsi="Times New Roman"/>
          <w:i/>
          <w:iCs/>
          <w:noProof/>
        </w:rPr>
        <w:t>Chronic Dis. Inj. Can.</w:t>
      </w:r>
      <w:r w:rsidRPr="00572BFC">
        <w:rPr>
          <w:rFonts w:ascii="Times New Roman" w:hAnsi="Times New Roman"/>
          <w:noProof/>
        </w:rPr>
        <w:t xml:space="preserve"> </w:t>
      </w:r>
      <w:r w:rsidRPr="00572BFC">
        <w:rPr>
          <w:rFonts w:ascii="Times New Roman" w:hAnsi="Times New Roman"/>
          <w:b/>
          <w:bCs/>
          <w:noProof/>
        </w:rPr>
        <w:t>34,</w:t>
      </w:r>
      <w:r w:rsidRPr="00572BFC">
        <w:rPr>
          <w:rFonts w:ascii="Times New Roman" w:hAnsi="Times New Roman"/>
          <w:noProof/>
        </w:rPr>
        <w:t xml:space="preserve"> (2014).</w:t>
      </w:r>
    </w:p>
    <w:p w14:paraId="6BB705D3"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50.</w:t>
      </w:r>
      <w:r w:rsidRPr="00572BFC">
        <w:rPr>
          <w:rFonts w:ascii="Times New Roman" w:hAnsi="Times New Roman"/>
          <w:noProof/>
        </w:rPr>
        <w:tab/>
        <w:t xml:space="preserve">Wall, B. T., Dirks, M. L. &amp; Van Loon, L. J. C. Skeletal muscle atrophy during short-term disuse: Implications for age-related sarcopenia. </w:t>
      </w:r>
      <w:r w:rsidRPr="00572BFC">
        <w:rPr>
          <w:rFonts w:ascii="Times New Roman" w:hAnsi="Times New Roman"/>
          <w:i/>
          <w:iCs/>
          <w:noProof/>
        </w:rPr>
        <w:t>Ageing Res. Rev.</w:t>
      </w:r>
      <w:r w:rsidRPr="00572BFC">
        <w:rPr>
          <w:rFonts w:ascii="Times New Roman" w:hAnsi="Times New Roman"/>
          <w:noProof/>
        </w:rPr>
        <w:t xml:space="preserve"> </w:t>
      </w:r>
      <w:r w:rsidRPr="00572BFC">
        <w:rPr>
          <w:rFonts w:ascii="Times New Roman" w:hAnsi="Times New Roman"/>
          <w:b/>
          <w:bCs/>
          <w:noProof/>
        </w:rPr>
        <w:t>12,</w:t>
      </w:r>
      <w:r w:rsidRPr="00572BFC">
        <w:rPr>
          <w:rFonts w:ascii="Times New Roman" w:hAnsi="Times New Roman"/>
          <w:noProof/>
        </w:rPr>
        <w:t xml:space="preserve"> 898–906 (2013).</w:t>
      </w:r>
    </w:p>
    <w:p w14:paraId="67676091"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51.</w:t>
      </w:r>
      <w:r w:rsidRPr="00572BFC">
        <w:rPr>
          <w:rFonts w:ascii="Times New Roman" w:hAnsi="Times New Roman"/>
          <w:noProof/>
        </w:rPr>
        <w:tab/>
        <w:t xml:space="preserve">Ferrando, A. a. </w:t>
      </w:r>
      <w:r w:rsidRPr="00572BFC">
        <w:rPr>
          <w:rFonts w:ascii="Times New Roman" w:hAnsi="Times New Roman"/>
          <w:i/>
          <w:iCs/>
          <w:noProof/>
        </w:rPr>
        <w:t>et al.</w:t>
      </w:r>
      <w:r w:rsidRPr="00572BFC">
        <w:rPr>
          <w:rFonts w:ascii="Times New Roman" w:hAnsi="Times New Roman"/>
          <w:noProof/>
        </w:rPr>
        <w:t xml:space="preserve"> EAA supplementation to increase nitrogen intake improves muscle function during bed rest in the elderly. </w:t>
      </w:r>
      <w:r w:rsidRPr="00572BFC">
        <w:rPr>
          <w:rFonts w:ascii="Times New Roman" w:hAnsi="Times New Roman"/>
          <w:i/>
          <w:iCs/>
          <w:noProof/>
        </w:rPr>
        <w:t>Clin. Nutr.</w:t>
      </w:r>
      <w:r w:rsidRPr="00572BFC">
        <w:rPr>
          <w:rFonts w:ascii="Times New Roman" w:hAnsi="Times New Roman"/>
          <w:noProof/>
        </w:rPr>
        <w:t xml:space="preserve"> </w:t>
      </w:r>
      <w:r w:rsidRPr="00572BFC">
        <w:rPr>
          <w:rFonts w:ascii="Times New Roman" w:hAnsi="Times New Roman"/>
          <w:b/>
          <w:bCs/>
          <w:noProof/>
        </w:rPr>
        <w:t>29,</w:t>
      </w:r>
      <w:r w:rsidRPr="00572BFC">
        <w:rPr>
          <w:rFonts w:ascii="Times New Roman" w:hAnsi="Times New Roman"/>
          <w:noProof/>
        </w:rPr>
        <w:t xml:space="preserve"> 18–23 (2010).</w:t>
      </w:r>
    </w:p>
    <w:p w14:paraId="03F090B1"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52.</w:t>
      </w:r>
      <w:r w:rsidRPr="00572BFC">
        <w:rPr>
          <w:rFonts w:ascii="Times New Roman" w:hAnsi="Times New Roman"/>
          <w:noProof/>
        </w:rPr>
        <w:tab/>
        <w:t xml:space="preserve">Kortebein, P., Ferrando, A. &amp; Lombeida, J. Effect of 10 Days of Bed Rest on Skeletal Muscle in Healthy Older Adults. </w:t>
      </w:r>
      <w:r w:rsidRPr="00572BFC">
        <w:rPr>
          <w:rFonts w:ascii="Times New Roman" w:hAnsi="Times New Roman"/>
          <w:i/>
          <w:iCs/>
          <w:noProof/>
        </w:rPr>
        <w:t>Jama</w:t>
      </w:r>
      <w:r w:rsidRPr="00572BFC">
        <w:rPr>
          <w:rFonts w:ascii="Times New Roman" w:hAnsi="Times New Roman"/>
          <w:noProof/>
        </w:rPr>
        <w:t xml:space="preserve"> 4–6 (2007).</w:t>
      </w:r>
    </w:p>
    <w:p w14:paraId="3EEB8D00"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53.</w:t>
      </w:r>
      <w:r w:rsidRPr="00572BFC">
        <w:rPr>
          <w:rFonts w:ascii="Times New Roman" w:hAnsi="Times New Roman"/>
          <w:noProof/>
        </w:rPr>
        <w:tab/>
        <w:t xml:space="preserve">Drummond, M. J. </w:t>
      </w:r>
      <w:r w:rsidRPr="00572BFC">
        <w:rPr>
          <w:rFonts w:ascii="Times New Roman" w:hAnsi="Times New Roman"/>
          <w:i/>
          <w:iCs/>
          <w:noProof/>
        </w:rPr>
        <w:t>et al.</w:t>
      </w:r>
      <w:r w:rsidRPr="00572BFC">
        <w:rPr>
          <w:rFonts w:ascii="Times New Roman" w:hAnsi="Times New Roman"/>
          <w:noProof/>
        </w:rPr>
        <w:t xml:space="preserve"> Bed rest impairs skeletal muscle amino acid transporter expression, mTORC1 signaling, and protein synthesis in response to essential amino acids in older adults. </w:t>
      </w:r>
      <w:r w:rsidRPr="00572BFC">
        <w:rPr>
          <w:rFonts w:ascii="Times New Roman" w:hAnsi="Times New Roman"/>
          <w:i/>
          <w:iCs/>
          <w:noProof/>
        </w:rPr>
        <w:t>AJP Endocrinol. Metab.</w:t>
      </w:r>
      <w:r w:rsidRPr="00572BFC">
        <w:rPr>
          <w:rFonts w:ascii="Times New Roman" w:hAnsi="Times New Roman"/>
          <w:noProof/>
        </w:rPr>
        <w:t xml:space="preserve"> </w:t>
      </w:r>
      <w:r w:rsidRPr="00572BFC">
        <w:rPr>
          <w:rFonts w:ascii="Times New Roman" w:hAnsi="Times New Roman"/>
          <w:b/>
          <w:bCs/>
          <w:noProof/>
        </w:rPr>
        <w:t>302,</w:t>
      </w:r>
      <w:r w:rsidRPr="00572BFC">
        <w:rPr>
          <w:rFonts w:ascii="Times New Roman" w:hAnsi="Times New Roman"/>
          <w:noProof/>
        </w:rPr>
        <w:t xml:space="preserve"> E1113–E1122 (2012).</w:t>
      </w:r>
    </w:p>
    <w:p w14:paraId="6D8D0367"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54.</w:t>
      </w:r>
      <w:r w:rsidRPr="00572BFC">
        <w:rPr>
          <w:rFonts w:ascii="Times New Roman" w:hAnsi="Times New Roman"/>
          <w:noProof/>
        </w:rPr>
        <w:tab/>
        <w:t xml:space="preserve">Deutz, N. E. P. </w:t>
      </w:r>
      <w:r w:rsidRPr="00572BFC">
        <w:rPr>
          <w:rFonts w:ascii="Times New Roman" w:hAnsi="Times New Roman"/>
          <w:i/>
          <w:iCs/>
          <w:noProof/>
        </w:rPr>
        <w:t>et al.</w:t>
      </w:r>
      <w:r w:rsidRPr="00572BFC">
        <w:rPr>
          <w:rFonts w:ascii="Times New Roman" w:hAnsi="Times New Roman"/>
          <w:noProof/>
        </w:rPr>
        <w:t xml:space="preserve"> Effect of β-hydroxy-β-methylbutyrate (HMB) on lean body mass during 10 days of bed rest in older adults. </w:t>
      </w:r>
      <w:r w:rsidRPr="00572BFC">
        <w:rPr>
          <w:rFonts w:ascii="Times New Roman" w:hAnsi="Times New Roman"/>
          <w:i/>
          <w:iCs/>
          <w:noProof/>
        </w:rPr>
        <w:t>Clin. Nutr.</w:t>
      </w:r>
      <w:r w:rsidRPr="00572BFC">
        <w:rPr>
          <w:rFonts w:ascii="Times New Roman" w:hAnsi="Times New Roman"/>
          <w:noProof/>
        </w:rPr>
        <w:t xml:space="preserve"> </w:t>
      </w:r>
      <w:r w:rsidRPr="00572BFC">
        <w:rPr>
          <w:rFonts w:ascii="Times New Roman" w:hAnsi="Times New Roman"/>
          <w:b/>
          <w:bCs/>
          <w:noProof/>
        </w:rPr>
        <w:t>32,</w:t>
      </w:r>
      <w:r w:rsidRPr="00572BFC">
        <w:rPr>
          <w:rFonts w:ascii="Times New Roman" w:hAnsi="Times New Roman"/>
          <w:noProof/>
        </w:rPr>
        <w:t xml:space="preserve"> 704–712 (2013).</w:t>
      </w:r>
    </w:p>
    <w:p w14:paraId="55C86E6B"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55.</w:t>
      </w:r>
      <w:r w:rsidRPr="00572BFC">
        <w:rPr>
          <w:rFonts w:ascii="Times New Roman" w:hAnsi="Times New Roman"/>
          <w:noProof/>
        </w:rPr>
        <w:tab/>
        <w:t xml:space="preserve">Kortebein, P., Symons, T. B., Ferrando, A. &amp; Paddon-Jones, D. Functional impact of 10 days of bed rest in healthy older adults. </w:t>
      </w:r>
      <w:r w:rsidRPr="00572BFC">
        <w:rPr>
          <w:rFonts w:ascii="Times New Roman" w:hAnsi="Times New Roman"/>
          <w:i/>
          <w:iCs/>
          <w:noProof/>
        </w:rPr>
        <w:t>N. Engl. J. Med.</w:t>
      </w:r>
      <w:r w:rsidRPr="00572BFC">
        <w:rPr>
          <w:rFonts w:ascii="Times New Roman" w:hAnsi="Times New Roman"/>
          <w:noProof/>
        </w:rPr>
        <w:t xml:space="preserve"> </w:t>
      </w:r>
      <w:r w:rsidRPr="00572BFC">
        <w:rPr>
          <w:rFonts w:ascii="Times New Roman" w:hAnsi="Times New Roman"/>
          <w:b/>
          <w:bCs/>
          <w:noProof/>
        </w:rPr>
        <w:t>7,</w:t>
      </w:r>
      <w:r w:rsidRPr="00572BFC">
        <w:rPr>
          <w:rFonts w:ascii="Times New Roman" w:hAnsi="Times New Roman"/>
          <w:noProof/>
        </w:rPr>
        <w:t xml:space="preserve"> 140 (2008).</w:t>
      </w:r>
    </w:p>
    <w:p w14:paraId="0540DD36"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56.</w:t>
      </w:r>
      <w:r w:rsidRPr="00572BFC">
        <w:rPr>
          <w:rFonts w:ascii="Times New Roman" w:hAnsi="Times New Roman"/>
          <w:noProof/>
        </w:rPr>
        <w:tab/>
        <w:t xml:space="preserve">Suetta, C. </w:t>
      </w:r>
      <w:r w:rsidRPr="00572BFC">
        <w:rPr>
          <w:rFonts w:ascii="Times New Roman" w:hAnsi="Times New Roman"/>
          <w:i/>
          <w:iCs/>
          <w:noProof/>
        </w:rPr>
        <w:t>et al.</w:t>
      </w:r>
      <w:r w:rsidRPr="00572BFC">
        <w:rPr>
          <w:rFonts w:ascii="Times New Roman" w:hAnsi="Times New Roman"/>
          <w:noProof/>
        </w:rPr>
        <w:t xml:space="preserve"> Effects of aging on human skeletal muscle after immobilization and retraining. </w:t>
      </w:r>
      <w:r w:rsidRPr="00572BFC">
        <w:rPr>
          <w:rFonts w:ascii="Times New Roman" w:hAnsi="Times New Roman"/>
          <w:i/>
          <w:iCs/>
          <w:noProof/>
        </w:rPr>
        <w:t>J. Appl. Physiol.</w:t>
      </w:r>
      <w:r w:rsidRPr="00572BFC">
        <w:rPr>
          <w:rFonts w:ascii="Times New Roman" w:hAnsi="Times New Roman"/>
          <w:noProof/>
        </w:rPr>
        <w:t xml:space="preserve"> </w:t>
      </w:r>
      <w:r w:rsidRPr="00572BFC">
        <w:rPr>
          <w:rFonts w:ascii="Times New Roman" w:hAnsi="Times New Roman"/>
          <w:b/>
          <w:bCs/>
          <w:noProof/>
        </w:rPr>
        <w:t>107,</w:t>
      </w:r>
      <w:r w:rsidRPr="00572BFC">
        <w:rPr>
          <w:rFonts w:ascii="Times New Roman" w:hAnsi="Times New Roman"/>
          <w:noProof/>
        </w:rPr>
        <w:t xml:space="preserve"> 1172–1180 (2009).</w:t>
      </w:r>
    </w:p>
    <w:p w14:paraId="24730808"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57.</w:t>
      </w:r>
      <w:r w:rsidRPr="00572BFC">
        <w:rPr>
          <w:rFonts w:ascii="Times New Roman" w:hAnsi="Times New Roman"/>
          <w:noProof/>
        </w:rPr>
        <w:tab/>
        <w:t xml:space="preserve">Glover, E. I. </w:t>
      </w:r>
      <w:r w:rsidRPr="00572BFC">
        <w:rPr>
          <w:rFonts w:ascii="Times New Roman" w:hAnsi="Times New Roman"/>
          <w:i/>
          <w:iCs/>
          <w:noProof/>
        </w:rPr>
        <w:t>et al.</w:t>
      </w:r>
      <w:r w:rsidRPr="00572BFC">
        <w:rPr>
          <w:rFonts w:ascii="Times New Roman" w:hAnsi="Times New Roman"/>
          <w:noProof/>
        </w:rPr>
        <w:t xml:space="preserve"> Immobilization induces anabolic resistance in human myofibrillar protein synthesis with low and high dose amino acid infusion. </w:t>
      </w:r>
      <w:r w:rsidRPr="00572BFC">
        <w:rPr>
          <w:rFonts w:ascii="Times New Roman" w:hAnsi="Times New Roman"/>
          <w:i/>
          <w:iCs/>
          <w:noProof/>
        </w:rPr>
        <w:t>J. Physiol.</w:t>
      </w:r>
      <w:r w:rsidRPr="00572BFC">
        <w:rPr>
          <w:rFonts w:ascii="Times New Roman" w:hAnsi="Times New Roman"/>
          <w:noProof/>
        </w:rPr>
        <w:t xml:space="preserve"> </w:t>
      </w:r>
      <w:r w:rsidRPr="00572BFC">
        <w:rPr>
          <w:rFonts w:ascii="Times New Roman" w:hAnsi="Times New Roman"/>
          <w:b/>
          <w:bCs/>
          <w:noProof/>
        </w:rPr>
        <w:t>586,</w:t>
      </w:r>
      <w:r w:rsidRPr="00572BFC">
        <w:rPr>
          <w:rFonts w:ascii="Times New Roman" w:hAnsi="Times New Roman"/>
          <w:noProof/>
        </w:rPr>
        <w:t xml:space="preserve"> 6049–6061 (2008).</w:t>
      </w:r>
    </w:p>
    <w:p w14:paraId="6C07E336"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58.</w:t>
      </w:r>
      <w:r w:rsidRPr="00572BFC">
        <w:rPr>
          <w:rFonts w:ascii="Times New Roman" w:hAnsi="Times New Roman"/>
          <w:noProof/>
        </w:rPr>
        <w:tab/>
        <w:t xml:space="preserve">Moore, D. R. </w:t>
      </w:r>
      <w:r w:rsidRPr="00572BFC">
        <w:rPr>
          <w:rFonts w:ascii="Times New Roman" w:hAnsi="Times New Roman"/>
          <w:i/>
          <w:iCs/>
          <w:noProof/>
        </w:rPr>
        <w:t>et al.</w:t>
      </w:r>
      <w:r w:rsidRPr="00572BFC">
        <w:rPr>
          <w:rFonts w:ascii="Times New Roman" w:hAnsi="Times New Roman"/>
          <w:noProof/>
        </w:rPr>
        <w:t xml:space="preserve"> Protein Ingestion to Stimulate Myofibrillar Protein Synthesis Requires Greater Relative Protein Intakes in Healthy Older Versus Younger Men. </w:t>
      </w:r>
      <w:r w:rsidRPr="00572BFC">
        <w:rPr>
          <w:rFonts w:ascii="Times New Roman" w:hAnsi="Times New Roman"/>
          <w:i/>
          <w:iCs/>
          <w:noProof/>
        </w:rPr>
        <w:t>Journals Gerontol. Ser. A Biol. Sci. Med. Sci.</w:t>
      </w:r>
      <w:r w:rsidRPr="00572BFC">
        <w:rPr>
          <w:rFonts w:ascii="Times New Roman" w:hAnsi="Times New Roman"/>
          <w:noProof/>
        </w:rPr>
        <w:t xml:space="preserve"> 5–8 (2014). doi:10.1093/gerona/glu103</w:t>
      </w:r>
    </w:p>
    <w:p w14:paraId="05A47353"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59.</w:t>
      </w:r>
      <w:r w:rsidRPr="00572BFC">
        <w:rPr>
          <w:rFonts w:ascii="Times New Roman" w:hAnsi="Times New Roman"/>
          <w:noProof/>
        </w:rPr>
        <w:tab/>
        <w:t xml:space="preserve">Smith, G. I. </w:t>
      </w:r>
      <w:r w:rsidRPr="00572BFC">
        <w:rPr>
          <w:rFonts w:ascii="Times New Roman" w:hAnsi="Times New Roman"/>
          <w:i/>
          <w:iCs/>
          <w:noProof/>
        </w:rPr>
        <w:t>et al.</w:t>
      </w:r>
      <w:r w:rsidRPr="00572BFC">
        <w:rPr>
          <w:rFonts w:ascii="Times New Roman" w:hAnsi="Times New Roman"/>
          <w:noProof/>
        </w:rPr>
        <w:t xml:space="preserve"> Sexually dimorphic effect of aging on skeletal muscle protein synthesis. </w:t>
      </w:r>
      <w:r w:rsidRPr="00572BFC">
        <w:rPr>
          <w:rFonts w:ascii="Times New Roman" w:hAnsi="Times New Roman"/>
          <w:i/>
          <w:iCs/>
          <w:noProof/>
        </w:rPr>
        <w:t>Biol. Sex Differ.</w:t>
      </w:r>
      <w:r w:rsidRPr="00572BFC">
        <w:rPr>
          <w:rFonts w:ascii="Times New Roman" w:hAnsi="Times New Roman"/>
          <w:noProof/>
        </w:rPr>
        <w:t xml:space="preserve"> </w:t>
      </w:r>
      <w:r w:rsidRPr="00572BFC">
        <w:rPr>
          <w:rFonts w:ascii="Times New Roman" w:hAnsi="Times New Roman"/>
          <w:b/>
          <w:bCs/>
          <w:noProof/>
        </w:rPr>
        <w:t>3,</w:t>
      </w:r>
      <w:r w:rsidRPr="00572BFC">
        <w:rPr>
          <w:rFonts w:ascii="Times New Roman" w:hAnsi="Times New Roman"/>
          <w:noProof/>
        </w:rPr>
        <w:t xml:space="preserve"> 11 (2012).</w:t>
      </w:r>
    </w:p>
    <w:p w14:paraId="10E8EF6D"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60.</w:t>
      </w:r>
      <w:r w:rsidRPr="00572BFC">
        <w:rPr>
          <w:rFonts w:ascii="Times New Roman" w:hAnsi="Times New Roman"/>
          <w:noProof/>
        </w:rPr>
        <w:tab/>
        <w:t xml:space="preserve">Smith, G. I. </w:t>
      </w:r>
      <w:r w:rsidRPr="00572BFC">
        <w:rPr>
          <w:rFonts w:ascii="Times New Roman" w:hAnsi="Times New Roman"/>
          <w:i/>
          <w:iCs/>
          <w:noProof/>
        </w:rPr>
        <w:t>et al.</w:t>
      </w:r>
      <w:r w:rsidRPr="00572BFC">
        <w:rPr>
          <w:rFonts w:ascii="Times New Roman" w:hAnsi="Times New Roman"/>
          <w:noProof/>
        </w:rPr>
        <w:t xml:space="preserve"> No major sex differences in muscle protein synthesis rates in the postabsorptive state and during hyperinsulinemia-hyperaminoacidemia in middle-aged adults. </w:t>
      </w:r>
      <w:r w:rsidRPr="00572BFC">
        <w:rPr>
          <w:rFonts w:ascii="Times New Roman" w:hAnsi="Times New Roman"/>
          <w:i/>
          <w:iCs/>
          <w:noProof/>
        </w:rPr>
        <w:t>J. Appl. Physiol.</w:t>
      </w:r>
      <w:r w:rsidRPr="00572BFC">
        <w:rPr>
          <w:rFonts w:ascii="Times New Roman" w:hAnsi="Times New Roman"/>
          <w:noProof/>
        </w:rPr>
        <w:t xml:space="preserve"> </w:t>
      </w:r>
      <w:r w:rsidRPr="00572BFC">
        <w:rPr>
          <w:rFonts w:ascii="Times New Roman" w:hAnsi="Times New Roman"/>
          <w:b/>
          <w:bCs/>
          <w:noProof/>
        </w:rPr>
        <w:t>107,</w:t>
      </w:r>
      <w:r w:rsidRPr="00572BFC">
        <w:rPr>
          <w:rFonts w:ascii="Times New Roman" w:hAnsi="Times New Roman"/>
          <w:noProof/>
        </w:rPr>
        <w:t xml:space="preserve"> 1308–1315 (2009).</w:t>
      </w:r>
    </w:p>
    <w:p w14:paraId="5335EBE2"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61.</w:t>
      </w:r>
      <w:r w:rsidRPr="00572BFC">
        <w:rPr>
          <w:rFonts w:ascii="Times New Roman" w:hAnsi="Times New Roman"/>
          <w:noProof/>
        </w:rPr>
        <w:tab/>
        <w:t xml:space="preserve">Yasuda, N., Glover, E. I., Phillips, S. M., Isfort, R. J. &amp; Tarnopolsky, M. a. Sex-based differences in skeletal muscle function and morphology with short-term limb immobilization. </w:t>
      </w:r>
      <w:r w:rsidRPr="00572BFC">
        <w:rPr>
          <w:rFonts w:ascii="Times New Roman" w:hAnsi="Times New Roman"/>
          <w:i/>
          <w:iCs/>
          <w:noProof/>
        </w:rPr>
        <w:t>J. Appl. Physiol.</w:t>
      </w:r>
      <w:r w:rsidRPr="00572BFC">
        <w:rPr>
          <w:rFonts w:ascii="Times New Roman" w:hAnsi="Times New Roman"/>
          <w:noProof/>
        </w:rPr>
        <w:t xml:space="preserve"> </w:t>
      </w:r>
      <w:r w:rsidRPr="00572BFC">
        <w:rPr>
          <w:rFonts w:ascii="Times New Roman" w:hAnsi="Times New Roman"/>
          <w:b/>
          <w:bCs/>
          <w:noProof/>
        </w:rPr>
        <w:t>99,</w:t>
      </w:r>
      <w:r w:rsidRPr="00572BFC">
        <w:rPr>
          <w:rFonts w:ascii="Times New Roman" w:hAnsi="Times New Roman"/>
          <w:noProof/>
        </w:rPr>
        <w:t xml:space="preserve"> 1085–1092 (2005).</w:t>
      </w:r>
    </w:p>
    <w:p w14:paraId="56A71B49"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62.</w:t>
      </w:r>
      <w:r w:rsidRPr="00572BFC">
        <w:rPr>
          <w:rFonts w:ascii="Times New Roman" w:hAnsi="Times New Roman"/>
          <w:noProof/>
        </w:rPr>
        <w:tab/>
        <w:t xml:space="preserve">Smith, G. I. </w:t>
      </w:r>
      <w:r w:rsidRPr="00572BFC">
        <w:rPr>
          <w:rFonts w:ascii="Times New Roman" w:hAnsi="Times New Roman"/>
          <w:i/>
          <w:iCs/>
          <w:noProof/>
        </w:rPr>
        <w:t>et al.</w:t>
      </w:r>
      <w:r w:rsidRPr="00572BFC">
        <w:rPr>
          <w:rFonts w:ascii="Times New Roman" w:hAnsi="Times New Roman"/>
          <w:noProof/>
        </w:rPr>
        <w:t xml:space="preserve"> Differences in muscle protein synthesis and anabolic signaling in the postabsorptive state and in response to food in 65-80 year old men and women. </w:t>
      </w:r>
      <w:r w:rsidRPr="00572BFC">
        <w:rPr>
          <w:rFonts w:ascii="Times New Roman" w:hAnsi="Times New Roman"/>
          <w:i/>
          <w:iCs/>
          <w:noProof/>
        </w:rPr>
        <w:t>PLoS One</w:t>
      </w:r>
      <w:r w:rsidRPr="00572BFC">
        <w:rPr>
          <w:rFonts w:ascii="Times New Roman" w:hAnsi="Times New Roman"/>
          <w:noProof/>
        </w:rPr>
        <w:t xml:space="preserve"> </w:t>
      </w:r>
      <w:r w:rsidRPr="00572BFC">
        <w:rPr>
          <w:rFonts w:ascii="Times New Roman" w:hAnsi="Times New Roman"/>
          <w:b/>
          <w:bCs/>
          <w:noProof/>
        </w:rPr>
        <w:t>3,</w:t>
      </w:r>
      <w:r w:rsidRPr="00572BFC">
        <w:rPr>
          <w:rFonts w:ascii="Times New Roman" w:hAnsi="Times New Roman"/>
          <w:noProof/>
        </w:rPr>
        <w:t xml:space="preserve"> e1875 (2008).</w:t>
      </w:r>
    </w:p>
    <w:p w14:paraId="63CEA5B8"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63.</w:t>
      </w:r>
      <w:r w:rsidRPr="00572BFC">
        <w:rPr>
          <w:rFonts w:ascii="Times New Roman" w:hAnsi="Times New Roman"/>
          <w:noProof/>
        </w:rPr>
        <w:tab/>
        <w:t xml:space="preserve">Volpi, E., Mittendorfer, B., Rasmussen, B. B. &amp; Wolfe, R. R. The Response of Muscle Protein Anabolism to Combined Hyperaminoacidemia and Glucose-Induced Hyperinsulinemia Is Impaired in the Elderly. </w:t>
      </w:r>
      <w:r w:rsidRPr="00572BFC">
        <w:rPr>
          <w:rFonts w:ascii="Times New Roman" w:hAnsi="Times New Roman"/>
          <w:i/>
          <w:iCs/>
          <w:noProof/>
        </w:rPr>
        <w:t>J. Clin. Endocrinol. Metab.</w:t>
      </w:r>
      <w:r w:rsidRPr="00572BFC">
        <w:rPr>
          <w:rFonts w:ascii="Times New Roman" w:hAnsi="Times New Roman"/>
          <w:noProof/>
        </w:rPr>
        <w:t xml:space="preserve"> </w:t>
      </w:r>
      <w:r w:rsidRPr="00572BFC">
        <w:rPr>
          <w:rFonts w:ascii="Times New Roman" w:hAnsi="Times New Roman"/>
          <w:b/>
          <w:bCs/>
          <w:noProof/>
        </w:rPr>
        <w:t>85,</w:t>
      </w:r>
      <w:r w:rsidRPr="00572BFC">
        <w:rPr>
          <w:rFonts w:ascii="Times New Roman" w:hAnsi="Times New Roman"/>
          <w:noProof/>
        </w:rPr>
        <w:t xml:space="preserve"> 4481–4490 (2000).</w:t>
      </w:r>
    </w:p>
    <w:p w14:paraId="09B87AC2"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64.</w:t>
      </w:r>
      <w:r w:rsidRPr="00572BFC">
        <w:rPr>
          <w:rFonts w:ascii="Times New Roman" w:hAnsi="Times New Roman"/>
          <w:noProof/>
        </w:rPr>
        <w:tab/>
        <w:t xml:space="preserve">Hvid, L. </w:t>
      </w:r>
      <w:r w:rsidRPr="00572BFC">
        <w:rPr>
          <w:rFonts w:ascii="Times New Roman" w:hAnsi="Times New Roman"/>
          <w:i/>
          <w:iCs/>
          <w:noProof/>
        </w:rPr>
        <w:t>et al.</w:t>
      </w:r>
      <w:r w:rsidRPr="00572BFC">
        <w:rPr>
          <w:rFonts w:ascii="Times New Roman" w:hAnsi="Times New Roman"/>
          <w:noProof/>
        </w:rPr>
        <w:t xml:space="preserve"> Effects of aging on muscle mechanical function and muscle fiber morphology during short-term immobilization and subsequent retraining. </w:t>
      </w:r>
      <w:r w:rsidRPr="00572BFC">
        <w:rPr>
          <w:rFonts w:ascii="Times New Roman" w:hAnsi="Times New Roman"/>
          <w:i/>
          <w:iCs/>
          <w:noProof/>
        </w:rPr>
        <w:t>J. Appl. Physiol.</w:t>
      </w:r>
      <w:r w:rsidRPr="00572BFC">
        <w:rPr>
          <w:rFonts w:ascii="Times New Roman" w:hAnsi="Times New Roman"/>
          <w:noProof/>
        </w:rPr>
        <w:t xml:space="preserve"> </w:t>
      </w:r>
      <w:r w:rsidRPr="00572BFC">
        <w:rPr>
          <w:rFonts w:ascii="Times New Roman" w:hAnsi="Times New Roman"/>
          <w:b/>
          <w:bCs/>
          <w:noProof/>
        </w:rPr>
        <w:t>109,</w:t>
      </w:r>
      <w:r w:rsidRPr="00572BFC">
        <w:rPr>
          <w:rFonts w:ascii="Times New Roman" w:hAnsi="Times New Roman"/>
          <w:noProof/>
        </w:rPr>
        <w:t xml:space="preserve"> 1628–1634 (2010).</w:t>
      </w:r>
    </w:p>
    <w:p w14:paraId="054A2212"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65.</w:t>
      </w:r>
      <w:r w:rsidRPr="00572BFC">
        <w:rPr>
          <w:rFonts w:ascii="Times New Roman" w:hAnsi="Times New Roman"/>
          <w:noProof/>
        </w:rPr>
        <w:tab/>
        <w:t xml:space="preserve">Hvid, L. G., Ortenblad, N., Aagaard, P., Kjaer, M. &amp; Suetta, C. Effects of ageing on single muscle fibre contractile function following short-term immobilisation. </w:t>
      </w:r>
      <w:r w:rsidRPr="00572BFC">
        <w:rPr>
          <w:rFonts w:ascii="Times New Roman" w:hAnsi="Times New Roman"/>
          <w:i/>
          <w:iCs/>
          <w:noProof/>
        </w:rPr>
        <w:t>J. Physiol.</w:t>
      </w:r>
      <w:r w:rsidRPr="00572BFC">
        <w:rPr>
          <w:rFonts w:ascii="Times New Roman" w:hAnsi="Times New Roman"/>
          <w:noProof/>
        </w:rPr>
        <w:t xml:space="preserve"> </w:t>
      </w:r>
      <w:r w:rsidRPr="00572BFC">
        <w:rPr>
          <w:rFonts w:ascii="Times New Roman" w:hAnsi="Times New Roman"/>
          <w:b/>
          <w:bCs/>
          <w:noProof/>
        </w:rPr>
        <w:t>589,</w:t>
      </w:r>
      <w:r w:rsidRPr="00572BFC">
        <w:rPr>
          <w:rFonts w:ascii="Times New Roman" w:hAnsi="Times New Roman"/>
          <w:noProof/>
        </w:rPr>
        <w:t xml:space="preserve"> 4745–57 (2011).</w:t>
      </w:r>
    </w:p>
    <w:p w14:paraId="0809CBDB"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66.</w:t>
      </w:r>
      <w:r w:rsidRPr="00572BFC">
        <w:rPr>
          <w:rFonts w:ascii="Times New Roman" w:hAnsi="Times New Roman"/>
          <w:noProof/>
        </w:rPr>
        <w:tab/>
        <w:t xml:space="preserve">Brown, C. J., Friedkin, R. J. &amp; Inouye, S. K. Prevalence and outcomes of low mobility in hospitalized older patients. </w:t>
      </w:r>
      <w:r w:rsidRPr="00572BFC">
        <w:rPr>
          <w:rFonts w:ascii="Times New Roman" w:hAnsi="Times New Roman"/>
          <w:i/>
          <w:iCs/>
          <w:noProof/>
        </w:rPr>
        <w:t>J. Am. Geriatr. Soc.</w:t>
      </w:r>
      <w:r w:rsidRPr="00572BFC">
        <w:rPr>
          <w:rFonts w:ascii="Times New Roman" w:hAnsi="Times New Roman"/>
          <w:noProof/>
        </w:rPr>
        <w:t xml:space="preserve"> </w:t>
      </w:r>
      <w:r w:rsidRPr="00572BFC">
        <w:rPr>
          <w:rFonts w:ascii="Times New Roman" w:hAnsi="Times New Roman"/>
          <w:b/>
          <w:bCs/>
          <w:noProof/>
        </w:rPr>
        <w:t>52,</w:t>
      </w:r>
      <w:r w:rsidRPr="00572BFC">
        <w:rPr>
          <w:rFonts w:ascii="Times New Roman" w:hAnsi="Times New Roman"/>
          <w:noProof/>
        </w:rPr>
        <w:t xml:space="preserve"> 1263–1270 (2004).</w:t>
      </w:r>
    </w:p>
    <w:p w14:paraId="7ADE56B0"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67.</w:t>
      </w:r>
      <w:r w:rsidRPr="00572BFC">
        <w:rPr>
          <w:rFonts w:ascii="Times New Roman" w:hAnsi="Times New Roman"/>
          <w:noProof/>
        </w:rPr>
        <w:tab/>
        <w:t xml:space="preserve">Brown, C. J., Redden, D. T., Flood, K. L. &amp; Allman, R. M. The underrecognized epidemic of low mobility during hospitalization of older adults. </w:t>
      </w:r>
      <w:r w:rsidRPr="00572BFC">
        <w:rPr>
          <w:rFonts w:ascii="Times New Roman" w:hAnsi="Times New Roman"/>
          <w:i/>
          <w:iCs/>
          <w:noProof/>
        </w:rPr>
        <w:t>J. Am. Geriatr. Soc.</w:t>
      </w:r>
      <w:r w:rsidRPr="00572BFC">
        <w:rPr>
          <w:rFonts w:ascii="Times New Roman" w:hAnsi="Times New Roman"/>
          <w:noProof/>
        </w:rPr>
        <w:t xml:space="preserve"> </w:t>
      </w:r>
      <w:r w:rsidRPr="00572BFC">
        <w:rPr>
          <w:rFonts w:ascii="Times New Roman" w:hAnsi="Times New Roman"/>
          <w:b/>
          <w:bCs/>
          <w:noProof/>
        </w:rPr>
        <w:t>57,</w:t>
      </w:r>
      <w:r w:rsidRPr="00572BFC">
        <w:rPr>
          <w:rFonts w:ascii="Times New Roman" w:hAnsi="Times New Roman"/>
          <w:noProof/>
        </w:rPr>
        <w:t xml:space="preserve"> 1660–1665 (2009).</w:t>
      </w:r>
    </w:p>
    <w:p w14:paraId="3EB09EBD"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68.</w:t>
      </w:r>
      <w:r w:rsidRPr="00572BFC">
        <w:rPr>
          <w:rFonts w:ascii="Times New Roman" w:hAnsi="Times New Roman"/>
          <w:noProof/>
        </w:rPr>
        <w:tab/>
        <w:t xml:space="preserve">Pedersen, M. M. </w:t>
      </w:r>
      <w:r w:rsidRPr="00572BFC">
        <w:rPr>
          <w:rFonts w:ascii="Times New Roman" w:hAnsi="Times New Roman"/>
          <w:i/>
          <w:iCs/>
          <w:noProof/>
        </w:rPr>
        <w:t>et al.</w:t>
      </w:r>
      <w:r w:rsidRPr="00572BFC">
        <w:rPr>
          <w:rFonts w:ascii="Times New Roman" w:hAnsi="Times New Roman"/>
          <w:noProof/>
        </w:rPr>
        <w:t xml:space="preserve"> Twenty-four-hour mobility during acute hospitalization in older medical patients. </w:t>
      </w:r>
      <w:r w:rsidRPr="00572BFC">
        <w:rPr>
          <w:rFonts w:ascii="Times New Roman" w:hAnsi="Times New Roman"/>
          <w:i/>
          <w:iCs/>
          <w:noProof/>
        </w:rPr>
        <w:t>Journals Gerontol. - Ser. A Biol. Sci. Med. Sci.</w:t>
      </w:r>
      <w:r w:rsidRPr="00572BFC">
        <w:rPr>
          <w:rFonts w:ascii="Times New Roman" w:hAnsi="Times New Roman"/>
          <w:noProof/>
        </w:rPr>
        <w:t xml:space="preserve"> </w:t>
      </w:r>
      <w:r w:rsidRPr="00572BFC">
        <w:rPr>
          <w:rFonts w:ascii="Times New Roman" w:hAnsi="Times New Roman"/>
          <w:b/>
          <w:bCs/>
          <w:noProof/>
        </w:rPr>
        <w:t>68,</w:t>
      </w:r>
      <w:r w:rsidRPr="00572BFC">
        <w:rPr>
          <w:rFonts w:ascii="Times New Roman" w:hAnsi="Times New Roman"/>
          <w:noProof/>
        </w:rPr>
        <w:t xml:space="preserve"> 331–337 (2013).</w:t>
      </w:r>
    </w:p>
    <w:p w14:paraId="18C69BCB"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69.</w:t>
      </w:r>
      <w:r w:rsidRPr="00572BFC">
        <w:rPr>
          <w:rFonts w:ascii="Times New Roman" w:hAnsi="Times New Roman"/>
          <w:noProof/>
        </w:rPr>
        <w:tab/>
        <w:t xml:space="preserve">Fisher, S. R., Kuo, Y., Graham, J. E., Ottenbacher, K. J. &amp; Ostir, G. V. Early ambulation and length of stay in older adults hospitalized for acute illness. </w:t>
      </w:r>
      <w:r w:rsidRPr="00572BFC">
        <w:rPr>
          <w:rFonts w:ascii="Times New Roman" w:hAnsi="Times New Roman"/>
          <w:i/>
          <w:iCs/>
          <w:noProof/>
        </w:rPr>
        <w:t>Arch. Intern. Med.</w:t>
      </w:r>
      <w:r w:rsidRPr="00572BFC">
        <w:rPr>
          <w:rFonts w:ascii="Times New Roman" w:hAnsi="Times New Roman"/>
          <w:noProof/>
        </w:rPr>
        <w:t xml:space="preserve"> </w:t>
      </w:r>
      <w:r w:rsidRPr="00572BFC">
        <w:rPr>
          <w:rFonts w:ascii="Times New Roman" w:hAnsi="Times New Roman"/>
          <w:b/>
          <w:bCs/>
          <w:noProof/>
        </w:rPr>
        <w:t>170,</w:t>
      </w:r>
      <w:r w:rsidRPr="00572BFC">
        <w:rPr>
          <w:rFonts w:ascii="Times New Roman" w:hAnsi="Times New Roman"/>
          <w:noProof/>
        </w:rPr>
        <w:t xml:space="preserve"> 1942–1943 (2010).</w:t>
      </w:r>
    </w:p>
    <w:p w14:paraId="16537A23"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70.</w:t>
      </w:r>
      <w:r w:rsidRPr="00572BFC">
        <w:rPr>
          <w:rFonts w:ascii="Times New Roman" w:hAnsi="Times New Roman"/>
          <w:noProof/>
        </w:rPr>
        <w:tab/>
        <w:t xml:space="preserve">Shadmi, E. &amp; Zisberg, A. In-hospital mobility and length of stay. </w:t>
      </w:r>
      <w:r w:rsidRPr="00572BFC">
        <w:rPr>
          <w:rFonts w:ascii="Times New Roman" w:hAnsi="Times New Roman"/>
          <w:i/>
          <w:iCs/>
          <w:noProof/>
        </w:rPr>
        <w:t>Arch. Intern. Med.</w:t>
      </w:r>
      <w:r w:rsidRPr="00572BFC">
        <w:rPr>
          <w:rFonts w:ascii="Times New Roman" w:hAnsi="Times New Roman"/>
          <w:noProof/>
        </w:rPr>
        <w:t xml:space="preserve"> </w:t>
      </w:r>
      <w:r w:rsidRPr="00572BFC">
        <w:rPr>
          <w:rFonts w:ascii="Times New Roman" w:hAnsi="Times New Roman"/>
          <w:b/>
          <w:bCs/>
          <w:noProof/>
        </w:rPr>
        <w:t>171,</w:t>
      </w:r>
      <w:r w:rsidRPr="00572BFC">
        <w:rPr>
          <w:rFonts w:ascii="Times New Roman" w:hAnsi="Times New Roman"/>
          <w:noProof/>
        </w:rPr>
        <w:t xml:space="preserve"> 1298; author reply 1298–1299 (2011).</w:t>
      </w:r>
    </w:p>
    <w:p w14:paraId="1B815DD2"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71.</w:t>
      </w:r>
      <w:r w:rsidRPr="00572BFC">
        <w:rPr>
          <w:rFonts w:ascii="Times New Roman" w:hAnsi="Times New Roman"/>
          <w:noProof/>
        </w:rPr>
        <w:tab/>
        <w:t xml:space="preserve">Fryer, C., Mackintosh, S., Batchelor, F., Hill, K. &amp; Said, C. The effect of limited english proficiency on falls risk and falls prevention after stroke. </w:t>
      </w:r>
      <w:r w:rsidRPr="00572BFC">
        <w:rPr>
          <w:rFonts w:ascii="Times New Roman" w:hAnsi="Times New Roman"/>
          <w:i/>
          <w:iCs/>
          <w:noProof/>
        </w:rPr>
        <w:t>Age Ageing</w:t>
      </w:r>
      <w:r w:rsidRPr="00572BFC">
        <w:rPr>
          <w:rFonts w:ascii="Times New Roman" w:hAnsi="Times New Roman"/>
          <w:noProof/>
        </w:rPr>
        <w:t xml:space="preserve"> </w:t>
      </w:r>
      <w:r w:rsidRPr="00572BFC">
        <w:rPr>
          <w:rFonts w:ascii="Times New Roman" w:hAnsi="Times New Roman"/>
          <w:b/>
          <w:bCs/>
          <w:noProof/>
        </w:rPr>
        <w:t>41,</w:t>
      </w:r>
      <w:r w:rsidRPr="00572BFC">
        <w:rPr>
          <w:rFonts w:ascii="Times New Roman" w:hAnsi="Times New Roman"/>
          <w:noProof/>
        </w:rPr>
        <w:t xml:space="preserve"> 104–107 (2012).</w:t>
      </w:r>
    </w:p>
    <w:p w14:paraId="4CF8F13E"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72.</w:t>
      </w:r>
      <w:r w:rsidRPr="00572BFC">
        <w:rPr>
          <w:rFonts w:ascii="Times New Roman" w:hAnsi="Times New Roman"/>
          <w:noProof/>
        </w:rPr>
        <w:tab/>
        <w:t xml:space="preserve">Fisher, S. </w:t>
      </w:r>
      <w:r w:rsidRPr="00572BFC">
        <w:rPr>
          <w:rFonts w:ascii="Times New Roman" w:hAnsi="Times New Roman"/>
          <w:i/>
          <w:iCs/>
          <w:noProof/>
        </w:rPr>
        <w:t>et al.</w:t>
      </w:r>
      <w:r w:rsidRPr="00572BFC">
        <w:rPr>
          <w:rFonts w:ascii="Times New Roman" w:hAnsi="Times New Roman"/>
          <w:noProof/>
        </w:rPr>
        <w:t xml:space="preserve"> Ambulatory Activity of Older Adults Hospitalized with Acute Medical Illness. </w:t>
      </w:r>
      <w:r w:rsidRPr="00572BFC">
        <w:rPr>
          <w:rFonts w:ascii="Times New Roman" w:hAnsi="Times New Roman"/>
          <w:i/>
          <w:iCs/>
          <w:noProof/>
        </w:rPr>
        <w:t>J. …</w:t>
      </w:r>
      <w:r w:rsidRPr="00572BFC">
        <w:rPr>
          <w:rFonts w:ascii="Times New Roman" w:hAnsi="Times New Roman"/>
          <w:noProof/>
        </w:rPr>
        <w:t xml:space="preserve"> </w:t>
      </w:r>
      <w:r w:rsidRPr="00572BFC">
        <w:rPr>
          <w:rFonts w:ascii="Times New Roman" w:hAnsi="Times New Roman"/>
          <w:b/>
          <w:bCs/>
          <w:noProof/>
        </w:rPr>
        <w:t>59,</w:t>
      </w:r>
      <w:r w:rsidRPr="00572BFC">
        <w:rPr>
          <w:rFonts w:ascii="Times New Roman" w:hAnsi="Times New Roman"/>
          <w:noProof/>
        </w:rPr>
        <w:t xml:space="preserve"> 91–95 (2011).</w:t>
      </w:r>
    </w:p>
    <w:p w14:paraId="054BBAF5"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73.</w:t>
      </w:r>
      <w:r w:rsidRPr="00572BFC">
        <w:rPr>
          <w:rFonts w:ascii="Times New Roman" w:hAnsi="Times New Roman"/>
          <w:noProof/>
        </w:rPr>
        <w:tab/>
        <w:t xml:space="preserve">Covinsky, K. E. </w:t>
      </w:r>
      <w:r w:rsidRPr="00572BFC">
        <w:rPr>
          <w:rFonts w:ascii="Times New Roman" w:hAnsi="Times New Roman"/>
          <w:i/>
          <w:iCs/>
          <w:noProof/>
        </w:rPr>
        <w:t>et al.</w:t>
      </w:r>
      <w:r w:rsidRPr="00572BFC">
        <w:rPr>
          <w:rFonts w:ascii="Times New Roman" w:hAnsi="Times New Roman"/>
          <w:noProof/>
        </w:rPr>
        <w:t xml:space="preserve"> Loss of independence in activities of daily living in older adults hospitalized with medical illnesses: Increased vulnerability with age. </w:t>
      </w:r>
      <w:r w:rsidRPr="00572BFC">
        <w:rPr>
          <w:rFonts w:ascii="Times New Roman" w:hAnsi="Times New Roman"/>
          <w:i/>
          <w:iCs/>
          <w:noProof/>
        </w:rPr>
        <w:t>J. Am. Geriatr. Soc.</w:t>
      </w:r>
      <w:r w:rsidRPr="00572BFC">
        <w:rPr>
          <w:rFonts w:ascii="Times New Roman" w:hAnsi="Times New Roman"/>
          <w:noProof/>
        </w:rPr>
        <w:t xml:space="preserve"> </w:t>
      </w:r>
      <w:r w:rsidRPr="00572BFC">
        <w:rPr>
          <w:rFonts w:ascii="Times New Roman" w:hAnsi="Times New Roman"/>
          <w:b/>
          <w:bCs/>
          <w:noProof/>
        </w:rPr>
        <w:t>51,</w:t>
      </w:r>
      <w:r w:rsidRPr="00572BFC">
        <w:rPr>
          <w:rFonts w:ascii="Times New Roman" w:hAnsi="Times New Roman"/>
          <w:noProof/>
        </w:rPr>
        <w:t xml:space="preserve"> 451–458 (2003).</w:t>
      </w:r>
    </w:p>
    <w:p w14:paraId="454FFDE7"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74.</w:t>
      </w:r>
      <w:r w:rsidRPr="00572BFC">
        <w:rPr>
          <w:rFonts w:ascii="Times New Roman" w:hAnsi="Times New Roman"/>
          <w:noProof/>
        </w:rPr>
        <w:tab/>
        <w:t xml:space="preserve">Zisberg, A. </w:t>
      </w:r>
      <w:r w:rsidRPr="00572BFC">
        <w:rPr>
          <w:rFonts w:ascii="Times New Roman" w:hAnsi="Times New Roman"/>
          <w:i/>
          <w:iCs/>
          <w:noProof/>
        </w:rPr>
        <w:t>et al.</w:t>
      </w:r>
      <w:r w:rsidRPr="00572BFC">
        <w:rPr>
          <w:rFonts w:ascii="Times New Roman" w:hAnsi="Times New Roman"/>
          <w:noProof/>
        </w:rPr>
        <w:t xml:space="preserve"> Low mobility during hospitalization and functional decline in older adults. </w:t>
      </w:r>
      <w:r w:rsidRPr="00572BFC">
        <w:rPr>
          <w:rFonts w:ascii="Times New Roman" w:hAnsi="Times New Roman"/>
          <w:i/>
          <w:iCs/>
          <w:noProof/>
        </w:rPr>
        <w:t>J. Am. Geriatr. Soc.</w:t>
      </w:r>
      <w:r w:rsidRPr="00572BFC">
        <w:rPr>
          <w:rFonts w:ascii="Times New Roman" w:hAnsi="Times New Roman"/>
          <w:noProof/>
        </w:rPr>
        <w:t xml:space="preserve"> </w:t>
      </w:r>
      <w:r w:rsidRPr="00572BFC">
        <w:rPr>
          <w:rFonts w:ascii="Times New Roman" w:hAnsi="Times New Roman"/>
          <w:b/>
          <w:bCs/>
          <w:noProof/>
        </w:rPr>
        <w:t>59,</w:t>
      </w:r>
      <w:r w:rsidRPr="00572BFC">
        <w:rPr>
          <w:rFonts w:ascii="Times New Roman" w:hAnsi="Times New Roman"/>
          <w:noProof/>
        </w:rPr>
        <w:t xml:space="preserve"> 266–273 (2011).</w:t>
      </w:r>
    </w:p>
    <w:p w14:paraId="28CC69E6"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75.</w:t>
      </w:r>
      <w:r w:rsidRPr="00572BFC">
        <w:rPr>
          <w:rFonts w:ascii="Times New Roman" w:hAnsi="Times New Roman"/>
          <w:noProof/>
        </w:rPr>
        <w:tab/>
        <w:t xml:space="preserve">Walhin, J. J.-P., Richardson, J. J. D., Betts, J. a &amp; Thompson, D. Exercise counteracts the effects of short-term overfeeding and reduced physical activity independent of energy imbalance in healthy young men. </w:t>
      </w:r>
      <w:r w:rsidRPr="00572BFC">
        <w:rPr>
          <w:rFonts w:ascii="Times New Roman" w:hAnsi="Times New Roman"/>
          <w:i/>
          <w:iCs/>
          <w:noProof/>
        </w:rPr>
        <w:t>J. Physiol.</w:t>
      </w:r>
      <w:r w:rsidRPr="00572BFC">
        <w:rPr>
          <w:rFonts w:ascii="Times New Roman" w:hAnsi="Times New Roman"/>
          <w:noProof/>
        </w:rPr>
        <w:t xml:space="preserve"> </w:t>
      </w:r>
      <w:r w:rsidRPr="00572BFC">
        <w:rPr>
          <w:rFonts w:ascii="Times New Roman" w:hAnsi="Times New Roman"/>
          <w:b/>
          <w:bCs/>
          <w:noProof/>
        </w:rPr>
        <w:t>591,</w:t>
      </w:r>
      <w:r w:rsidRPr="00572BFC">
        <w:rPr>
          <w:rFonts w:ascii="Times New Roman" w:hAnsi="Times New Roman"/>
          <w:noProof/>
        </w:rPr>
        <w:t xml:space="preserve"> 1–38 (2013).</w:t>
      </w:r>
    </w:p>
    <w:p w14:paraId="4507745F"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76.</w:t>
      </w:r>
      <w:r w:rsidRPr="00572BFC">
        <w:rPr>
          <w:rFonts w:ascii="Times New Roman" w:hAnsi="Times New Roman"/>
          <w:noProof/>
        </w:rPr>
        <w:tab/>
        <w:t xml:space="preserve">Tudor-Locke, C., Craig, C. L., Thyfault, J. P. &amp; Spence, J. C. A step-defined sedentary lifestyle index: &amp;lt;5000 steps/day. </w:t>
      </w:r>
      <w:r w:rsidRPr="00572BFC">
        <w:rPr>
          <w:rFonts w:ascii="Times New Roman" w:hAnsi="Times New Roman"/>
          <w:i/>
          <w:iCs/>
          <w:noProof/>
        </w:rPr>
        <w:t>Appl. Physiol. Nutr. Metab.</w:t>
      </w:r>
      <w:r w:rsidRPr="00572BFC">
        <w:rPr>
          <w:rFonts w:ascii="Times New Roman" w:hAnsi="Times New Roman"/>
          <w:noProof/>
        </w:rPr>
        <w:t xml:space="preserve"> </w:t>
      </w:r>
      <w:r w:rsidRPr="00572BFC">
        <w:rPr>
          <w:rFonts w:ascii="Times New Roman" w:hAnsi="Times New Roman"/>
          <w:b/>
          <w:bCs/>
          <w:noProof/>
        </w:rPr>
        <w:t>38,</w:t>
      </w:r>
      <w:r w:rsidRPr="00572BFC">
        <w:rPr>
          <w:rFonts w:ascii="Times New Roman" w:hAnsi="Times New Roman"/>
          <w:noProof/>
        </w:rPr>
        <w:t xml:space="preserve"> 100–114 (2013).</w:t>
      </w:r>
    </w:p>
    <w:p w14:paraId="4A0835DB"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77.</w:t>
      </w:r>
      <w:r w:rsidRPr="00572BFC">
        <w:rPr>
          <w:rFonts w:ascii="Times New Roman" w:hAnsi="Times New Roman"/>
          <w:noProof/>
        </w:rPr>
        <w:tab/>
        <w:t xml:space="preserve">Mikus, C. R. </w:t>
      </w:r>
      <w:r w:rsidRPr="00572BFC">
        <w:rPr>
          <w:rFonts w:ascii="Times New Roman" w:hAnsi="Times New Roman"/>
          <w:i/>
          <w:iCs/>
          <w:noProof/>
        </w:rPr>
        <w:t>et al.</w:t>
      </w:r>
      <w:r w:rsidRPr="00572BFC">
        <w:rPr>
          <w:rFonts w:ascii="Times New Roman" w:hAnsi="Times New Roman"/>
          <w:noProof/>
        </w:rPr>
        <w:t xml:space="preserve"> Lowering physical activity impairs glycemic control in healthy volunteers. </w:t>
      </w:r>
      <w:r w:rsidRPr="00572BFC">
        <w:rPr>
          <w:rFonts w:ascii="Times New Roman" w:hAnsi="Times New Roman"/>
          <w:i/>
          <w:iCs/>
          <w:noProof/>
        </w:rPr>
        <w:t>Med. Sci. Sports Exerc.</w:t>
      </w:r>
      <w:r w:rsidRPr="00572BFC">
        <w:rPr>
          <w:rFonts w:ascii="Times New Roman" w:hAnsi="Times New Roman"/>
          <w:noProof/>
        </w:rPr>
        <w:t xml:space="preserve"> </w:t>
      </w:r>
      <w:r w:rsidRPr="00572BFC">
        <w:rPr>
          <w:rFonts w:ascii="Times New Roman" w:hAnsi="Times New Roman"/>
          <w:b/>
          <w:bCs/>
          <w:noProof/>
        </w:rPr>
        <w:t>44,</w:t>
      </w:r>
      <w:r w:rsidRPr="00572BFC">
        <w:rPr>
          <w:rFonts w:ascii="Times New Roman" w:hAnsi="Times New Roman"/>
          <w:noProof/>
        </w:rPr>
        <w:t xml:space="preserve"> 225–231 (2012).</w:t>
      </w:r>
    </w:p>
    <w:p w14:paraId="3806E821"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78.</w:t>
      </w:r>
      <w:r w:rsidRPr="00572BFC">
        <w:rPr>
          <w:rFonts w:ascii="Times New Roman" w:hAnsi="Times New Roman"/>
          <w:noProof/>
        </w:rPr>
        <w:tab/>
        <w:t xml:space="preserve">Krogh-Madsen, R. </w:t>
      </w:r>
      <w:r w:rsidRPr="00572BFC">
        <w:rPr>
          <w:rFonts w:ascii="Times New Roman" w:hAnsi="Times New Roman"/>
          <w:i/>
          <w:iCs/>
          <w:noProof/>
        </w:rPr>
        <w:t>et al.</w:t>
      </w:r>
      <w:r w:rsidRPr="00572BFC">
        <w:rPr>
          <w:rFonts w:ascii="Times New Roman" w:hAnsi="Times New Roman"/>
          <w:noProof/>
        </w:rPr>
        <w:t xml:space="preserve"> A 2-wk reduction of ambulatory activity attenuates peripheral insulin sensitivity. </w:t>
      </w:r>
      <w:r w:rsidRPr="00572BFC">
        <w:rPr>
          <w:rFonts w:ascii="Times New Roman" w:hAnsi="Times New Roman"/>
          <w:i/>
          <w:iCs/>
          <w:noProof/>
        </w:rPr>
        <w:t>J. Appl. Physiol.</w:t>
      </w:r>
      <w:r w:rsidRPr="00572BFC">
        <w:rPr>
          <w:rFonts w:ascii="Times New Roman" w:hAnsi="Times New Roman"/>
          <w:noProof/>
        </w:rPr>
        <w:t xml:space="preserve"> </w:t>
      </w:r>
      <w:r w:rsidRPr="00572BFC">
        <w:rPr>
          <w:rFonts w:ascii="Times New Roman" w:hAnsi="Times New Roman"/>
          <w:b/>
          <w:bCs/>
          <w:noProof/>
        </w:rPr>
        <w:t>108,</w:t>
      </w:r>
      <w:r w:rsidRPr="00572BFC">
        <w:rPr>
          <w:rFonts w:ascii="Times New Roman" w:hAnsi="Times New Roman"/>
          <w:noProof/>
        </w:rPr>
        <w:t xml:space="preserve"> 1034–1040 (2010).</w:t>
      </w:r>
    </w:p>
    <w:p w14:paraId="7C03FE18"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79.</w:t>
      </w:r>
      <w:r w:rsidRPr="00572BFC">
        <w:rPr>
          <w:rFonts w:ascii="Times New Roman" w:hAnsi="Times New Roman"/>
          <w:noProof/>
        </w:rPr>
        <w:tab/>
        <w:t xml:space="preserve">Knudsen, S. H. </w:t>
      </w:r>
      <w:r w:rsidRPr="00572BFC">
        <w:rPr>
          <w:rFonts w:ascii="Times New Roman" w:hAnsi="Times New Roman"/>
          <w:i/>
          <w:iCs/>
          <w:noProof/>
        </w:rPr>
        <w:t>et al.</w:t>
      </w:r>
      <w:r w:rsidRPr="00572BFC">
        <w:rPr>
          <w:rFonts w:ascii="Times New Roman" w:hAnsi="Times New Roman"/>
          <w:noProof/>
        </w:rPr>
        <w:t xml:space="preserve"> Changes in insulin sensitivity precede changes in body composition during 14 days of step reduction combined with overfeeding in healthy young men. </w:t>
      </w:r>
      <w:r w:rsidRPr="00572BFC">
        <w:rPr>
          <w:rFonts w:ascii="Times New Roman" w:hAnsi="Times New Roman"/>
          <w:i/>
          <w:iCs/>
          <w:noProof/>
        </w:rPr>
        <w:t>J. Appl. Physiol.</w:t>
      </w:r>
      <w:r w:rsidRPr="00572BFC">
        <w:rPr>
          <w:rFonts w:ascii="Times New Roman" w:hAnsi="Times New Roman"/>
          <w:noProof/>
        </w:rPr>
        <w:t xml:space="preserve"> </w:t>
      </w:r>
      <w:r w:rsidRPr="00572BFC">
        <w:rPr>
          <w:rFonts w:ascii="Times New Roman" w:hAnsi="Times New Roman"/>
          <w:b/>
          <w:bCs/>
          <w:noProof/>
        </w:rPr>
        <w:t>113,</w:t>
      </w:r>
      <w:r w:rsidRPr="00572BFC">
        <w:rPr>
          <w:rFonts w:ascii="Times New Roman" w:hAnsi="Times New Roman"/>
          <w:noProof/>
        </w:rPr>
        <w:t xml:space="preserve"> 7–15 (2012).</w:t>
      </w:r>
    </w:p>
    <w:p w14:paraId="4037E331"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80.</w:t>
      </w:r>
      <w:r w:rsidRPr="00572BFC">
        <w:rPr>
          <w:rFonts w:ascii="Times New Roman" w:hAnsi="Times New Roman"/>
          <w:noProof/>
        </w:rPr>
        <w:tab/>
        <w:t xml:space="preserve">Olsen, R. H., Krogh-Madsen, R., Thomsen, C., Booth, F. W. &amp; Pedersen, B. K. Metabolic responses to reduced daily steps in healthy nonexercising men. </w:t>
      </w:r>
      <w:r w:rsidRPr="00572BFC">
        <w:rPr>
          <w:rFonts w:ascii="Times New Roman" w:hAnsi="Times New Roman"/>
          <w:i/>
          <w:iCs/>
          <w:noProof/>
        </w:rPr>
        <w:t>JAMA</w:t>
      </w:r>
      <w:r w:rsidRPr="00572BFC">
        <w:rPr>
          <w:rFonts w:ascii="Times New Roman" w:hAnsi="Times New Roman"/>
          <w:noProof/>
        </w:rPr>
        <w:t xml:space="preserve"> </w:t>
      </w:r>
      <w:r w:rsidRPr="00572BFC">
        <w:rPr>
          <w:rFonts w:ascii="Times New Roman" w:hAnsi="Times New Roman"/>
          <w:b/>
          <w:bCs/>
          <w:noProof/>
        </w:rPr>
        <w:t>299,</w:t>
      </w:r>
      <w:r w:rsidRPr="00572BFC">
        <w:rPr>
          <w:rFonts w:ascii="Times New Roman" w:hAnsi="Times New Roman"/>
          <w:noProof/>
        </w:rPr>
        <w:t xml:space="preserve"> 1261–1263 (2008).</w:t>
      </w:r>
    </w:p>
    <w:p w14:paraId="3B13AE09"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81.</w:t>
      </w:r>
      <w:r w:rsidRPr="00572BFC">
        <w:rPr>
          <w:rFonts w:ascii="Times New Roman" w:hAnsi="Times New Roman"/>
          <w:noProof/>
        </w:rPr>
        <w:tab/>
        <w:t xml:space="preserve">Thyfault, J. P. &amp; Krogh-Madsen, R. Metabolic disruptions induced by reduced ambulatory activity in free-living humans. </w:t>
      </w:r>
      <w:r w:rsidRPr="00572BFC">
        <w:rPr>
          <w:rFonts w:ascii="Times New Roman" w:hAnsi="Times New Roman"/>
          <w:i/>
          <w:iCs/>
          <w:noProof/>
        </w:rPr>
        <w:t>J. Appl. Physiol.</w:t>
      </w:r>
      <w:r w:rsidRPr="00572BFC">
        <w:rPr>
          <w:rFonts w:ascii="Times New Roman" w:hAnsi="Times New Roman"/>
          <w:noProof/>
        </w:rPr>
        <w:t xml:space="preserve"> </w:t>
      </w:r>
      <w:r w:rsidRPr="00572BFC">
        <w:rPr>
          <w:rFonts w:ascii="Times New Roman" w:hAnsi="Times New Roman"/>
          <w:b/>
          <w:bCs/>
          <w:noProof/>
        </w:rPr>
        <w:t>111,</w:t>
      </w:r>
      <w:r w:rsidRPr="00572BFC">
        <w:rPr>
          <w:rFonts w:ascii="Times New Roman" w:hAnsi="Times New Roman"/>
          <w:noProof/>
        </w:rPr>
        <w:t xml:space="preserve"> 1218–1224 (2011).</w:t>
      </w:r>
    </w:p>
    <w:p w14:paraId="7D0863EF"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82.</w:t>
      </w:r>
      <w:r w:rsidRPr="00572BFC">
        <w:rPr>
          <w:rFonts w:ascii="Times New Roman" w:hAnsi="Times New Roman"/>
          <w:noProof/>
        </w:rPr>
        <w:tab/>
        <w:t xml:space="preserve">Breen, L. </w:t>
      </w:r>
      <w:r w:rsidRPr="00572BFC">
        <w:rPr>
          <w:rFonts w:ascii="Times New Roman" w:hAnsi="Times New Roman"/>
          <w:i/>
          <w:iCs/>
          <w:noProof/>
        </w:rPr>
        <w:t>et al.</w:t>
      </w:r>
      <w:r w:rsidRPr="00572BFC">
        <w:rPr>
          <w:rFonts w:ascii="Times New Roman" w:hAnsi="Times New Roman"/>
          <w:noProof/>
        </w:rPr>
        <w:t xml:space="preserve"> Two weeks of reduced activity decreases leg lean mass and induces ‘anabolic resistance’ of myofibrillar protein synthesis in healthy elderly. </w:t>
      </w:r>
      <w:r w:rsidRPr="00572BFC">
        <w:rPr>
          <w:rFonts w:ascii="Times New Roman" w:hAnsi="Times New Roman"/>
          <w:i/>
          <w:iCs/>
          <w:noProof/>
        </w:rPr>
        <w:t>J. Clin. Endocrinol. Metab.</w:t>
      </w:r>
      <w:r w:rsidRPr="00572BFC">
        <w:rPr>
          <w:rFonts w:ascii="Times New Roman" w:hAnsi="Times New Roman"/>
          <w:noProof/>
        </w:rPr>
        <w:t xml:space="preserve"> </w:t>
      </w:r>
      <w:r w:rsidRPr="00572BFC">
        <w:rPr>
          <w:rFonts w:ascii="Times New Roman" w:hAnsi="Times New Roman"/>
          <w:b/>
          <w:bCs/>
          <w:noProof/>
        </w:rPr>
        <w:t>98,</w:t>
      </w:r>
      <w:r w:rsidRPr="00572BFC">
        <w:rPr>
          <w:rFonts w:ascii="Times New Roman" w:hAnsi="Times New Roman"/>
          <w:noProof/>
        </w:rPr>
        <w:t xml:space="preserve"> 2604–2612 (2013).</w:t>
      </w:r>
    </w:p>
    <w:p w14:paraId="45EED1C4"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83.</w:t>
      </w:r>
      <w:r w:rsidRPr="00572BFC">
        <w:rPr>
          <w:rFonts w:ascii="Times New Roman" w:hAnsi="Times New Roman"/>
          <w:noProof/>
        </w:rPr>
        <w:tab/>
        <w:t xml:space="preserve">Mackey, D. C. </w:t>
      </w:r>
      <w:r w:rsidRPr="00572BFC">
        <w:rPr>
          <w:rFonts w:ascii="Times New Roman" w:hAnsi="Times New Roman"/>
          <w:i/>
          <w:iCs/>
          <w:noProof/>
        </w:rPr>
        <w:t>et al.</w:t>
      </w:r>
      <w:r w:rsidRPr="00572BFC">
        <w:rPr>
          <w:rFonts w:ascii="Times New Roman" w:hAnsi="Times New Roman"/>
          <w:noProof/>
        </w:rPr>
        <w:t xml:space="preserve"> Life-space mobility and mortality in older men: A prospective cohort study. </w:t>
      </w:r>
      <w:r w:rsidRPr="00572BFC">
        <w:rPr>
          <w:rFonts w:ascii="Times New Roman" w:hAnsi="Times New Roman"/>
          <w:i/>
          <w:iCs/>
          <w:noProof/>
        </w:rPr>
        <w:t>J. Am. Geriatr. Soc.</w:t>
      </w:r>
      <w:r w:rsidRPr="00572BFC">
        <w:rPr>
          <w:rFonts w:ascii="Times New Roman" w:hAnsi="Times New Roman"/>
          <w:noProof/>
        </w:rPr>
        <w:t xml:space="preserve"> </w:t>
      </w:r>
      <w:r w:rsidRPr="00572BFC">
        <w:rPr>
          <w:rFonts w:ascii="Times New Roman" w:hAnsi="Times New Roman"/>
          <w:b/>
          <w:bCs/>
          <w:noProof/>
        </w:rPr>
        <w:t>62,</w:t>
      </w:r>
      <w:r w:rsidRPr="00572BFC">
        <w:rPr>
          <w:rFonts w:ascii="Times New Roman" w:hAnsi="Times New Roman"/>
          <w:noProof/>
        </w:rPr>
        <w:t xml:space="preserve"> 1288–1296 (2014).</w:t>
      </w:r>
    </w:p>
    <w:p w14:paraId="75F23579"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84.</w:t>
      </w:r>
      <w:r w:rsidRPr="00572BFC">
        <w:rPr>
          <w:rFonts w:ascii="Times New Roman" w:hAnsi="Times New Roman"/>
          <w:noProof/>
        </w:rPr>
        <w:tab/>
        <w:t xml:space="preserve">Tudor-Locke, C. &amp; Bassett, D. R. How Many Steps/Day Are Enough? Preliminary Pedometer Indices for Public Health. </w:t>
      </w:r>
      <w:r w:rsidRPr="00572BFC">
        <w:rPr>
          <w:rFonts w:ascii="Times New Roman" w:hAnsi="Times New Roman"/>
          <w:i/>
          <w:iCs/>
          <w:noProof/>
        </w:rPr>
        <w:t>Sport. Med.</w:t>
      </w:r>
      <w:r w:rsidRPr="00572BFC">
        <w:rPr>
          <w:rFonts w:ascii="Times New Roman" w:hAnsi="Times New Roman"/>
          <w:noProof/>
        </w:rPr>
        <w:t xml:space="preserve"> </w:t>
      </w:r>
      <w:r w:rsidRPr="00572BFC">
        <w:rPr>
          <w:rFonts w:ascii="Times New Roman" w:hAnsi="Times New Roman"/>
          <w:b/>
          <w:bCs/>
          <w:noProof/>
        </w:rPr>
        <w:t>34,</w:t>
      </w:r>
      <w:r w:rsidRPr="00572BFC">
        <w:rPr>
          <w:rFonts w:ascii="Times New Roman" w:hAnsi="Times New Roman"/>
          <w:noProof/>
        </w:rPr>
        <w:t xml:space="preserve"> 1–8 (2004).</w:t>
      </w:r>
    </w:p>
    <w:p w14:paraId="67FA6B06"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85.</w:t>
      </w:r>
      <w:r w:rsidRPr="00572BFC">
        <w:rPr>
          <w:rFonts w:ascii="Times New Roman" w:hAnsi="Times New Roman"/>
          <w:noProof/>
        </w:rPr>
        <w:tab/>
        <w:t xml:space="preserve">Bassett, D. R., Wyatt, H. R., Thompson, H., Peters, J. C. &amp; James, O. Pedometer-Measured Physical Activity and Health Behaviors in United States Adults. </w:t>
      </w:r>
      <w:r w:rsidRPr="00572BFC">
        <w:rPr>
          <w:rFonts w:ascii="Times New Roman" w:hAnsi="Times New Roman"/>
          <w:i/>
          <w:iCs/>
          <w:noProof/>
        </w:rPr>
        <w:t>Med Sci Sport. Exerc</w:t>
      </w:r>
      <w:r w:rsidRPr="00572BFC">
        <w:rPr>
          <w:rFonts w:ascii="Times New Roman" w:hAnsi="Times New Roman"/>
          <w:noProof/>
        </w:rPr>
        <w:t xml:space="preserve"> </w:t>
      </w:r>
      <w:r w:rsidRPr="00572BFC">
        <w:rPr>
          <w:rFonts w:ascii="Times New Roman" w:hAnsi="Times New Roman"/>
          <w:b/>
          <w:bCs/>
          <w:noProof/>
        </w:rPr>
        <w:t>42,</w:t>
      </w:r>
      <w:r w:rsidRPr="00572BFC">
        <w:rPr>
          <w:rFonts w:ascii="Times New Roman" w:hAnsi="Times New Roman"/>
          <w:noProof/>
        </w:rPr>
        <w:t xml:space="preserve"> 1819–1825 (2011).</w:t>
      </w:r>
    </w:p>
    <w:p w14:paraId="0CE8BFFE"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86.</w:t>
      </w:r>
      <w:r w:rsidRPr="00572BFC">
        <w:rPr>
          <w:rFonts w:ascii="Times New Roman" w:hAnsi="Times New Roman"/>
          <w:noProof/>
        </w:rPr>
        <w:tab/>
        <w:t xml:space="preserve">Bravata, D. M. </w:t>
      </w:r>
      <w:r w:rsidRPr="00572BFC">
        <w:rPr>
          <w:rFonts w:ascii="Times New Roman" w:hAnsi="Times New Roman"/>
          <w:i/>
          <w:iCs/>
          <w:noProof/>
        </w:rPr>
        <w:t>et al.</w:t>
      </w:r>
      <w:r w:rsidRPr="00572BFC">
        <w:rPr>
          <w:rFonts w:ascii="Times New Roman" w:hAnsi="Times New Roman"/>
          <w:noProof/>
        </w:rPr>
        <w:t xml:space="preserve"> Using pedometers to increase physical activity and improve health: a systematic review. </w:t>
      </w:r>
      <w:r w:rsidRPr="00572BFC">
        <w:rPr>
          <w:rFonts w:ascii="Times New Roman" w:hAnsi="Times New Roman"/>
          <w:i/>
          <w:iCs/>
          <w:noProof/>
        </w:rPr>
        <w:t>JAMA</w:t>
      </w:r>
      <w:r w:rsidRPr="00572BFC">
        <w:rPr>
          <w:rFonts w:ascii="Times New Roman" w:hAnsi="Times New Roman"/>
          <w:noProof/>
        </w:rPr>
        <w:t xml:space="preserve"> </w:t>
      </w:r>
      <w:r w:rsidRPr="00572BFC">
        <w:rPr>
          <w:rFonts w:ascii="Times New Roman" w:hAnsi="Times New Roman"/>
          <w:b/>
          <w:bCs/>
          <w:noProof/>
        </w:rPr>
        <w:t>298,</w:t>
      </w:r>
      <w:r w:rsidRPr="00572BFC">
        <w:rPr>
          <w:rFonts w:ascii="Times New Roman" w:hAnsi="Times New Roman"/>
          <w:noProof/>
        </w:rPr>
        <w:t xml:space="preserve"> 2296–2304 (2007).</w:t>
      </w:r>
    </w:p>
    <w:p w14:paraId="581A1B95"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87.</w:t>
      </w:r>
      <w:r w:rsidRPr="00572BFC">
        <w:rPr>
          <w:rFonts w:ascii="Times New Roman" w:hAnsi="Times New Roman"/>
          <w:noProof/>
        </w:rPr>
        <w:tab/>
        <w:t xml:space="preserve">Reynolds, L. J. </w:t>
      </w:r>
      <w:r w:rsidRPr="00572BFC">
        <w:rPr>
          <w:rFonts w:ascii="Times New Roman" w:hAnsi="Times New Roman"/>
          <w:i/>
          <w:iCs/>
          <w:noProof/>
        </w:rPr>
        <w:t>et al.</w:t>
      </w:r>
      <w:r w:rsidRPr="00572BFC">
        <w:rPr>
          <w:rFonts w:ascii="Times New Roman" w:hAnsi="Times New Roman"/>
          <w:noProof/>
        </w:rPr>
        <w:t xml:space="preserve"> </w:t>
      </w:r>
      <w:r w:rsidRPr="00572BFC">
        <w:rPr>
          <w:rFonts w:ascii="Times New Roman" w:hAnsi="Times New Roman"/>
          <w:i/>
          <w:iCs/>
          <w:noProof/>
        </w:rPr>
        <w:t>Acute Inactivity Impairs Glycemic Control but Not Blood Flow to Glucose Ingestion</w:t>
      </w:r>
      <w:r w:rsidRPr="00572BFC">
        <w:rPr>
          <w:rFonts w:ascii="Times New Roman" w:hAnsi="Times New Roman"/>
          <w:noProof/>
        </w:rPr>
        <w:t xml:space="preserve">. </w:t>
      </w:r>
      <w:r w:rsidRPr="00572BFC">
        <w:rPr>
          <w:rFonts w:ascii="Times New Roman" w:hAnsi="Times New Roman"/>
          <w:i/>
          <w:iCs/>
          <w:noProof/>
        </w:rPr>
        <w:t>Med. Sci. Sport. Exerc.</w:t>
      </w:r>
      <w:r w:rsidRPr="00572BFC">
        <w:rPr>
          <w:rFonts w:ascii="Times New Roman" w:hAnsi="Times New Roman"/>
          <w:noProof/>
        </w:rPr>
        <w:t xml:space="preserve"> </w:t>
      </w:r>
      <w:r w:rsidRPr="00572BFC">
        <w:rPr>
          <w:rFonts w:ascii="Times New Roman" w:hAnsi="Times New Roman"/>
          <w:b/>
          <w:bCs/>
          <w:noProof/>
        </w:rPr>
        <w:t>47,</w:t>
      </w:r>
      <w:r w:rsidRPr="00572BFC">
        <w:rPr>
          <w:rFonts w:ascii="Times New Roman" w:hAnsi="Times New Roman"/>
          <w:noProof/>
        </w:rPr>
        <w:t xml:space="preserve"> (2015).</w:t>
      </w:r>
    </w:p>
    <w:p w14:paraId="7CA118B0"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88.</w:t>
      </w:r>
      <w:r w:rsidRPr="00572BFC">
        <w:rPr>
          <w:rFonts w:ascii="Times New Roman" w:hAnsi="Times New Roman"/>
          <w:noProof/>
        </w:rPr>
        <w:tab/>
        <w:t xml:space="preserve">Deschenes, M. R., Holdren, A. N. &amp; Mccoy, R. W. Adaptations to short-term muscle unloading in young and aged men. </w:t>
      </w:r>
      <w:r w:rsidRPr="00572BFC">
        <w:rPr>
          <w:rFonts w:ascii="Times New Roman" w:hAnsi="Times New Roman"/>
          <w:i/>
          <w:iCs/>
          <w:noProof/>
        </w:rPr>
        <w:t>Med. Sci. Sports Exerc.</w:t>
      </w:r>
      <w:r w:rsidRPr="00572BFC">
        <w:rPr>
          <w:rFonts w:ascii="Times New Roman" w:hAnsi="Times New Roman"/>
          <w:noProof/>
        </w:rPr>
        <w:t xml:space="preserve"> </w:t>
      </w:r>
      <w:r w:rsidRPr="00572BFC">
        <w:rPr>
          <w:rFonts w:ascii="Times New Roman" w:hAnsi="Times New Roman"/>
          <w:b/>
          <w:bCs/>
          <w:noProof/>
        </w:rPr>
        <w:t>40,</w:t>
      </w:r>
      <w:r w:rsidRPr="00572BFC">
        <w:rPr>
          <w:rFonts w:ascii="Times New Roman" w:hAnsi="Times New Roman"/>
          <w:noProof/>
        </w:rPr>
        <w:t xml:space="preserve"> 856–863 (2008).</w:t>
      </w:r>
    </w:p>
    <w:p w14:paraId="4B3D17EA"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89.</w:t>
      </w:r>
      <w:r w:rsidRPr="00572BFC">
        <w:rPr>
          <w:rFonts w:ascii="Times New Roman" w:hAnsi="Times New Roman"/>
          <w:noProof/>
        </w:rPr>
        <w:tab/>
        <w:t xml:space="preserve">Devries, M., Breen, L., von Allmen, M., Moore, D. &amp; Phillips, S. Low-load resistance training during step-reduction attenuates declines in muscle mass and strength and enhances anabolic sensitivity in older men. </w:t>
      </w:r>
      <w:r w:rsidRPr="00572BFC">
        <w:rPr>
          <w:rFonts w:ascii="Times New Roman" w:hAnsi="Times New Roman"/>
          <w:i/>
          <w:iCs/>
          <w:noProof/>
        </w:rPr>
        <w:t>Unpubl. - Pers. Commun.</w:t>
      </w:r>
    </w:p>
    <w:p w14:paraId="01CB4F24"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90.</w:t>
      </w:r>
      <w:r w:rsidRPr="00572BFC">
        <w:rPr>
          <w:rFonts w:ascii="Times New Roman" w:hAnsi="Times New Roman"/>
          <w:noProof/>
        </w:rPr>
        <w:tab/>
        <w:t xml:space="preserve">Bleeker, M. W. P. </w:t>
      </w:r>
      <w:r w:rsidRPr="00572BFC">
        <w:rPr>
          <w:rFonts w:ascii="Times New Roman" w:hAnsi="Times New Roman"/>
          <w:i/>
          <w:iCs/>
          <w:noProof/>
        </w:rPr>
        <w:t>et al.</w:t>
      </w:r>
      <w:r w:rsidRPr="00572BFC">
        <w:rPr>
          <w:rFonts w:ascii="Times New Roman" w:hAnsi="Times New Roman"/>
          <w:noProof/>
        </w:rPr>
        <w:t xml:space="preserve"> Vascular adaptation to 4 wk of deconditioning by unilateral lower limb suspension. </w:t>
      </w:r>
      <w:r w:rsidRPr="00572BFC">
        <w:rPr>
          <w:rFonts w:ascii="Times New Roman" w:hAnsi="Times New Roman"/>
          <w:i/>
          <w:iCs/>
          <w:noProof/>
        </w:rPr>
        <w:t>Am. J. Physiol. Heart Circ. Physiol.</w:t>
      </w:r>
      <w:r w:rsidRPr="00572BFC">
        <w:rPr>
          <w:rFonts w:ascii="Times New Roman" w:hAnsi="Times New Roman"/>
          <w:noProof/>
        </w:rPr>
        <w:t xml:space="preserve"> </w:t>
      </w:r>
      <w:r w:rsidRPr="00572BFC">
        <w:rPr>
          <w:rFonts w:ascii="Times New Roman" w:hAnsi="Times New Roman"/>
          <w:b/>
          <w:bCs/>
          <w:noProof/>
        </w:rPr>
        <w:t>288,</w:t>
      </w:r>
      <w:r w:rsidRPr="00572BFC">
        <w:rPr>
          <w:rFonts w:ascii="Times New Roman" w:hAnsi="Times New Roman"/>
          <w:noProof/>
        </w:rPr>
        <w:t xml:space="preserve"> H1747–H1755 (2005).</w:t>
      </w:r>
    </w:p>
    <w:p w14:paraId="6FA7D777"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91.</w:t>
      </w:r>
      <w:r w:rsidRPr="00572BFC">
        <w:rPr>
          <w:rFonts w:ascii="Times New Roman" w:hAnsi="Times New Roman"/>
          <w:noProof/>
        </w:rPr>
        <w:tab/>
        <w:t xml:space="preserve">Rakobowchuk, M. </w:t>
      </w:r>
      <w:r w:rsidRPr="00572BFC">
        <w:rPr>
          <w:rFonts w:ascii="Times New Roman" w:hAnsi="Times New Roman"/>
          <w:i/>
          <w:iCs/>
          <w:noProof/>
        </w:rPr>
        <w:t>et al.</w:t>
      </w:r>
      <w:r w:rsidRPr="00572BFC">
        <w:rPr>
          <w:rFonts w:ascii="Times New Roman" w:hAnsi="Times New Roman"/>
          <w:noProof/>
        </w:rPr>
        <w:t xml:space="preserve"> Short-term unilateral leg immobilization alters peripheral but not central arterial structure and function in healthy young humans. </w:t>
      </w:r>
      <w:r w:rsidRPr="00572BFC">
        <w:rPr>
          <w:rFonts w:ascii="Times New Roman" w:hAnsi="Times New Roman"/>
          <w:i/>
          <w:iCs/>
          <w:noProof/>
        </w:rPr>
        <w:t>Eur. J. Appl. Physiol.</w:t>
      </w:r>
      <w:r w:rsidRPr="00572BFC">
        <w:rPr>
          <w:rFonts w:ascii="Times New Roman" w:hAnsi="Times New Roman"/>
          <w:noProof/>
        </w:rPr>
        <w:t xml:space="preserve"> </w:t>
      </w:r>
      <w:r w:rsidRPr="00572BFC">
        <w:rPr>
          <w:rFonts w:ascii="Times New Roman" w:hAnsi="Times New Roman"/>
          <w:b/>
          <w:bCs/>
          <w:noProof/>
        </w:rPr>
        <w:t>111,</w:t>
      </w:r>
      <w:r w:rsidRPr="00572BFC">
        <w:rPr>
          <w:rFonts w:ascii="Times New Roman" w:hAnsi="Times New Roman"/>
          <w:noProof/>
        </w:rPr>
        <w:t xml:space="preserve"> 203–210 (2011).</w:t>
      </w:r>
    </w:p>
    <w:p w14:paraId="1501E3B3"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92.</w:t>
      </w:r>
      <w:r w:rsidRPr="00572BFC">
        <w:rPr>
          <w:rFonts w:ascii="Times New Roman" w:hAnsi="Times New Roman"/>
          <w:noProof/>
        </w:rPr>
        <w:tab/>
        <w:t xml:space="preserve">Hamburg, N. M. </w:t>
      </w:r>
      <w:r w:rsidRPr="00572BFC">
        <w:rPr>
          <w:rFonts w:ascii="Times New Roman" w:hAnsi="Times New Roman"/>
          <w:i/>
          <w:iCs/>
          <w:noProof/>
        </w:rPr>
        <w:t>et al.</w:t>
      </w:r>
      <w:r w:rsidRPr="00572BFC">
        <w:rPr>
          <w:rFonts w:ascii="Times New Roman" w:hAnsi="Times New Roman"/>
          <w:noProof/>
        </w:rPr>
        <w:t xml:space="preserve"> Physical inactivity rapidly induces insulin resistance and microvascular dysfunction in healthy volunteers. </w:t>
      </w:r>
      <w:r w:rsidRPr="00572BFC">
        <w:rPr>
          <w:rFonts w:ascii="Times New Roman" w:hAnsi="Times New Roman"/>
          <w:i/>
          <w:iCs/>
          <w:noProof/>
        </w:rPr>
        <w:t>Arterioscler. Thromb. Vasc. Biol.</w:t>
      </w:r>
      <w:r w:rsidRPr="00572BFC">
        <w:rPr>
          <w:rFonts w:ascii="Times New Roman" w:hAnsi="Times New Roman"/>
          <w:noProof/>
        </w:rPr>
        <w:t xml:space="preserve"> </w:t>
      </w:r>
      <w:r w:rsidRPr="00572BFC">
        <w:rPr>
          <w:rFonts w:ascii="Times New Roman" w:hAnsi="Times New Roman"/>
          <w:b/>
          <w:bCs/>
          <w:noProof/>
        </w:rPr>
        <w:t>27,</w:t>
      </w:r>
      <w:r w:rsidRPr="00572BFC">
        <w:rPr>
          <w:rFonts w:ascii="Times New Roman" w:hAnsi="Times New Roman"/>
          <w:noProof/>
        </w:rPr>
        <w:t xml:space="preserve"> 2650–2656 (2007).</w:t>
      </w:r>
    </w:p>
    <w:p w14:paraId="048910FD"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93.</w:t>
      </w:r>
      <w:r w:rsidRPr="00572BFC">
        <w:rPr>
          <w:rFonts w:ascii="Times New Roman" w:hAnsi="Times New Roman"/>
          <w:noProof/>
        </w:rPr>
        <w:tab/>
        <w:t xml:space="preserve">Inouye, S. K. </w:t>
      </w:r>
      <w:r w:rsidRPr="00572BFC">
        <w:rPr>
          <w:rFonts w:ascii="Times New Roman" w:hAnsi="Times New Roman"/>
          <w:i/>
          <w:iCs/>
          <w:noProof/>
        </w:rPr>
        <w:t>et al.</w:t>
      </w:r>
      <w:r w:rsidRPr="00572BFC">
        <w:rPr>
          <w:rFonts w:ascii="Times New Roman" w:hAnsi="Times New Roman"/>
          <w:noProof/>
        </w:rPr>
        <w:t xml:space="preserve"> A predictive index for functional decline in hospitalized elderly medical patients. </w:t>
      </w:r>
      <w:r w:rsidRPr="00572BFC">
        <w:rPr>
          <w:rFonts w:ascii="Times New Roman" w:hAnsi="Times New Roman"/>
          <w:i/>
          <w:iCs/>
          <w:noProof/>
        </w:rPr>
        <w:t>J. Gen. Intern. Med.</w:t>
      </w:r>
      <w:r w:rsidRPr="00572BFC">
        <w:rPr>
          <w:rFonts w:ascii="Times New Roman" w:hAnsi="Times New Roman"/>
          <w:noProof/>
        </w:rPr>
        <w:t xml:space="preserve"> </w:t>
      </w:r>
      <w:r w:rsidRPr="00572BFC">
        <w:rPr>
          <w:rFonts w:ascii="Times New Roman" w:hAnsi="Times New Roman"/>
          <w:b/>
          <w:bCs/>
          <w:noProof/>
        </w:rPr>
        <w:t>8,</w:t>
      </w:r>
      <w:r w:rsidRPr="00572BFC">
        <w:rPr>
          <w:rFonts w:ascii="Times New Roman" w:hAnsi="Times New Roman"/>
          <w:noProof/>
        </w:rPr>
        <w:t xml:space="preserve"> 645–652 (1993).</w:t>
      </w:r>
    </w:p>
    <w:p w14:paraId="195D6DEA"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94.</w:t>
      </w:r>
      <w:r w:rsidRPr="00572BFC">
        <w:rPr>
          <w:rFonts w:ascii="Times New Roman" w:hAnsi="Times New Roman"/>
          <w:noProof/>
        </w:rPr>
        <w:tab/>
        <w:t xml:space="preserve">Boyd, C. M. </w:t>
      </w:r>
      <w:r w:rsidRPr="00572BFC">
        <w:rPr>
          <w:rFonts w:ascii="Times New Roman" w:hAnsi="Times New Roman"/>
          <w:i/>
          <w:iCs/>
          <w:noProof/>
        </w:rPr>
        <w:t>et al.</w:t>
      </w:r>
      <w:r w:rsidRPr="00572BFC">
        <w:rPr>
          <w:rFonts w:ascii="Times New Roman" w:hAnsi="Times New Roman"/>
          <w:noProof/>
        </w:rPr>
        <w:t xml:space="preserve"> Recovery in Activities of Daily Living Among Older Adults Following Hospitalization for Acute Medical Illness. </w:t>
      </w:r>
      <w:r w:rsidRPr="00572BFC">
        <w:rPr>
          <w:rFonts w:ascii="Times New Roman" w:hAnsi="Times New Roman"/>
          <w:i/>
          <w:iCs/>
          <w:noProof/>
        </w:rPr>
        <w:t>J Am Geriatr Soc</w:t>
      </w:r>
      <w:r w:rsidRPr="00572BFC">
        <w:rPr>
          <w:rFonts w:ascii="Times New Roman" w:hAnsi="Times New Roman"/>
          <w:noProof/>
        </w:rPr>
        <w:t xml:space="preserve"> </w:t>
      </w:r>
      <w:r w:rsidRPr="00572BFC">
        <w:rPr>
          <w:rFonts w:ascii="Times New Roman" w:hAnsi="Times New Roman"/>
          <w:b/>
          <w:bCs/>
          <w:noProof/>
        </w:rPr>
        <w:t>56,</w:t>
      </w:r>
      <w:r w:rsidRPr="00572BFC">
        <w:rPr>
          <w:rFonts w:ascii="Times New Roman" w:hAnsi="Times New Roman"/>
          <w:noProof/>
        </w:rPr>
        <w:t xml:space="preserve"> 2171–2179 (2009).</w:t>
      </w:r>
    </w:p>
    <w:p w14:paraId="304E5FBC"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95.</w:t>
      </w:r>
      <w:r w:rsidRPr="00572BFC">
        <w:rPr>
          <w:rFonts w:ascii="Times New Roman" w:hAnsi="Times New Roman"/>
          <w:noProof/>
        </w:rPr>
        <w:tab/>
        <w:t xml:space="preserve">Boyd, C. M. </w:t>
      </w:r>
      <w:r w:rsidRPr="00572BFC">
        <w:rPr>
          <w:rFonts w:ascii="Times New Roman" w:hAnsi="Times New Roman"/>
          <w:i/>
          <w:iCs/>
          <w:noProof/>
        </w:rPr>
        <w:t>et al.</w:t>
      </w:r>
      <w:r w:rsidRPr="00572BFC">
        <w:rPr>
          <w:rFonts w:ascii="Times New Roman" w:hAnsi="Times New Roman"/>
          <w:noProof/>
        </w:rPr>
        <w:t xml:space="preserve"> Functional decline and recovery of activities of daily living in hospitalized, disabled older women: the Women’s Health and Aging Study I. </w:t>
      </w:r>
      <w:r w:rsidRPr="00572BFC">
        <w:rPr>
          <w:rFonts w:ascii="Times New Roman" w:hAnsi="Times New Roman"/>
          <w:i/>
          <w:iCs/>
          <w:noProof/>
        </w:rPr>
        <w:t>J. Am. Geriatr. Soc.</w:t>
      </w:r>
      <w:r w:rsidRPr="00572BFC">
        <w:rPr>
          <w:rFonts w:ascii="Times New Roman" w:hAnsi="Times New Roman"/>
          <w:noProof/>
        </w:rPr>
        <w:t xml:space="preserve"> </w:t>
      </w:r>
      <w:r w:rsidRPr="00572BFC">
        <w:rPr>
          <w:rFonts w:ascii="Times New Roman" w:hAnsi="Times New Roman"/>
          <w:b/>
          <w:bCs/>
          <w:noProof/>
        </w:rPr>
        <w:t>57,</w:t>
      </w:r>
      <w:r w:rsidRPr="00572BFC">
        <w:rPr>
          <w:rFonts w:ascii="Times New Roman" w:hAnsi="Times New Roman"/>
          <w:noProof/>
        </w:rPr>
        <w:t xml:space="preserve"> 1757–1766 (2009).</w:t>
      </w:r>
    </w:p>
    <w:p w14:paraId="49BB6BD7"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96.</w:t>
      </w:r>
      <w:r w:rsidRPr="00572BFC">
        <w:rPr>
          <w:rFonts w:ascii="Times New Roman" w:hAnsi="Times New Roman"/>
          <w:noProof/>
        </w:rPr>
        <w:tab/>
        <w:t xml:space="preserve">Thompson, W. W. </w:t>
      </w:r>
      <w:r w:rsidRPr="00572BFC">
        <w:rPr>
          <w:rFonts w:ascii="Times New Roman" w:hAnsi="Times New Roman"/>
          <w:i/>
          <w:iCs/>
          <w:noProof/>
        </w:rPr>
        <w:t>et al.</w:t>
      </w:r>
      <w:r w:rsidRPr="00572BFC">
        <w:rPr>
          <w:rFonts w:ascii="Times New Roman" w:hAnsi="Times New Roman"/>
          <w:noProof/>
        </w:rPr>
        <w:t xml:space="preserve"> Influenza-associated hospitalizations in the United States. </w:t>
      </w:r>
      <w:r w:rsidRPr="00572BFC">
        <w:rPr>
          <w:rFonts w:ascii="Times New Roman" w:hAnsi="Times New Roman"/>
          <w:i/>
          <w:iCs/>
          <w:noProof/>
        </w:rPr>
        <w:t>JAMA</w:t>
      </w:r>
      <w:r w:rsidRPr="00572BFC">
        <w:rPr>
          <w:rFonts w:ascii="Times New Roman" w:hAnsi="Times New Roman"/>
          <w:noProof/>
        </w:rPr>
        <w:t xml:space="preserve"> </w:t>
      </w:r>
      <w:r w:rsidRPr="00572BFC">
        <w:rPr>
          <w:rFonts w:ascii="Times New Roman" w:hAnsi="Times New Roman"/>
          <w:b/>
          <w:bCs/>
          <w:noProof/>
        </w:rPr>
        <w:t>292,</w:t>
      </w:r>
      <w:r w:rsidRPr="00572BFC">
        <w:rPr>
          <w:rFonts w:ascii="Times New Roman" w:hAnsi="Times New Roman"/>
          <w:noProof/>
        </w:rPr>
        <w:t xml:space="preserve"> 1333–1340 (2004).</w:t>
      </w:r>
    </w:p>
    <w:p w14:paraId="3624E7F4"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97.</w:t>
      </w:r>
      <w:r w:rsidRPr="00572BFC">
        <w:rPr>
          <w:rFonts w:ascii="Times New Roman" w:hAnsi="Times New Roman"/>
          <w:noProof/>
        </w:rPr>
        <w:tab/>
        <w:t xml:space="preserve">Treanor, J. J. in </w:t>
      </w:r>
      <w:r w:rsidRPr="00572BFC">
        <w:rPr>
          <w:rFonts w:ascii="Times New Roman" w:hAnsi="Times New Roman"/>
          <w:i/>
          <w:iCs/>
          <w:noProof/>
        </w:rPr>
        <w:t>Viral Infect. Humans</w:t>
      </w:r>
      <w:r w:rsidRPr="00572BFC">
        <w:rPr>
          <w:rFonts w:ascii="Times New Roman" w:hAnsi="Times New Roman"/>
          <w:noProof/>
        </w:rPr>
        <w:t xml:space="preserve"> (Kaslow, R. A., Stanberry, L. R. &amp; Le Duc, J. W.) 455–478 (Springer US, 2014). doi:10.1007/978-1-4899-7448-8_19</w:t>
      </w:r>
    </w:p>
    <w:p w14:paraId="40E3551B"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98.</w:t>
      </w:r>
      <w:r w:rsidRPr="00572BFC">
        <w:rPr>
          <w:rFonts w:ascii="Times New Roman" w:hAnsi="Times New Roman"/>
          <w:noProof/>
        </w:rPr>
        <w:tab/>
        <w:t xml:space="preserve">Barker, W. H. A Study of the Impact of Influenza on the Functional Status of Frail Older People. </w:t>
      </w:r>
      <w:r w:rsidRPr="00572BFC">
        <w:rPr>
          <w:rFonts w:ascii="Times New Roman" w:hAnsi="Times New Roman"/>
          <w:i/>
          <w:iCs/>
          <w:noProof/>
        </w:rPr>
        <w:t>Arch. Intern. Med.</w:t>
      </w:r>
      <w:r w:rsidRPr="00572BFC">
        <w:rPr>
          <w:rFonts w:ascii="Times New Roman" w:hAnsi="Times New Roman"/>
          <w:noProof/>
        </w:rPr>
        <w:t xml:space="preserve"> </w:t>
      </w:r>
      <w:r w:rsidRPr="00572BFC">
        <w:rPr>
          <w:rFonts w:ascii="Times New Roman" w:hAnsi="Times New Roman"/>
          <w:b/>
          <w:bCs/>
          <w:noProof/>
        </w:rPr>
        <w:t>158,</w:t>
      </w:r>
      <w:r w:rsidRPr="00572BFC">
        <w:rPr>
          <w:rFonts w:ascii="Times New Roman" w:hAnsi="Times New Roman"/>
          <w:noProof/>
        </w:rPr>
        <w:t xml:space="preserve"> 645–650 (1998).</w:t>
      </w:r>
    </w:p>
    <w:p w14:paraId="6C44C200"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99.</w:t>
      </w:r>
      <w:r w:rsidRPr="00572BFC">
        <w:rPr>
          <w:rFonts w:ascii="Times New Roman" w:hAnsi="Times New Roman"/>
          <w:noProof/>
        </w:rPr>
        <w:tab/>
        <w:t xml:space="preserve">Fisher, S. R. </w:t>
      </w:r>
      <w:r w:rsidRPr="00572BFC">
        <w:rPr>
          <w:rFonts w:ascii="Times New Roman" w:hAnsi="Times New Roman"/>
          <w:i/>
          <w:iCs/>
          <w:noProof/>
        </w:rPr>
        <w:t>et al.</w:t>
      </w:r>
      <w:r w:rsidRPr="00572BFC">
        <w:rPr>
          <w:rFonts w:ascii="Times New Roman" w:hAnsi="Times New Roman"/>
          <w:noProof/>
        </w:rPr>
        <w:t xml:space="preserve"> Mobility after hospital discharge as a marker for 30-day readmission. </w:t>
      </w:r>
      <w:r w:rsidRPr="00572BFC">
        <w:rPr>
          <w:rFonts w:ascii="Times New Roman" w:hAnsi="Times New Roman"/>
          <w:i/>
          <w:iCs/>
          <w:noProof/>
        </w:rPr>
        <w:t>Journals Gerontol. - Ser. A Biol. Sci. Med. Sci.</w:t>
      </w:r>
      <w:r w:rsidRPr="00572BFC">
        <w:rPr>
          <w:rFonts w:ascii="Times New Roman" w:hAnsi="Times New Roman"/>
          <w:noProof/>
        </w:rPr>
        <w:t xml:space="preserve"> </w:t>
      </w:r>
      <w:r w:rsidRPr="00572BFC">
        <w:rPr>
          <w:rFonts w:ascii="Times New Roman" w:hAnsi="Times New Roman"/>
          <w:b/>
          <w:bCs/>
          <w:noProof/>
        </w:rPr>
        <w:t>68,</w:t>
      </w:r>
      <w:r w:rsidRPr="00572BFC">
        <w:rPr>
          <w:rFonts w:ascii="Times New Roman" w:hAnsi="Times New Roman"/>
          <w:noProof/>
        </w:rPr>
        <w:t xml:space="preserve"> 805–810 (2013).</w:t>
      </w:r>
    </w:p>
    <w:p w14:paraId="24D367FF"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100.</w:t>
      </w:r>
      <w:r w:rsidRPr="00572BFC">
        <w:rPr>
          <w:rFonts w:ascii="Times New Roman" w:hAnsi="Times New Roman"/>
          <w:noProof/>
        </w:rPr>
        <w:tab/>
        <w:t xml:space="preserve">Milanović, Z. </w:t>
      </w:r>
      <w:r w:rsidRPr="00572BFC">
        <w:rPr>
          <w:rFonts w:ascii="Times New Roman" w:hAnsi="Times New Roman"/>
          <w:i/>
          <w:iCs/>
          <w:noProof/>
        </w:rPr>
        <w:t>et al.</w:t>
      </w:r>
      <w:r w:rsidRPr="00572BFC">
        <w:rPr>
          <w:rFonts w:ascii="Times New Roman" w:hAnsi="Times New Roman"/>
          <w:noProof/>
        </w:rPr>
        <w:t xml:space="preserve"> Age-related decrease in physical activity and functional fitness among elderly men and women. </w:t>
      </w:r>
      <w:r w:rsidRPr="00572BFC">
        <w:rPr>
          <w:rFonts w:ascii="Times New Roman" w:hAnsi="Times New Roman"/>
          <w:i/>
          <w:iCs/>
          <w:noProof/>
        </w:rPr>
        <w:t>Clin. Interv. Aging</w:t>
      </w:r>
      <w:r w:rsidRPr="00572BFC">
        <w:rPr>
          <w:rFonts w:ascii="Times New Roman" w:hAnsi="Times New Roman"/>
          <w:noProof/>
        </w:rPr>
        <w:t xml:space="preserve"> </w:t>
      </w:r>
      <w:r w:rsidRPr="00572BFC">
        <w:rPr>
          <w:rFonts w:ascii="Times New Roman" w:hAnsi="Times New Roman"/>
          <w:b/>
          <w:bCs/>
          <w:noProof/>
        </w:rPr>
        <w:t>8,</w:t>
      </w:r>
      <w:r w:rsidRPr="00572BFC">
        <w:rPr>
          <w:rFonts w:ascii="Times New Roman" w:hAnsi="Times New Roman"/>
          <w:noProof/>
        </w:rPr>
        <w:t xml:space="preserve"> 549–556 (2013).</w:t>
      </w:r>
    </w:p>
    <w:p w14:paraId="5D496DFD"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101.</w:t>
      </w:r>
      <w:r w:rsidRPr="00572BFC">
        <w:rPr>
          <w:rFonts w:ascii="Times New Roman" w:hAnsi="Times New Roman"/>
          <w:noProof/>
        </w:rPr>
        <w:tab/>
        <w:t xml:space="preserve">Simonsick, E. M. </w:t>
      </w:r>
      <w:r w:rsidRPr="00572BFC">
        <w:rPr>
          <w:rFonts w:ascii="Times New Roman" w:hAnsi="Times New Roman"/>
          <w:i/>
          <w:iCs/>
          <w:noProof/>
        </w:rPr>
        <w:t>et al.</w:t>
      </w:r>
      <w:r w:rsidRPr="00572BFC">
        <w:rPr>
          <w:rFonts w:ascii="Times New Roman" w:hAnsi="Times New Roman"/>
          <w:noProof/>
        </w:rPr>
        <w:t xml:space="preserve"> Risk due to inactivity in physically capable older adults. </w:t>
      </w:r>
      <w:r w:rsidRPr="00572BFC">
        <w:rPr>
          <w:rFonts w:ascii="Times New Roman" w:hAnsi="Times New Roman"/>
          <w:i/>
          <w:iCs/>
          <w:noProof/>
        </w:rPr>
        <w:t>Am. J. Public Health</w:t>
      </w:r>
      <w:r w:rsidRPr="00572BFC">
        <w:rPr>
          <w:rFonts w:ascii="Times New Roman" w:hAnsi="Times New Roman"/>
          <w:noProof/>
        </w:rPr>
        <w:t xml:space="preserve"> </w:t>
      </w:r>
      <w:r w:rsidRPr="00572BFC">
        <w:rPr>
          <w:rFonts w:ascii="Times New Roman" w:hAnsi="Times New Roman"/>
          <w:b/>
          <w:bCs/>
          <w:noProof/>
        </w:rPr>
        <w:t>83,</w:t>
      </w:r>
      <w:r w:rsidRPr="00572BFC">
        <w:rPr>
          <w:rFonts w:ascii="Times New Roman" w:hAnsi="Times New Roman"/>
          <w:noProof/>
        </w:rPr>
        <w:t xml:space="preserve"> 1443–1450 (1993).</w:t>
      </w:r>
    </w:p>
    <w:p w14:paraId="650D6045"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102.</w:t>
      </w:r>
      <w:r w:rsidRPr="00572BFC">
        <w:rPr>
          <w:rFonts w:ascii="Times New Roman" w:hAnsi="Times New Roman"/>
          <w:noProof/>
        </w:rPr>
        <w:tab/>
        <w:t xml:space="preserve">Wolfson, L., Judge, J., Whipple, R. &amp; King, M. Strength is a major factor in balance, gait, and the occurrence of falls. </w:t>
      </w:r>
      <w:r w:rsidRPr="00572BFC">
        <w:rPr>
          <w:rFonts w:ascii="Times New Roman" w:hAnsi="Times New Roman"/>
          <w:i/>
          <w:iCs/>
          <w:noProof/>
        </w:rPr>
        <w:t>J. Gerontol. A. Biol. Sci. Med. Sci.</w:t>
      </w:r>
      <w:r w:rsidRPr="00572BFC">
        <w:rPr>
          <w:rFonts w:ascii="Times New Roman" w:hAnsi="Times New Roman"/>
          <w:noProof/>
        </w:rPr>
        <w:t xml:space="preserve"> </w:t>
      </w:r>
      <w:r w:rsidRPr="00572BFC">
        <w:rPr>
          <w:rFonts w:ascii="Times New Roman" w:hAnsi="Times New Roman"/>
          <w:b/>
          <w:bCs/>
          <w:noProof/>
        </w:rPr>
        <w:t>50 Spec No,</w:t>
      </w:r>
      <w:r w:rsidRPr="00572BFC">
        <w:rPr>
          <w:rFonts w:ascii="Times New Roman" w:hAnsi="Times New Roman"/>
          <w:noProof/>
        </w:rPr>
        <w:t xml:space="preserve"> 64–67 (1995).</w:t>
      </w:r>
    </w:p>
    <w:p w14:paraId="4D331D58"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103.</w:t>
      </w:r>
      <w:r w:rsidRPr="00572BFC">
        <w:rPr>
          <w:rFonts w:ascii="Times New Roman" w:hAnsi="Times New Roman"/>
          <w:noProof/>
        </w:rPr>
        <w:tab/>
        <w:t xml:space="preserve">Phillips, S. M. Resistance exercise: good for more than just Grandma and Grandpa’s muscles. </w:t>
      </w:r>
      <w:r w:rsidRPr="00572BFC">
        <w:rPr>
          <w:rFonts w:ascii="Times New Roman" w:hAnsi="Times New Roman"/>
          <w:i/>
          <w:iCs/>
          <w:noProof/>
        </w:rPr>
        <w:t>Appl. Physiol. Nutr. Metab.</w:t>
      </w:r>
      <w:r w:rsidRPr="00572BFC">
        <w:rPr>
          <w:rFonts w:ascii="Times New Roman" w:hAnsi="Times New Roman"/>
          <w:noProof/>
        </w:rPr>
        <w:t xml:space="preserve"> </w:t>
      </w:r>
      <w:r w:rsidRPr="00572BFC">
        <w:rPr>
          <w:rFonts w:ascii="Times New Roman" w:hAnsi="Times New Roman"/>
          <w:b/>
          <w:bCs/>
          <w:noProof/>
        </w:rPr>
        <w:t>32,</w:t>
      </w:r>
      <w:r w:rsidRPr="00572BFC">
        <w:rPr>
          <w:rFonts w:ascii="Times New Roman" w:hAnsi="Times New Roman"/>
          <w:noProof/>
        </w:rPr>
        <w:t xml:space="preserve"> 1198–1205 (2007).</w:t>
      </w:r>
    </w:p>
    <w:p w14:paraId="3CF9907C"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104.</w:t>
      </w:r>
      <w:r w:rsidRPr="00572BFC">
        <w:rPr>
          <w:rFonts w:ascii="Times New Roman" w:hAnsi="Times New Roman"/>
          <w:noProof/>
        </w:rPr>
        <w:tab/>
        <w:t xml:space="preserve">Janssen, I., Shepard, D. S., Katzmarzyk, P. T. &amp; Roubenoff, R. The Healthcare Costs of Sarcopenia in the United States. </w:t>
      </w:r>
      <w:r w:rsidRPr="00572BFC">
        <w:rPr>
          <w:rFonts w:ascii="Times New Roman" w:hAnsi="Times New Roman"/>
          <w:i/>
          <w:iCs/>
          <w:noProof/>
        </w:rPr>
        <w:t>J. Am. Geriatr. Soc.</w:t>
      </w:r>
      <w:r w:rsidRPr="00572BFC">
        <w:rPr>
          <w:rFonts w:ascii="Times New Roman" w:hAnsi="Times New Roman"/>
          <w:noProof/>
        </w:rPr>
        <w:t xml:space="preserve"> </w:t>
      </w:r>
      <w:r w:rsidRPr="00572BFC">
        <w:rPr>
          <w:rFonts w:ascii="Times New Roman" w:hAnsi="Times New Roman"/>
          <w:b/>
          <w:bCs/>
          <w:noProof/>
        </w:rPr>
        <w:t>52,</w:t>
      </w:r>
      <w:r w:rsidRPr="00572BFC">
        <w:rPr>
          <w:rFonts w:ascii="Times New Roman" w:hAnsi="Times New Roman"/>
          <w:noProof/>
        </w:rPr>
        <w:t xml:space="preserve"> 80–85 (2004).</w:t>
      </w:r>
    </w:p>
    <w:p w14:paraId="4D28C4E1"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105.</w:t>
      </w:r>
      <w:r w:rsidRPr="00572BFC">
        <w:rPr>
          <w:rFonts w:ascii="Times New Roman" w:hAnsi="Times New Roman"/>
          <w:noProof/>
        </w:rPr>
        <w:tab/>
        <w:t xml:space="preserve">Jones, C. J., Rikli, R. E. &amp; Beam, W. C. A 30-s chair-stand test as a measure of lower body strength in community-residing older adults. </w:t>
      </w:r>
      <w:r w:rsidRPr="00572BFC">
        <w:rPr>
          <w:rFonts w:ascii="Times New Roman" w:hAnsi="Times New Roman"/>
          <w:i/>
          <w:iCs/>
          <w:noProof/>
        </w:rPr>
        <w:t>Res. Q. Exerc. Sport</w:t>
      </w:r>
      <w:r w:rsidRPr="00572BFC">
        <w:rPr>
          <w:rFonts w:ascii="Times New Roman" w:hAnsi="Times New Roman"/>
          <w:noProof/>
        </w:rPr>
        <w:t xml:space="preserve"> </w:t>
      </w:r>
      <w:r w:rsidRPr="00572BFC">
        <w:rPr>
          <w:rFonts w:ascii="Times New Roman" w:hAnsi="Times New Roman"/>
          <w:b/>
          <w:bCs/>
          <w:noProof/>
        </w:rPr>
        <w:t>70,</w:t>
      </w:r>
      <w:r w:rsidRPr="00572BFC">
        <w:rPr>
          <w:rFonts w:ascii="Times New Roman" w:hAnsi="Times New Roman"/>
          <w:noProof/>
        </w:rPr>
        <w:t xml:space="preserve"> 113–119 (1999).</w:t>
      </w:r>
    </w:p>
    <w:p w14:paraId="3015D1CB"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106.</w:t>
      </w:r>
      <w:r w:rsidRPr="00572BFC">
        <w:rPr>
          <w:rFonts w:ascii="Times New Roman" w:hAnsi="Times New Roman"/>
          <w:noProof/>
        </w:rPr>
        <w:tab/>
        <w:t xml:space="preserve">Bohannon, R. W. Reference values for the timed up and go test: a descriptive meta-analysis. </w:t>
      </w:r>
      <w:r w:rsidRPr="00572BFC">
        <w:rPr>
          <w:rFonts w:ascii="Times New Roman" w:hAnsi="Times New Roman"/>
          <w:i/>
          <w:iCs/>
          <w:noProof/>
        </w:rPr>
        <w:t>J. Geriatr. Phys. Ther.</w:t>
      </w:r>
      <w:r w:rsidRPr="00572BFC">
        <w:rPr>
          <w:rFonts w:ascii="Times New Roman" w:hAnsi="Times New Roman"/>
          <w:noProof/>
        </w:rPr>
        <w:t xml:space="preserve"> </w:t>
      </w:r>
      <w:r w:rsidRPr="00572BFC">
        <w:rPr>
          <w:rFonts w:ascii="Times New Roman" w:hAnsi="Times New Roman"/>
          <w:b/>
          <w:bCs/>
          <w:noProof/>
        </w:rPr>
        <w:t>29,</w:t>
      </w:r>
      <w:r w:rsidRPr="00572BFC">
        <w:rPr>
          <w:rFonts w:ascii="Times New Roman" w:hAnsi="Times New Roman"/>
          <w:noProof/>
        </w:rPr>
        <w:t xml:space="preserve"> 64–68 (2006).</w:t>
      </w:r>
    </w:p>
    <w:p w14:paraId="501E1B5B"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107.</w:t>
      </w:r>
      <w:r w:rsidRPr="00572BFC">
        <w:rPr>
          <w:rFonts w:ascii="Times New Roman" w:hAnsi="Times New Roman"/>
          <w:noProof/>
        </w:rPr>
        <w:tab/>
        <w:t xml:space="preserve">Crapo, R. O. </w:t>
      </w:r>
      <w:r w:rsidRPr="00572BFC">
        <w:rPr>
          <w:rFonts w:ascii="Times New Roman" w:hAnsi="Times New Roman"/>
          <w:i/>
          <w:iCs/>
          <w:noProof/>
        </w:rPr>
        <w:t>et al.</w:t>
      </w:r>
      <w:r w:rsidRPr="00572BFC">
        <w:rPr>
          <w:rFonts w:ascii="Times New Roman" w:hAnsi="Times New Roman"/>
          <w:noProof/>
        </w:rPr>
        <w:t xml:space="preserve"> ATS statement: Guidelines for the six-minute walk test. </w:t>
      </w:r>
      <w:r w:rsidRPr="00572BFC">
        <w:rPr>
          <w:rFonts w:ascii="Times New Roman" w:hAnsi="Times New Roman"/>
          <w:i/>
          <w:iCs/>
          <w:noProof/>
        </w:rPr>
        <w:t>Am. J. Respir. Crit. Care Med.</w:t>
      </w:r>
      <w:r w:rsidRPr="00572BFC">
        <w:rPr>
          <w:rFonts w:ascii="Times New Roman" w:hAnsi="Times New Roman"/>
          <w:noProof/>
        </w:rPr>
        <w:t xml:space="preserve"> </w:t>
      </w:r>
      <w:r w:rsidRPr="00572BFC">
        <w:rPr>
          <w:rFonts w:ascii="Times New Roman" w:hAnsi="Times New Roman"/>
          <w:b/>
          <w:bCs/>
          <w:noProof/>
        </w:rPr>
        <w:t>166,</w:t>
      </w:r>
      <w:r w:rsidRPr="00572BFC">
        <w:rPr>
          <w:rFonts w:ascii="Times New Roman" w:hAnsi="Times New Roman"/>
          <w:noProof/>
        </w:rPr>
        <w:t xml:space="preserve"> 111–117 (2002).</w:t>
      </w:r>
    </w:p>
    <w:p w14:paraId="2E0C5E42"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108.</w:t>
      </w:r>
      <w:r w:rsidRPr="00572BFC">
        <w:rPr>
          <w:rFonts w:ascii="Times New Roman" w:hAnsi="Times New Roman"/>
          <w:noProof/>
        </w:rPr>
        <w:tab/>
        <w:t xml:space="preserve">Kline, G. M. </w:t>
      </w:r>
      <w:r w:rsidRPr="00572BFC">
        <w:rPr>
          <w:rFonts w:ascii="Times New Roman" w:hAnsi="Times New Roman"/>
          <w:i/>
          <w:iCs/>
          <w:noProof/>
        </w:rPr>
        <w:t>et al.</w:t>
      </w:r>
      <w:r w:rsidRPr="00572BFC">
        <w:rPr>
          <w:rFonts w:ascii="Times New Roman" w:hAnsi="Times New Roman"/>
          <w:noProof/>
        </w:rPr>
        <w:t xml:space="preserve"> Estimation of VO2max from a one-mile track walk, gender, age, and body weight. </w:t>
      </w:r>
      <w:r w:rsidRPr="00572BFC">
        <w:rPr>
          <w:rFonts w:ascii="Times New Roman" w:hAnsi="Times New Roman"/>
          <w:i/>
          <w:iCs/>
          <w:noProof/>
        </w:rPr>
        <w:t>Med. Sci. Sports Exerc.</w:t>
      </w:r>
      <w:r w:rsidRPr="00572BFC">
        <w:rPr>
          <w:rFonts w:ascii="Times New Roman" w:hAnsi="Times New Roman"/>
          <w:noProof/>
        </w:rPr>
        <w:t xml:space="preserve"> </w:t>
      </w:r>
      <w:r w:rsidRPr="00572BFC">
        <w:rPr>
          <w:rFonts w:ascii="Times New Roman" w:hAnsi="Times New Roman"/>
          <w:b/>
          <w:bCs/>
          <w:noProof/>
        </w:rPr>
        <w:t>19,</w:t>
      </w:r>
      <w:r w:rsidRPr="00572BFC">
        <w:rPr>
          <w:rFonts w:ascii="Times New Roman" w:hAnsi="Times New Roman"/>
          <w:noProof/>
        </w:rPr>
        <w:t xml:space="preserve"> 253–259 (1987).</w:t>
      </w:r>
    </w:p>
    <w:p w14:paraId="2B88C88B"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109.</w:t>
      </w:r>
      <w:r w:rsidRPr="00572BFC">
        <w:rPr>
          <w:rFonts w:ascii="Times New Roman" w:hAnsi="Times New Roman"/>
          <w:noProof/>
        </w:rPr>
        <w:tab/>
        <w:t xml:space="preserve">World Health Organization. </w:t>
      </w:r>
      <w:r w:rsidRPr="00572BFC">
        <w:rPr>
          <w:rFonts w:ascii="Times New Roman" w:hAnsi="Times New Roman"/>
          <w:i/>
          <w:iCs/>
          <w:noProof/>
        </w:rPr>
        <w:t>Definition and diagnosis of diabetes mellitus and intermediate hyperglycaemia</w:t>
      </w:r>
      <w:r w:rsidRPr="00572BFC">
        <w:rPr>
          <w:rFonts w:ascii="Times New Roman" w:hAnsi="Times New Roman"/>
          <w:noProof/>
        </w:rPr>
        <w:t xml:space="preserve">. </w:t>
      </w:r>
      <w:r w:rsidRPr="00572BFC">
        <w:rPr>
          <w:rFonts w:ascii="Times New Roman" w:hAnsi="Times New Roman"/>
          <w:i/>
          <w:iCs/>
          <w:noProof/>
        </w:rPr>
        <w:t>Rep. a WHO/IDF Consult. Geneva World Heal. Organ.</w:t>
      </w:r>
      <w:r w:rsidRPr="00572BFC">
        <w:rPr>
          <w:rFonts w:ascii="Times New Roman" w:hAnsi="Times New Roman"/>
          <w:noProof/>
        </w:rPr>
        <w:t xml:space="preserve"> (2006). doi:10.2337/dc13-S067</w:t>
      </w:r>
    </w:p>
    <w:p w14:paraId="398249AC"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110.</w:t>
      </w:r>
      <w:r w:rsidRPr="00572BFC">
        <w:rPr>
          <w:rFonts w:ascii="Times New Roman" w:hAnsi="Times New Roman"/>
          <w:noProof/>
        </w:rPr>
        <w:tab/>
        <w:t xml:space="preserve">Matthews, D. R. </w:t>
      </w:r>
      <w:r w:rsidRPr="00572BFC">
        <w:rPr>
          <w:rFonts w:ascii="Times New Roman" w:hAnsi="Times New Roman"/>
          <w:i/>
          <w:iCs/>
          <w:noProof/>
        </w:rPr>
        <w:t>et al.</w:t>
      </w:r>
      <w:r w:rsidRPr="00572BFC">
        <w:rPr>
          <w:rFonts w:ascii="Times New Roman" w:hAnsi="Times New Roman"/>
          <w:noProof/>
        </w:rPr>
        <w:t xml:space="preserve"> Homeostasis model assessment: insulin resistance and B-cell function from fasting plasma glucose and insulin concentrations in man. </w:t>
      </w:r>
      <w:r w:rsidRPr="00572BFC">
        <w:rPr>
          <w:rFonts w:ascii="Times New Roman" w:hAnsi="Times New Roman"/>
          <w:i/>
          <w:iCs/>
          <w:noProof/>
        </w:rPr>
        <w:t>Diabetologia</w:t>
      </w:r>
      <w:r w:rsidRPr="00572BFC">
        <w:rPr>
          <w:rFonts w:ascii="Times New Roman" w:hAnsi="Times New Roman"/>
          <w:noProof/>
        </w:rPr>
        <w:t xml:space="preserve"> </w:t>
      </w:r>
      <w:r w:rsidRPr="00572BFC">
        <w:rPr>
          <w:rFonts w:ascii="Times New Roman" w:hAnsi="Times New Roman"/>
          <w:b/>
          <w:bCs/>
          <w:noProof/>
        </w:rPr>
        <w:t>28,</w:t>
      </w:r>
      <w:r w:rsidRPr="00572BFC">
        <w:rPr>
          <w:rFonts w:ascii="Times New Roman" w:hAnsi="Times New Roman"/>
          <w:noProof/>
        </w:rPr>
        <w:t xml:space="preserve"> 412–419 (1985).</w:t>
      </w:r>
    </w:p>
    <w:p w14:paraId="565128C5"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111.</w:t>
      </w:r>
      <w:r w:rsidRPr="00572BFC">
        <w:rPr>
          <w:rFonts w:ascii="Times New Roman" w:hAnsi="Times New Roman"/>
          <w:noProof/>
        </w:rPr>
        <w:tab/>
        <w:t xml:space="preserve">Matsuda, M. &amp; DeFronzo, R. Insulin Sensitivity Indices Obtained From Oral Glucose Tolerance Testing. </w:t>
      </w:r>
      <w:r w:rsidRPr="00572BFC">
        <w:rPr>
          <w:rFonts w:ascii="Times New Roman" w:hAnsi="Times New Roman"/>
          <w:i/>
          <w:iCs/>
          <w:noProof/>
        </w:rPr>
        <w:t>Diabetes Care</w:t>
      </w:r>
      <w:r w:rsidRPr="00572BFC">
        <w:rPr>
          <w:rFonts w:ascii="Times New Roman" w:hAnsi="Times New Roman"/>
          <w:noProof/>
        </w:rPr>
        <w:t xml:space="preserve"> </w:t>
      </w:r>
      <w:r w:rsidRPr="00572BFC">
        <w:rPr>
          <w:rFonts w:ascii="Times New Roman" w:hAnsi="Times New Roman"/>
          <w:b/>
          <w:bCs/>
          <w:noProof/>
        </w:rPr>
        <w:t>22,</w:t>
      </w:r>
      <w:r w:rsidRPr="00572BFC">
        <w:rPr>
          <w:rFonts w:ascii="Times New Roman" w:hAnsi="Times New Roman"/>
          <w:noProof/>
        </w:rPr>
        <w:t xml:space="preserve"> 1462–1470 (1999).</w:t>
      </w:r>
    </w:p>
    <w:p w14:paraId="0295ECE1"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112.</w:t>
      </w:r>
      <w:r w:rsidRPr="00572BFC">
        <w:rPr>
          <w:rFonts w:ascii="Times New Roman" w:hAnsi="Times New Roman"/>
          <w:noProof/>
        </w:rPr>
        <w:tab/>
        <w:t xml:space="preserve">Radikova, Z. </w:t>
      </w:r>
      <w:r w:rsidRPr="00572BFC">
        <w:rPr>
          <w:rFonts w:ascii="Times New Roman" w:hAnsi="Times New Roman"/>
          <w:i/>
          <w:iCs/>
          <w:noProof/>
        </w:rPr>
        <w:t>et al.</w:t>
      </w:r>
      <w:r w:rsidRPr="00572BFC">
        <w:rPr>
          <w:rFonts w:ascii="Times New Roman" w:hAnsi="Times New Roman"/>
          <w:noProof/>
        </w:rPr>
        <w:t xml:space="preserve"> Insulin sensitivity indices: A proposal of cut-off points for simple identification of insulin-resistant subjects. </w:t>
      </w:r>
      <w:r w:rsidRPr="00572BFC">
        <w:rPr>
          <w:rFonts w:ascii="Times New Roman" w:hAnsi="Times New Roman"/>
          <w:i/>
          <w:iCs/>
          <w:noProof/>
        </w:rPr>
        <w:t>Exp. Clin. Endocrinol. Diabetes</w:t>
      </w:r>
      <w:r w:rsidRPr="00572BFC">
        <w:rPr>
          <w:rFonts w:ascii="Times New Roman" w:hAnsi="Times New Roman"/>
          <w:noProof/>
        </w:rPr>
        <w:t xml:space="preserve"> </w:t>
      </w:r>
      <w:r w:rsidRPr="00572BFC">
        <w:rPr>
          <w:rFonts w:ascii="Times New Roman" w:hAnsi="Times New Roman"/>
          <w:b/>
          <w:bCs/>
          <w:noProof/>
        </w:rPr>
        <w:t>114,</w:t>
      </w:r>
      <w:r w:rsidRPr="00572BFC">
        <w:rPr>
          <w:rFonts w:ascii="Times New Roman" w:hAnsi="Times New Roman"/>
          <w:noProof/>
        </w:rPr>
        <w:t xml:space="preserve"> 249–256 (2006).</w:t>
      </w:r>
    </w:p>
    <w:p w14:paraId="4CAD2903"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113.</w:t>
      </w:r>
      <w:r w:rsidRPr="00572BFC">
        <w:rPr>
          <w:rFonts w:ascii="Times New Roman" w:hAnsi="Times New Roman"/>
          <w:noProof/>
        </w:rPr>
        <w:tab/>
        <w:t xml:space="preserve">Reaven, G. M. Role of insulin resistance in human disease. </w:t>
      </w:r>
      <w:r w:rsidRPr="00572BFC">
        <w:rPr>
          <w:rFonts w:ascii="Times New Roman" w:hAnsi="Times New Roman"/>
          <w:i/>
          <w:iCs/>
          <w:noProof/>
        </w:rPr>
        <w:t>Diabetes</w:t>
      </w:r>
      <w:r w:rsidRPr="00572BFC">
        <w:rPr>
          <w:rFonts w:ascii="Times New Roman" w:hAnsi="Times New Roman"/>
          <w:noProof/>
        </w:rPr>
        <w:t xml:space="preserve"> </w:t>
      </w:r>
      <w:r w:rsidRPr="00572BFC">
        <w:rPr>
          <w:rFonts w:ascii="Times New Roman" w:hAnsi="Times New Roman"/>
          <w:b/>
          <w:bCs/>
          <w:noProof/>
        </w:rPr>
        <w:t>37,</w:t>
      </w:r>
      <w:r w:rsidRPr="00572BFC">
        <w:rPr>
          <w:rFonts w:ascii="Times New Roman" w:hAnsi="Times New Roman"/>
          <w:noProof/>
        </w:rPr>
        <w:t xml:space="preserve"> (1988).</w:t>
      </w:r>
    </w:p>
    <w:p w14:paraId="2A0B378D"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114.</w:t>
      </w:r>
      <w:r w:rsidRPr="00572BFC">
        <w:rPr>
          <w:rFonts w:ascii="Times New Roman" w:hAnsi="Times New Roman"/>
          <w:noProof/>
        </w:rPr>
        <w:tab/>
        <w:t xml:space="preserve">Reaven, G. M. The insulin resistance syndrome: definition and dietary approaches to treatment. </w:t>
      </w:r>
      <w:r w:rsidRPr="00572BFC">
        <w:rPr>
          <w:rFonts w:ascii="Times New Roman" w:hAnsi="Times New Roman"/>
          <w:i/>
          <w:iCs/>
          <w:noProof/>
        </w:rPr>
        <w:t>Annu. Rev. Nutr.</w:t>
      </w:r>
      <w:r w:rsidRPr="00572BFC">
        <w:rPr>
          <w:rFonts w:ascii="Times New Roman" w:hAnsi="Times New Roman"/>
          <w:noProof/>
        </w:rPr>
        <w:t xml:space="preserve"> </w:t>
      </w:r>
      <w:r w:rsidRPr="00572BFC">
        <w:rPr>
          <w:rFonts w:ascii="Times New Roman" w:hAnsi="Times New Roman"/>
          <w:b/>
          <w:bCs/>
          <w:noProof/>
        </w:rPr>
        <w:t>25,</w:t>
      </w:r>
      <w:r w:rsidRPr="00572BFC">
        <w:rPr>
          <w:rFonts w:ascii="Times New Roman" w:hAnsi="Times New Roman"/>
          <w:noProof/>
        </w:rPr>
        <w:t xml:space="preserve"> 391–406 (2005).</w:t>
      </w:r>
    </w:p>
    <w:p w14:paraId="0B5EF671"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115.</w:t>
      </w:r>
      <w:r w:rsidRPr="00572BFC">
        <w:rPr>
          <w:rFonts w:ascii="Times New Roman" w:hAnsi="Times New Roman"/>
          <w:noProof/>
        </w:rPr>
        <w:tab/>
        <w:t xml:space="preserve">Heath, G. W. </w:t>
      </w:r>
      <w:r w:rsidRPr="00572BFC">
        <w:rPr>
          <w:rFonts w:ascii="Times New Roman" w:hAnsi="Times New Roman"/>
          <w:i/>
          <w:iCs/>
          <w:noProof/>
        </w:rPr>
        <w:t>et al.</w:t>
      </w:r>
      <w:r w:rsidRPr="00572BFC">
        <w:rPr>
          <w:rFonts w:ascii="Times New Roman" w:hAnsi="Times New Roman"/>
          <w:noProof/>
        </w:rPr>
        <w:t xml:space="preserve"> Effects of exercise and lack of exercise on glucose tolerance and insulin sensitivity. </w:t>
      </w:r>
      <w:r w:rsidRPr="00572BFC">
        <w:rPr>
          <w:rFonts w:ascii="Times New Roman" w:hAnsi="Times New Roman"/>
          <w:i/>
          <w:iCs/>
          <w:noProof/>
        </w:rPr>
        <w:t>J. Appl. Physiol.</w:t>
      </w:r>
      <w:r w:rsidRPr="00572BFC">
        <w:rPr>
          <w:rFonts w:ascii="Times New Roman" w:hAnsi="Times New Roman"/>
          <w:noProof/>
        </w:rPr>
        <w:t xml:space="preserve"> </w:t>
      </w:r>
      <w:r w:rsidRPr="00572BFC">
        <w:rPr>
          <w:rFonts w:ascii="Times New Roman" w:hAnsi="Times New Roman"/>
          <w:b/>
          <w:bCs/>
          <w:noProof/>
        </w:rPr>
        <w:t>55,</w:t>
      </w:r>
      <w:r w:rsidRPr="00572BFC">
        <w:rPr>
          <w:rFonts w:ascii="Times New Roman" w:hAnsi="Times New Roman"/>
          <w:noProof/>
        </w:rPr>
        <w:t xml:space="preserve"> 512–517 (1983).</w:t>
      </w:r>
    </w:p>
    <w:p w14:paraId="5520F4D6"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116.</w:t>
      </w:r>
      <w:r w:rsidRPr="00572BFC">
        <w:rPr>
          <w:rFonts w:ascii="Times New Roman" w:hAnsi="Times New Roman"/>
          <w:noProof/>
        </w:rPr>
        <w:tab/>
        <w:t xml:space="preserve">Swartz, A. M. </w:t>
      </w:r>
      <w:r w:rsidRPr="00572BFC">
        <w:rPr>
          <w:rFonts w:ascii="Times New Roman" w:hAnsi="Times New Roman"/>
          <w:i/>
          <w:iCs/>
          <w:noProof/>
        </w:rPr>
        <w:t>et al.</w:t>
      </w:r>
      <w:r w:rsidRPr="00572BFC">
        <w:rPr>
          <w:rFonts w:ascii="Times New Roman" w:hAnsi="Times New Roman"/>
          <w:noProof/>
        </w:rPr>
        <w:t xml:space="preserve"> Increasing daily walking improves glucose tolerance in overweight women. </w:t>
      </w:r>
      <w:r w:rsidRPr="00572BFC">
        <w:rPr>
          <w:rFonts w:ascii="Times New Roman" w:hAnsi="Times New Roman"/>
          <w:i/>
          <w:iCs/>
          <w:noProof/>
        </w:rPr>
        <w:t>Prev. Med. (Baltim).</w:t>
      </w:r>
      <w:r w:rsidRPr="00572BFC">
        <w:rPr>
          <w:rFonts w:ascii="Times New Roman" w:hAnsi="Times New Roman"/>
          <w:noProof/>
        </w:rPr>
        <w:t xml:space="preserve"> </w:t>
      </w:r>
      <w:r w:rsidRPr="00572BFC">
        <w:rPr>
          <w:rFonts w:ascii="Times New Roman" w:hAnsi="Times New Roman"/>
          <w:b/>
          <w:bCs/>
          <w:noProof/>
        </w:rPr>
        <w:t>37,</w:t>
      </w:r>
      <w:r w:rsidRPr="00572BFC">
        <w:rPr>
          <w:rFonts w:ascii="Times New Roman" w:hAnsi="Times New Roman"/>
          <w:noProof/>
        </w:rPr>
        <w:t xml:space="preserve"> 356–362 (2003).</w:t>
      </w:r>
    </w:p>
    <w:p w14:paraId="6C5DA0E3"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117.</w:t>
      </w:r>
      <w:r w:rsidRPr="00572BFC">
        <w:rPr>
          <w:rFonts w:ascii="Times New Roman" w:hAnsi="Times New Roman"/>
          <w:noProof/>
        </w:rPr>
        <w:tab/>
        <w:t xml:space="preserve">Bloem, C. J. &amp; Chang, A. M. Short-term exercise improves beta-cell function and insulin resistance in older people with impaired glucose tolerance. </w:t>
      </w:r>
      <w:r w:rsidRPr="00572BFC">
        <w:rPr>
          <w:rFonts w:ascii="Times New Roman" w:hAnsi="Times New Roman"/>
          <w:i/>
          <w:iCs/>
          <w:noProof/>
        </w:rPr>
        <w:t>J. Clin. Endocrinol. Metab.</w:t>
      </w:r>
      <w:r w:rsidRPr="00572BFC">
        <w:rPr>
          <w:rFonts w:ascii="Times New Roman" w:hAnsi="Times New Roman"/>
          <w:noProof/>
        </w:rPr>
        <w:t xml:space="preserve"> </w:t>
      </w:r>
      <w:r w:rsidRPr="00572BFC">
        <w:rPr>
          <w:rFonts w:ascii="Times New Roman" w:hAnsi="Times New Roman"/>
          <w:b/>
          <w:bCs/>
          <w:noProof/>
        </w:rPr>
        <w:t>93,</w:t>
      </w:r>
      <w:r w:rsidRPr="00572BFC">
        <w:rPr>
          <w:rFonts w:ascii="Times New Roman" w:hAnsi="Times New Roman"/>
          <w:noProof/>
        </w:rPr>
        <w:t xml:space="preserve"> 387–392 (2008).</w:t>
      </w:r>
    </w:p>
    <w:p w14:paraId="5EF21AED"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118.</w:t>
      </w:r>
      <w:r w:rsidRPr="00572BFC">
        <w:rPr>
          <w:rFonts w:ascii="Times New Roman" w:hAnsi="Times New Roman"/>
          <w:noProof/>
        </w:rPr>
        <w:tab/>
        <w:t xml:space="preserve">Stephens, B. R., Granados, K., Zderic, T. W., Hamilton, M. T. &amp; Braun, B. Effects of 1 day of inactivity on insulin action in healthy men and women: interaction with energy intake. </w:t>
      </w:r>
      <w:r w:rsidRPr="00572BFC">
        <w:rPr>
          <w:rFonts w:ascii="Times New Roman" w:hAnsi="Times New Roman"/>
          <w:i/>
          <w:iCs/>
          <w:noProof/>
        </w:rPr>
        <w:t>Metabolism.</w:t>
      </w:r>
      <w:r w:rsidRPr="00572BFC">
        <w:rPr>
          <w:rFonts w:ascii="Times New Roman" w:hAnsi="Times New Roman"/>
          <w:noProof/>
        </w:rPr>
        <w:t xml:space="preserve"> </w:t>
      </w:r>
      <w:r w:rsidRPr="00572BFC">
        <w:rPr>
          <w:rFonts w:ascii="Times New Roman" w:hAnsi="Times New Roman"/>
          <w:b/>
          <w:bCs/>
          <w:noProof/>
        </w:rPr>
        <w:t>60,</w:t>
      </w:r>
      <w:r w:rsidRPr="00572BFC">
        <w:rPr>
          <w:rFonts w:ascii="Times New Roman" w:hAnsi="Times New Roman"/>
          <w:noProof/>
        </w:rPr>
        <w:t xml:space="preserve"> 941–9 (2011).</w:t>
      </w:r>
    </w:p>
    <w:p w14:paraId="08FFD6AF"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119.</w:t>
      </w:r>
      <w:r w:rsidRPr="00572BFC">
        <w:rPr>
          <w:rFonts w:ascii="Times New Roman" w:hAnsi="Times New Roman"/>
          <w:noProof/>
        </w:rPr>
        <w:tab/>
        <w:t xml:space="preserve">Stumvoll, M. </w:t>
      </w:r>
      <w:r w:rsidRPr="00572BFC">
        <w:rPr>
          <w:rFonts w:ascii="Times New Roman" w:hAnsi="Times New Roman"/>
          <w:i/>
          <w:iCs/>
          <w:noProof/>
        </w:rPr>
        <w:t>et al.</w:t>
      </w:r>
      <w:r w:rsidRPr="00572BFC">
        <w:rPr>
          <w:rFonts w:ascii="Times New Roman" w:hAnsi="Times New Roman"/>
          <w:noProof/>
        </w:rPr>
        <w:t xml:space="preserve"> Use of the oral glucose tolerance test to assess insulin release and insulin sensitivity. </w:t>
      </w:r>
      <w:r w:rsidRPr="00572BFC">
        <w:rPr>
          <w:rFonts w:ascii="Times New Roman" w:hAnsi="Times New Roman"/>
          <w:i/>
          <w:iCs/>
          <w:noProof/>
        </w:rPr>
        <w:t>Diabetes Care</w:t>
      </w:r>
      <w:r w:rsidRPr="00572BFC">
        <w:rPr>
          <w:rFonts w:ascii="Times New Roman" w:hAnsi="Times New Roman"/>
          <w:noProof/>
        </w:rPr>
        <w:t xml:space="preserve"> </w:t>
      </w:r>
      <w:r w:rsidRPr="00572BFC">
        <w:rPr>
          <w:rFonts w:ascii="Times New Roman" w:hAnsi="Times New Roman"/>
          <w:b/>
          <w:bCs/>
          <w:noProof/>
        </w:rPr>
        <w:t>23,</w:t>
      </w:r>
      <w:r w:rsidRPr="00572BFC">
        <w:rPr>
          <w:rFonts w:ascii="Times New Roman" w:hAnsi="Times New Roman"/>
          <w:noProof/>
        </w:rPr>
        <w:t xml:space="preserve"> 295–301 (2000).</w:t>
      </w:r>
    </w:p>
    <w:p w14:paraId="59DBB038"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120.</w:t>
      </w:r>
      <w:r w:rsidRPr="00572BFC">
        <w:rPr>
          <w:rFonts w:ascii="Times New Roman" w:hAnsi="Times New Roman"/>
          <w:noProof/>
        </w:rPr>
        <w:tab/>
        <w:t xml:space="preserve">Ginsberg, B. H. Factors affecting blood glucose monitoring: sources of errors in measurement. </w:t>
      </w:r>
      <w:r w:rsidRPr="00572BFC">
        <w:rPr>
          <w:rFonts w:ascii="Times New Roman" w:hAnsi="Times New Roman"/>
          <w:i/>
          <w:iCs/>
          <w:noProof/>
        </w:rPr>
        <w:t>J. diabetes Sci. Technol.</w:t>
      </w:r>
      <w:r w:rsidRPr="00572BFC">
        <w:rPr>
          <w:rFonts w:ascii="Times New Roman" w:hAnsi="Times New Roman"/>
          <w:noProof/>
        </w:rPr>
        <w:t xml:space="preserve"> </w:t>
      </w:r>
      <w:r w:rsidRPr="00572BFC">
        <w:rPr>
          <w:rFonts w:ascii="Times New Roman" w:hAnsi="Times New Roman"/>
          <w:b/>
          <w:bCs/>
          <w:noProof/>
        </w:rPr>
        <w:t>3,</w:t>
      </w:r>
      <w:r w:rsidRPr="00572BFC">
        <w:rPr>
          <w:rFonts w:ascii="Times New Roman" w:hAnsi="Times New Roman"/>
          <w:noProof/>
        </w:rPr>
        <w:t xml:space="preserve"> 903–913 (2009).</w:t>
      </w:r>
    </w:p>
    <w:p w14:paraId="5C043A78"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121.</w:t>
      </w:r>
      <w:r w:rsidRPr="00572BFC">
        <w:rPr>
          <w:rFonts w:ascii="Times New Roman" w:hAnsi="Times New Roman"/>
          <w:noProof/>
        </w:rPr>
        <w:tab/>
        <w:t xml:space="preserve">Colagiuri, S. </w:t>
      </w:r>
      <w:r w:rsidRPr="00572BFC">
        <w:rPr>
          <w:rFonts w:ascii="Times New Roman" w:hAnsi="Times New Roman"/>
          <w:i/>
          <w:iCs/>
          <w:noProof/>
        </w:rPr>
        <w:t>et al.</w:t>
      </w:r>
      <w:r w:rsidRPr="00572BFC">
        <w:rPr>
          <w:rFonts w:ascii="Times New Roman" w:hAnsi="Times New Roman"/>
          <w:noProof/>
        </w:rPr>
        <w:t xml:space="preserve"> Comparability of venous and capillary glucose measurements in blood. </w:t>
      </w:r>
      <w:r w:rsidRPr="00572BFC">
        <w:rPr>
          <w:rFonts w:ascii="Times New Roman" w:hAnsi="Times New Roman"/>
          <w:i/>
          <w:iCs/>
          <w:noProof/>
        </w:rPr>
        <w:t>Diabet. Med.</w:t>
      </w:r>
      <w:r w:rsidRPr="00572BFC">
        <w:rPr>
          <w:rFonts w:ascii="Times New Roman" w:hAnsi="Times New Roman"/>
          <w:noProof/>
        </w:rPr>
        <w:t xml:space="preserve"> </w:t>
      </w:r>
      <w:r w:rsidRPr="00572BFC">
        <w:rPr>
          <w:rFonts w:ascii="Times New Roman" w:hAnsi="Times New Roman"/>
          <w:b/>
          <w:bCs/>
          <w:noProof/>
        </w:rPr>
        <w:t>20,</w:t>
      </w:r>
      <w:r w:rsidRPr="00572BFC">
        <w:rPr>
          <w:rFonts w:ascii="Times New Roman" w:hAnsi="Times New Roman"/>
          <w:noProof/>
        </w:rPr>
        <w:t xml:space="preserve"> 953–956 (2003).</w:t>
      </w:r>
    </w:p>
    <w:p w14:paraId="2943FD8A"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122.</w:t>
      </w:r>
      <w:r w:rsidRPr="00572BFC">
        <w:rPr>
          <w:rFonts w:ascii="Times New Roman" w:hAnsi="Times New Roman"/>
          <w:noProof/>
        </w:rPr>
        <w:tab/>
        <w:t xml:space="preserve">Burrin, J. M. &amp; Alberti, K. G. What is blood glucose: can it be measured? </w:t>
      </w:r>
      <w:r w:rsidRPr="00572BFC">
        <w:rPr>
          <w:rFonts w:ascii="Times New Roman" w:hAnsi="Times New Roman"/>
          <w:i/>
          <w:iCs/>
          <w:noProof/>
        </w:rPr>
        <w:t>Diabet. Med.</w:t>
      </w:r>
      <w:r w:rsidRPr="00572BFC">
        <w:rPr>
          <w:rFonts w:ascii="Times New Roman" w:hAnsi="Times New Roman"/>
          <w:noProof/>
        </w:rPr>
        <w:t xml:space="preserve"> </w:t>
      </w:r>
      <w:r w:rsidRPr="00572BFC">
        <w:rPr>
          <w:rFonts w:ascii="Times New Roman" w:hAnsi="Times New Roman"/>
          <w:b/>
          <w:bCs/>
          <w:noProof/>
        </w:rPr>
        <w:t>7,</w:t>
      </w:r>
      <w:r w:rsidRPr="00572BFC">
        <w:rPr>
          <w:rFonts w:ascii="Times New Roman" w:hAnsi="Times New Roman"/>
          <w:noProof/>
        </w:rPr>
        <w:t xml:space="preserve"> 199–206</w:t>
      </w:r>
    </w:p>
    <w:p w14:paraId="306258D9"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123.</w:t>
      </w:r>
      <w:r w:rsidRPr="00572BFC">
        <w:rPr>
          <w:rFonts w:ascii="Times New Roman" w:hAnsi="Times New Roman"/>
          <w:noProof/>
        </w:rPr>
        <w:tab/>
        <w:t xml:space="preserve">Petersen, L. J., Kristensen, J. K. &amp; Bülow, J. Microdialysis of the interstitial water space in human skin in vivo: quantitative measurement of cutaneous glucose concentrations. </w:t>
      </w:r>
      <w:r w:rsidRPr="00572BFC">
        <w:rPr>
          <w:rFonts w:ascii="Times New Roman" w:hAnsi="Times New Roman"/>
          <w:i/>
          <w:iCs/>
          <w:noProof/>
        </w:rPr>
        <w:t>J. Invest. Dermatol.</w:t>
      </w:r>
      <w:r w:rsidRPr="00572BFC">
        <w:rPr>
          <w:rFonts w:ascii="Times New Roman" w:hAnsi="Times New Roman"/>
          <w:noProof/>
        </w:rPr>
        <w:t xml:space="preserve"> </w:t>
      </w:r>
      <w:r w:rsidRPr="00572BFC">
        <w:rPr>
          <w:rFonts w:ascii="Times New Roman" w:hAnsi="Times New Roman"/>
          <w:b/>
          <w:bCs/>
          <w:noProof/>
        </w:rPr>
        <w:t>99,</w:t>
      </w:r>
      <w:r w:rsidRPr="00572BFC">
        <w:rPr>
          <w:rFonts w:ascii="Times New Roman" w:hAnsi="Times New Roman"/>
          <w:noProof/>
        </w:rPr>
        <w:t xml:space="preserve"> 357–360 (1992).</w:t>
      </w:r>
    </w:p>
    <w:p w14:paraId="47F73BC6"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124.</w:t>
      </w:r>
      <w:r w:rsidRPr="00572BFC">
        <w:rPr>
          <w:rFonts w:ascii="Times New Roman" w:hAnsi="Times New Roman"/>
          <w:noProof/>
        </w:rPr>
        <w:tab/>
        <w:t xml:space="preserve">Petersen, L. J. Interstitial lactate levels in human skin at rest and during an oral glucose load: a microdialysis study. </w:t>
      </w:r>
      <w:r w:rsidRPr="00572BFC">
        <w:rPr>
          <w:rFonts w:ascii="Times New Roman" w:hAnsi="Times New Roman"/>
          <w:i/>
          <w:iCs/>
          <w:noProof/>
        </w:rPr>
        <w:t>Clin. Physiol.</w:t>
      </w:r>
      <w:r w:rsidRPr="00572BFC">
        <w:rPr>
          <w:rFonts w:ascii="Times New Roman" w:hAnsi="Times New Roman"/>
          <w:noProof/>
        </w:rPr>
        <w:t xml:space="preserve"> </w:t>
      </w:r>
      <w:r w:rsidRPr="00572BFC">
        <w:rPr>
          <w:rFonts w:ascii="Times New Roman" w:hAnsi="Times New Roman"/>
          <w:b/>
          <w:bCs/>
          <w:noProof/>
        </w:rPr>
        <w:t>19,</w:t>
      </w:r>
      <w:r w:rsidRPr="00572BFC">
        <w:rPr>
          <w:rFonts w:ascii="Times New Roman" w:hAnsi="Times New Roman"/>
          <w:noProof/>
        </w:rPr>
        <w:t xml:space="preserve"> 246–250 (1999).</w:t>
      </w:r>
    </w:p>
    <w:p w14:paraId="72BCE495"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125.</w:t>
      </w:r>
      <w:r w:rsidRPr="00572BFC">
        <w:rPr>
          <w:rFonts w:ascii="Times New Roman" w:hAnsi="Times New Roman"/>
          <w:noProof/>
        </w:rPr>
        <w:tab/>
        <w:t xml:space="preserve">Weinstein, R. L. </w:t>
      </w:r>
      <w:r w:rsidRPr="00572BFC">
        <w:rPr>
          <w:rFonts w:ascii="Times New Roman" w:hAnsi="Times New Roman"/>
          <w:i/>
          <w:iCs/>
          <w:noProof/>
        </w:rPr>
        <w:t>et al.</w:t>
      </w:r>
      <w:r w:rsidRPr="00572BFC">
        <w:rPr>
          <w:rFonts w:ascii="Times New Roman" w:hAnsi="Times New Roman"/>
          <w:noProof/>
        </w:rPr>
        <w:t xml:space="preserve"> Accuracy of the 5-day FreeStyle Navigator Continuous Glucose Monitoring System: Comparison with frequent laboratory reference measurements. </w:t>
      </w:r>
      <w:r w:rsidRPr="00572BFC">
        <w:rPr>
          <w:rFonts w:ascii="Times New Roman" w:hAnsi="Times New Roman"/>
          <w:i/>
          <w:iCs/>
          <w:noProof/>
        </w:rPr>
        <w:t>Diabetes Care</w:t>
      </w:r>
      <w:r w:rsidRPr="00572BFC">
        <w:rPr>
          <w:rFonts w:ascii="Times New Roman" w:hAnsi="Times New Roman"/>
          <w:noProof/>
        </w:rPr>
        <w:t xml:space="preserve"> </w:t>
      </w:r>
      <w:r w:rsidRPr="00572BFC">
        <w:rPr>
          <w:rFonts w:ascii="Times New Roman" w:hAnsi="Times New Roman"/>
          <w:b/>
          <w:bCs/>
          <w:noProof/>
        </w:rPr>
        <w:t>30,</w:t>
      </w:r>
      <w:r w:rsidRPr="00572BFC">
        <w:rPr>
          <w:rFonts w:ascii="Times New Roman" w:hAnsi="Times New Roman"/>
          <w:noProof/>
        </w:rPr>
        <w:t xml:space="preserve"> 1125–1130 (2007).</w:t>
      </w:r>
    </w:p>
    <w:p w14:paraId="539A172C"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126.</w:t>
      </w:r>
      <w:r w:rsidRPr="00572BFC">
        <w:rPr>
          <w:rFonts w:ascii="Times New Roman" w:hAnsi="Times New Roman"/>
          <w:noProof/>
        </w:rPr>
        <w:tab/>
        <w:t xml:space="preserve">Little, J. P. </w:t>
      </w:r>
      <w:r w:rsidRPr="00572BFC">
        <w:rPr>
          <w:rFonts w:ascii="Times New Roman" w:hAnsi="Times New Roman"/>
          <w:i/>
          <w:iCs/>
          <w:noProof/>
        </w:rPr>
        <w:t>et al.</w:t>
      </w:r>
      <w:r w:rsidRPr="00572BFC">
        <w:rPr>
          <w:rFonts w:ascii="Times New Roman" w:hAnsi="Times New Roman"/>
          <w:noProof/>
        </w:rPr>
        <w:t xml:space="preserve"> Low-volume high-intensity interval training reduces hyperglycemia and increases muscle mitochondrial capacity in patients with type 2 diabetes. </w:t>
      </w:r>
      <w:r w:rsidRPr="00572BFC">
        <w:rPr>
          <w:rFonts w:ascii="Times New Roman" w:hAnsi="Times New Roman"/>
          <w:i/>
          <w:iCs/>
          <w:noProof/>
        </w:rPr>
        <w:t>J. Appl. Physiol.</w:t>
      </w:r>
      <w:r w:rsidRPr="00572BFC">
        <w:rPr>
          <w:rFonts w:ascii="Times New Roman" w:hAnsi="Times New Roman"/>
          <w:noProof/>
        </w:rPr>
        <w:t xml:space="preserve"> </w:t>
      </w:r>
      <w:r w:rsidRPr="00572BFC">
        <w:rPr>
          <w:rFonts w:ascii="Times New Roman" w:hAnsi="Times New Roman"/>
          <w:b/>
          <w:bCs/>
          <w:noProof/>
        </w:rPr>
        <w:t>111,</w:t>
      </w:r>
      <w:r w:rsidRPr="00572BFC">
        <w:rPr>
          <w:rFonts w:ascii="Times New Roman" w:hAnsi="Times New Roman"/>
          <w:noProof/>
        </w:rPr>
        <w:t xml:space="preserve"> 1554–1560 (2011).</w:t>
      </w:r>
    </w:p>
    <w:p w14:paraId="5977D451"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127.</w:t>
      </w:r>
      <w:r w:rsidRPr="00572BFC">
        <w:rPr>
          <w:rFonts w:ascii="Times New Roman" w:hAnsi="Times New Roman"/>
          <w:noProof/>
        </w:rPr>
        <w:tab/>
        <w:t xml:space="preserve">Suzuki, H. </w:t>
      </w:r>
      <w:r w:rsidRPr="00572BFC">
        <w:rPr>
          <w:rFonts w:ascii="Times New Roman" w:hAnsi="Times New Roman"/>
          <w:i/>
          <w:iCs/>
          <w:noProof/>
        </w:rPr>
        <w:t>et al.</w:t>
      </w:r>
      <w:r w:rsidRPr="00572BFC">
        <w:rPr>
          <w:rFonts w:ascii="Times New Roman" w:hAnsi="Times New Roman"/>
          <w:noProof/>
        </w:rPr>
        <w:t xml:space="preserve"> Factors responsible for development from normal glucose tolerance to isolated postchallenge hyperglycemia. </w:t>
      </w:r>
      <w:r w:rsidRPr="00572BFC">
        <w:rPr>
          <w:rFonts w:ascii="Times New Roman" w:hAnsi="Times New Roman"/>
          <w:i/>
          <w:iCs/>
          <w:noProof/>
        </w:rPr>
        <w:t>Diabetes Care</w:t>
      </w:r>
      <w:r w:rsidRPr="00572BFC">
        <w:rPr>
          <w:rFonts w:ascii="Times New Roman" w:hAnsi="Times New Roman"/>
          <w:noProof/>
        </w:rPr>
        <w:t xml:space="preserve"> </w:t>
      </w:r>
      <w:r w:rsidRPr="00572BFC">
        <w:rPr>
          <w:rFonts w:ascii="Times New Roman" w:hAnsi="Times New Roman"/>
          <w:b/>
          <w:bCs/>
          <w:noProof/>
        </w:rPr>
        <w:t>26,</w:t>
      </w:r>
      <w:r w:rsidRPr="00572BFC">
        <w:rPr>
          <w:rFonts w:ascii="Times New Roman" w:hAnsi="Times New Roman"/>
          <w:noProof/>
        </w:rPr>
        <w:t xml:space="preserve"> 1211–1215 (2003).</w:t>
      </w:r>
    </w:p>
    <w:p w14:paraId="6518FF64"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128.</w:t>
      </w:r>
      <w:r w:rsidRPr="00572BFC">
        <w:rPr>
          <w:rFonts w:ascii="Times New Roman" w:hAnsi="Times New Roman"/>
          <w:noProof/>
        </w:rPr>
        <w:tab/>
        <w:t xml:space="preserve">Levitan, E. B., Song, Y., Ford, E. S. &amp; Liu, S. Is nondiabetic hyperglycemia a risk factor for cardiovascular disease? A meta-analysis of prospective studies. </w:t>
      </w:r>
      <w:r w:rsidRPr="00572BFC">
        <w:rPr>
          <w:rFonts w:ascii="Times New Roman" w:hAnsi="Times New Roman"/>
          <w:i/>
          <w:iCs/>
          <w:noProof/>
        </w:rPr>
        <w:t>Arch. Intern. Med.</w:t>
      </w:r>
      <w:r w:rsidRPr="00572BFC">
        <w:rPr>
          <w:rFonts w:ascii="Times New Roman" w:hAnsi="Times New Roman"/>
          <w:noProof/>
        </w:rPr>
        <w:t xml:space="preserve"> </w:t>
      </w:r>
      <w:r w:rsidRPr="00572BFC">
        <w:rPr>
          <w:rFonts w:ascii="Times New Roman" w:hAnsi="Times New Roman"/>
          <w:b/>
          <w:bCs/>
          <w:noProof/>
        </w:rPr>
        <w:t>164,</w:t>
      </w:r>
      <w:r w:rsidRPr="00572BFC">
        <w:rPr>
          <w:rFonts w:ascii="Times New Roman" w:hAnsi="Times New Roman"/>
          <w:noProof/>
        </w:rPr>
        <w:t xml:space="preserve"> 2147–2155 (2004).</w:t>
      </w:r>
    </w:p>
    <w:p w14:paraId="0B0A829D"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129.</w:t>
      </w:r>
      <w:r w:rsidRPr="00572BFC">
        <w:rPr>
          <w:rFonts w:ascii="Times New Roman" w:hAnsi="Times New Roman"/>
          <w:noProof/>
        </w:rPr>
        <w:tab/>
        <w:t xml:space="preserve">Fuller, N. J. </w:t>
      </w:r>
      <w:r w:rsidRPr="00572BFC">
        <w:rPr>
          <w:rFonts w:ascii="Times New Roman" w:hAnsi="Times New Roman"/>
          <w:i/>
          <w:iCs/>
          <w:noProof/>
        </w:rPr>
        <w:t>et al.</w:t>
      </w:r>
      <w:r w:rsidRPr="00572BFC">
        <w:rPr>
          <w:rFonts w:ascii="Times New Roman" w:hAnsi="Times New Roman"/>
          <w:noProof/>
        </w:rPr>
        <w:t xml:space="preserve"> Assessment of limb muscle and adipose tissue by dual-energy X-ray absorptiometry using magnetic resonance imaging for comparison. </w:t>
      </w:r>
      <w:r w:rsidRPr="00572BFC">
        <w:rPr>
          <w:rFonts w:ascii="Times New Roman" w:hAnsi="Times New Roman"/>
          <w:i/>
          <w:iCs/>
          <w:noProof/>
        </w:rPr>
        <w:t>Int. J. Obes.</w:t>
      </w:r>
      <w:r w:rsidRPr="00572BFC">
        <w:rPr>
          <w:rFonts w:ascii="Times New Roman" w:hAnsi="Times New Roman"/>
          <w:noProof/>
        </w:rPr>
        <w:t xml:space="preserve"> </w:t>
      </w:r>
      <w:r w:rsidRPr="00572BFC">
        <w:rPr>
          <w:rFonts w:ascii="Times New Roman" w:hAnsi="Times New Roman"/>
          <w:b/>
          <w:bCs/>
          <w:noProof/>
        </w:rPr>
        <w:t>23,</w:t>
      </w:r>
      <w:r w:rsidRPr="00572BFC">
        <w:rPr>
          <w:rFonts w:ascii="Times New Roman" w:hAnsi="Times New Roman"/>
          <w:noProof/>
        </w:rPr>
        <w:t xml:space="preserve"> 1295–1302 (1999).</w:t>
      </w:r>
    </w:p>
    <w:p w14:paraId="2D416800"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130.</w:t>
      </w:r>
      <w:r w:rsidRPr="00572BFC">
        <w:rPr>
          <w:rFonts w:ascii="Times New Roman" w:hAnsi="Times New Roman"/>
          <w:noProof/>
        </w:rPr>
        <w:tab/>
        <w:t xml:space="preserve">Pietrobelli, a, Wang, Z., Formica, C. &amp; Heymsfield, S. B. Dual-energy X-ray absorptiometry: fat estimation errors due to variation in soft tissue hydration. </w:t>
      </w:r>
      <w:r w:rsidRPr="00572BFC">
        <w:rPr>
          <w:rFonts w:ascii="Times New Roman" w:hAnsi="Times New Roman"/>
          <w:i/>
          <w:iCs/>
          <w:noProof/>
        </w:rPr>
        <w:t>Am. J. Physiol.</w:t>
      </w:r>
      <w:r w:rsidRPr="00572BFC">
        <w:rPr>
          <w:rFonts w:ascii="Times New Roman" w:hAnsi="Times New Roman"/>
          <w:noProof/>
        </w:rPr>
        <w:t xml:space="preserve"> </w:t>
      </w:r>
      <w:r w:rsidRPr="00572BFC">
        <w:rPr>
          <w:rFonts w:ascii="Times New Roman" w:hAnsi="Times New Roman"/>
          <w:b/>
          <w:bCs/>
          <w:noProof/>
        </w:rPr>
        <w:t>274,</w:t>
      </w:r>
      <w:r w:rsidRPr="00572BFC">
        <w:rPr>
          <w:rFonts w:ascii="Times New Roman" w:hAnsi="Times New Roman"/>
          <w:noProof/>
        </w:rPr>
        <w:t xml:space="preserve"> E808–E816 (1998).</w:t>
      </w:r>
    </w:p>
    <w:p w14:paraId="413F8CDC"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131.</w:t>
      </w:r>
      <w:r w:rsidRPr="00572BFC">
        <w:rPr>
          <w:rFonts w:ascii="Times New Roman" w:hAnsi="Times New Roman"/>
          <w:noProof/>
        </w:rPr>
        <w:tab/>
        <w:t xml:space="preserve">Testolin, C. G. </w:t>
      </w:r>
      <w:r w:rsidRPr="00572BFC">
        <w:rPr>
          <w:rFonts w:ascii="Times New Roman" w:hAnsi="Times New Roman"/>
          <w:i/>
          <w:iCs/>
          <w:noProof/>
        </w:rPr>
        <w:t>et al.</w:t>
      </w:r>
      <w:r w:rsidRPr="00572BFC">
        <w:rPr>
          <w:rFonts w:ascii="Times New Roman" w:hAnsi="Times New Roman"/>
          <w:noProof/>
        </w:rPr>
        <w:t xml:space="preserve"> Dual-energy X-ray absorptiometry: analysis of pediatric fat estimate errors due to tissue hydration effects. </w:t>
      </w:r>
      <w:r w:rsidRPr="00572BFC">
        <w:rPr>
          <w:rFonts w:ascii="Times New Roman" w:hAnsi="Times New Roman"/>
          <w:i/>
          <w:iCs/>
          <w:noProof/>
        </w:rPr>
        <w:t>J. Appl. Physiol.</w:t>
      </w:r>
      <w:r w:rsidRPr="00572BFC">
        <w:rPr>
          <w:rFonts w:ascii="Times New Roman" w:hAnsi="Times New Roman"/>
          <w:noProof/>
        </w:rPr>
        <w:t xml:space="preserve"> </w:t>
      </w:r>
      <w:r w:rsidRPr="00572BFC">
        <w:rPr>
          <w:rFonts w:ascii="Times New Roman" w:hAnsi="Times New Roman"/>
          <w:b/>
          <w:bCs/>
          <w:noProof/>
        </w:rPr>
        <w:t>89,</w:t>
      </w:r>
      <w:r w:rsidRPr="00572BFC">
        <w:rPr>
          <w:rFonts w:ascii="Times New Roman" w:hAnsi="Times New Roman"/>
          <w:noProof/>
        </w:rPr>
        <w:t xml:space="preserve"> 2365–2372 (2000).</w:t>
      </w:r>
    </w:p>
    <w:p w14:paraId="3E0BAAFD"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132.</w:t>
      </w:r>
      <w:r w:rsidRPr="00572BFC">
        <w:rPr>
          <w:rFonts w:ascii="Times New Roman" w:hAnsi="Times New Roman"/>
          <w:noProof/>
        </w:rPr>
        <w:tab/>
        <w:t xml:space="preserve">Lohman, T. G., Harris, M., Teixeira, P. J. &amp; Weiss, L. Assessing body composition and changes in body composition: Another look at Dual-Energy X-ray Absorptiometry. </w:t>
      </w:r>
      <w:r w:rsidRPr="00572BFC">
        <w:rPr>
          <w:rFonts w:ascii="Times New Roman" w:hAnsi="Times New Roman"/>
          <w:i/>
          <w:iCs/>
          <w:noProof/>
        </w:rPr>
        <w:t>Ann. N. Y. Acad. Sci.</w:t>
      </w:r>
      <w:r w:rsidRPr="00572BFC">
        <w:rPr>
          <w:rFonts w:ascii="Times New Roman" w:hAnsi="Times New Roman"/>
          <w:noProof/>
        </w:rPr>
        <w:t xml:space="preserve"> </w:t>
      </w:r>
      <w:r w:rsidRPr="00572BFC">
        <w:rPr>
          <w:rFonts w:ascii="Times New Roman" w:hAnsi="Times New Roman"/>
          <w:b/>
          <w:bCs/>
          <w:noProof/>
        </w:rPr>
        <w:t>904,</w:t>
      </w:r>
      <w:r w:rsidRPr="00572BFC">
        <w:rPr>
          <w:rFonts w:ascii="Times New Roman" w:hAnsi="Times New Roman"/>
          <w:noProof/>
        </w:rPr>
        <w:t xml:space="preserve"> 45–54 (2000).</w:t>
      </w:r>
    </w:p>
    <w:p w14:paraId="60AB884C"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133.</w:t>
      </w:r>
      <w:r w:rsidRPr="00572BFC">
        <w:rPr>
          <w:rFonts w:ascii="Times New Roman" w:hAnsi="Times New Roman"/>
          <w:noProof/>
        </w:rPr>
        <w:tab/>
        <w:t xml:space="preserve">Wosje, K. S., Knipstein, B. L. &amp; Kalkwarf, H. J. Measurement Error of DXA: Interpretation of Fat and Lean Mass Changes in Obese and Non-Obese Children. </w:t>
      </w:r>
      <w:r w:rsidRPr="00572BFC">
        <w:rPr>
          <w:rFonts w:ascii="Times New Roman" w:hAnsi="Times New Roman"/>
          <w:i/>
          <w:iCs/>
          <w:noProof/>
        </w:rPr>
        <w:t>J. Clin. Densitom.</w:t>
      </w:r>
      <w:r w:rsidRPr="00572BFC">
        <w:rPr>
          <w:rFonts w:ascii="Times New Roman" w:hAnsi="Times New Roman"/>
          <w:noProof/>
        </w:rPr>
        <w:t xml:space="preserve"> </w:t>
      </w:r>
      <w:r w:rsidRPr="00572BFC">
        <w:rPr>
          <w:rFonts w:ascii="Times New Roman" w:hAnsi="Times New Roman"/>
          <w:b/>
          <w:bCs/>
          <w:noProof/>
        </w:rPr>
        <w:t>9,</w:t>
      </w:r>
      <w:r w:rsidRPr="00572BFC">
        <w:rPr>
          <w:rFonts w:ascii="Times New Roman" w:hAnsi="Times New Roman"/>
          <w:noProof/>
        </w:rPr>
        <w:t xml:space="preserve"> 335–340 (2006).</w:t>
      </w:r>
    </w:p>
    <w:p w14:paraId="2F98A407"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134.</w:t>
      </w:r>
      <w:r w:rsidRPr="00572BFC">
        <w:rPr>
          <w:rFonts w:ascii="Times New Roman" w:hAnsi="Times New Roman"/>
          <w:noProof/>
        </w:rPr>
        <w:tab/>
        <w:t xml:space="preserve">Bredella, M. a </w:t>
      </w:r>
      <w:r w:rsidRPr="00572BFC">
        <w:rPr>
          <w:rFonts w:ascii="Times New Roman" w:hAnsi="Times New Roman"/>
          <w:i/>
          <w:iCs/>
          <w:noProof/>
        </w:rPr>
        <w:t>et al.</w:t>
      </w:r>
      <w:r w:rsidRPr="00572BFC">
        <w:rPr>
          <w:rFonts w:ascii="Times New Roman" w:hAnsi="Times New Roman"/>
          <w:noProof/>
        </w:rPr>
        <w:t xml:space="preserve"> Comparison of DXA and CT in the assessment of body composition in premenopausal women with obesity and anorexia nervosa. </w:t>
      </w:r>
      <w:r w:rsidRPr="00572BFC">
        <w:rPr>
          <w:rFonts w:ascii="Times New Roman" w:hAnsi="Times New Roman"/>
          <w:i/>
          <w:iCs/>
          <w:noProof/>
        </w:rPr>
        <w:t>Obesity (Silver Spring).</w:t>
      </w:r>
      <w:r w:rsidRPr="00572BFC">
        <w:rPr>
          <w:rFonts w:ascii="Times New Roman" w:hAnsi="Times New Roman"/>
          <w:noProof/>
        </w:rPr>
        <w:t xml:space="preserve"> </w:t>
      </w:r>
      <w:r w:rsidRPr="00572BFC">
        <w:rPr>
          <w:rFonts w:ascii="Times New Roman" w:hAnsi="Times New Roman"/>
          <w:b/>
          <w:bCs/>
          <w:noProof/>
        </w:rPr>
        <w:t>18,</w:t>
      </w:r>
      <w:r w:rsidRPr="00572BFC">
        <w:rPr>
          <w:rFonts w:ascii="Times New Roman" w:hAnsi="Times New Roman"/>
          <w:noProof/>
        </w:rPr>
        <w:t xml:space="preserve"> 2227–2233 (2010).</w:t>
      </w:r>
    </w:p>
    <w:p w14:paraId="0DD960E9"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135.</w:t>
      </w:r>
      <w:r w:rsidRPr="00572BFC">
        <w:rPr>
          <w:rFonts w:ascii="Times New Roman" w:hAnsi="Times New Roman"/>
          <w:noProof/>
        </w:rPr>
        <w:tab/>
        <w:t xml:space="preserve">Oates, B. R. </w:t>
      </w:r>
      <w:r w:rsidRPr="00572BFC">
        <w:rPr>
          <w:rFonts w:ascii="Times New Roman" w:hAnsi="Times New Roman"/>
          <w:i/>
          <w:iCs/>
          <w:noProof/>
        </w:rPr>
        <w:t>et al.</w:t>
      </w:r>
      <w:r w:rsidRPr="00572BFC">
        <w:rPr>
          <w:rFonts w:ascii="Times New Roman" w:hAnsi="Times New Roman"/>
          <w:noProof/>
        </w:rPr>
        <w:t xml:space="preserve"> Low-volume resistance exercise attenuates the decline in strength and muscle mass associated with immobilization. </w:t>
      </w:r>
      <w:r w:rsidRPr="00572BFC">
        <w:rPr>
          <w:rFonts w:ascii="Times New Roman" w:hAnsi="Times New Roman"/>
          <w:i/>
          <w:iCs/>
          <w:noProof/>
        </w:rPr>
        <w:t>Muscle Nerve</w:t>
      </w:r>
      <w:r w:rsidRPr="00572BFC">
        <w:rPr>
          <w:rFonts w:ascii="Times New Roman" w:hAnsi="Times New Roman"/>
          <w:noProof/>
        </w:rPr>
        <w:t xml:space="preserve"> </w:t>
      </w:r>
      <w:r w:rsidRPr="00572BFC">
        <w:rPr>
          <w:rFonts w:ascii="Times New Roman" w:hAnsi="Times New Roman"/>
          <w:b/>
          <w:bCs/>
          <w:noProof/>
        </w:rPr>
        <w:t>42,</w:t>
      </w:r>
      <w:r w:rsidRPr="00572BFC">
        <w:rPr>
          <w:rFonts w:ascii="Times New Roman" w:hAnsi="Times New Roman"/>
          <w:noProof/>
        </w:rPr>
        <w:t xml:space="preserve"> 539–46 (2010).</w:t>
      </w:r>
    </w:p>
    <w:p w14:paraId="67677F3E"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136.</w:t>
      </w:r>
      <w:r w:rsidRPr="00572BFC">
        <w:rPr>
          <w:rFonts w:ascii="Times New Roman" w:hAnsi="Times New Roman"/>
          <w:noProof/>
        </w:rPr>
        <w:tab/>
        <w:t xml:space="preserve">Akima, H. </w:t>
      </w:r>
      <w:r w:rsidRPr="00572BFC">
        <w:rPr>
          <w:rFonts w:ascii="Times New Roman" w:hAnsi="Times New Roman"/>
          <w:i/>
          <w:iCs/>
          <w:noProof/>
        </w:rPr>
        <w:t>et al.</w:t>
      </w:r>
      <w:r w:rsidRPr="00572BFC">
        <w:rPr>
          <w:rFonts w:ascii="Times New Roman" w:hAnsi="Times New Roman"/>
          <w:noProof/>
        </w:rPr>
        <w:t xml:space="preserve"> Leg-press resistance training during 20 days of 6 degrees head-down-tilt bed rest prevents muscle deconditioning. </w:t>
      </w:r>
      <w:r w:rsidRPr="00572BFC">
        <w:rPr>
          <w:rFonts w:ascii="Times New Roman" w:hAnsi="Times New Roman"/>
          <w:i/>
          <w:iCs/>
          <w:noProof/>
        </w:rPr>
        <w:t>Eur. J. Appl. Physiol.</w:t>
      </w:r>
      <w:r w:rsidRPr="00572BFC">
        <w:rPr>
          <w:rFonts w:ascii="Times New Roman" w:hAnsi="Times New Roman"/>
          <w:noProof/>
        </w:rPr>
        <w:t xml:space="preserve"> </w:t>
      </w:r>
      <w:r w:rsidRPr="00572BFC">
        <w:rPr>
          <w:rFonts w:ascii="Times New Roman" w:hAnsi="Times New Roman"/>
          <w:b/>
          <w:bCs/>
          <w:noProof/>
        </w:rPr>
        <w:t>82,</w:t>
      </w:r>
      <w:r w:rsidRPr="00572BFC">
        <w:rPr>
          <w:rFonts w:ascii="Times New Roman" w:hAnsi="Times New Roman"/>
          <w:noProof/>
        </w:rPr>
        <w:t xml:space="preserve"> 30–38 (2000).</w:t>
      </w:r>
    </w:p>
    <w:p w14:paraId="08895AFF"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137.</w:t>
      </w:r>
      <w:r w:rsidRPr="00572BFC">
        <w:rPr>
          <w:rFonts w:ascii="Times New Roman" w:hAnsi="Times New Roman"/>
          <w:noProof/>
        </w:rPr>
        <w:tab/>
        <w:t xml:space="preserve">D’Antona, G. </w:t>
      </w:r>
      <w:r w:rsidRPr="00572BFC">
        <w:rPr>
          <w:rFonts w:ascii="Times New Roman" w:hAnsi="Times New Roman"/>
          <w:i/>
          <w:iCs/>
          <w:noProof/>
        </w:rPr>
        <w:t>et al.</w:t>
      </w:r>
      <w:r w:rsidRPr="00572BFC">
        <w:rPr>
          <w:rFonts w:ascii="Times New Roman" w:hAnsi="Times New Roman"/>
          <w:noProof/>
        </w:rPr>
        <w:t xml:space="preserve"> The effect of ageing and immobilization on structure and function of human skeletal muscle fibres. </w:t>
      </w:r>
      <w:r w:rsidRPr="00572BFC">
        <w:rPr>
          <w:rFonts w:ascii="Times New Roman" w:hAnsi="Times New Roman"/>
          <w:i/>
          <w:iCs/>
          <w:noProof/>
        </w:rPr>
        <w:t>J. Physiol.</w:t>
      </w:r>
      <w:r w:rsidRPr="00572BFC">
        <w:rPr>
          <w:rFonts w:ascii="Times New Roman" w:hAnsi="Times New Roman"/>
          <w:noProof/>
        </w:rPr>
        <w:t xml:space="preserve"> </w:t>
      </w:r>
      <w:r w:rsidRPr="00572BFC">
        <w:rPr>
          <w:rFonts w:ascii="Times New Roman" w:hAnsi="Times New Roman"/>
          <w:b/>
          <w:bCs/>
          <w:noProof/>
        </w:rPr>
        <w:t>552,</w:t>
      </w:r>
      <w:r w:rsidRPr="00572BFC">
        <w:rPr>
          <w:rFonts w:ascii="Times New Roman" w:hAnsi="Times New Roman"/>
          <w:noProof/>
        </w:rPr>
        <w:t xml:space="preserve"> 499–511 (2003).</w:t>
      </w:r>
    </w:p>
    <w:p w14:paraId="1874AA94"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138.</w:t>
      </w:r>
      <w:r w:rsidRPr="00572BFC">
        <w:rPr>
          <w:rFonts w:ascii="Times New Roman" w:hAnsi="Times New Roman"/>
          <w:noProof/>
        </w:rPr>
        <w:tab/>
        <w:t xml:space="preserve">Urso, M. L., Clarkson, P. M. &amp; Price, T. B. Immobilization effects in young and older adults. </w:t>
      </w:r>
      <w:r w:rsidRPr="00572BFC">
        <w:rPr>
          <w:rFonts w:ascii="Times New Roman" w:hAnsi="Times New Roman"/>
          <w:i/>
          <w:iCs/>
          <w:noProof/>
        </w:rPr>
        <w:t>Eur. J. Appl. Physiol.</w:t>
      </w:r>
      <w:r w:rsidRPr="00572BFC">
        <w:rPr>
          <w:rFonts w:ascii="Times New Roman" w:hAnsi="Times New Roman"/>
          <w:noProof/>
        </w:rPr>
        <w:t xml:space="preserve"> </w:t>
      </w:r>
      <w:r w:rsidRPr="00572BFC">
        <w:rPr>
          <w:rFonts w:ascii="Times New Roman" w:hAnsi="Times New Roman"/>
          <w:b/>
          <w:bCs/>
          <w:noProof/>
        </w:rPr>
        <w:t>96,</w:t>
      </w:r>
      <w:r w:rsidRPr="00572BFC">
        <w:rPr>
          <w:rFonts w:ascii="Times New Roman" w:hAnsi="Times New Roman"/>
          <w:noProof/>
        </w:rPr>
        <w:t xml:space="preserve"> 564–571 (2006).</w:t>
      </w:r>
    </w:p>
    <w:p w14:paraId="4EC09D3F"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139.</w:t>
      </w:r>
      <w:r w:rsidRPr="00572BFC">
        <w:rPr>
          <w:rFonts w:ascii="Times New Roman" w:hAnsi="Times New Roman"/>
          <w:noProof/>
        </w:rPr>
        <w:tab/>
        <w:t xml:space="preserve">Ploutz-Snyder, L. L. &amp; Giamis, E. L. Orientation and familiarization to 1RM strength testing in old and young women. </w:t>
      </w:r>
      <w:r w:rsidRPr="00572BFC">
        <w:rPr>
          <w:rFonts w:ascii="Times New Roman" w:hAnsi="Times New Roman"/>
          <w:i/>
          <w:iCs/>
          <w:noProof/>
        </w:rPr>
        <w:t>J. Strength Cond. Res.</w:t>
      </w:r>
      <w:r w:rsidRPr="00572BFC">
        <w:rPr>
          <w:rFonts w:ascii="Times New Roman" w:hAnsi="Times New Roman"/>
          <w:noProof/>
        </w:rPr>
        <w:t xml:space="preserve"> </w:t>
      </w:r>
      <w:r w:rsidRPr="00572BFC">
        <w:rPr>
          <w:rFonts w:ascii="Times New Roman" w:hAnsi="Times New Roman"/>
          <w:b/>
          <w:bCs/>
          <w:noProof/>
        </w:rPr>
        <w:t>15,</w:t>
      </w:r>
      <w:r w:rsidRPr="00572BFC">
        <w:rPr>
          <w:rFonts w:ascii="Times New Roman" w:hAnsi="Times New Roman"/>
          <w:noProof/>
        </w:rPr>
        <w:t xml:space="preserve"> 519–523 (2001).</w:t>
      </w:r>
    </w:p>
    <w:p w14:paraId="4E5D5D8A"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140.</w:t>
      </w:r>
      <w:r w:rsidRPr="00572BFC">
        <w:rPr>
          <w:rFonts w:ascii="Times New Roman" w:hAnsi="Times New Roman"/>
          <w:noProof/>
        </w:rPr>
        <w:tab/>
        <w:t xml:space="preserve">Ordway, N. R., Hand, N., Briggs, G. &amp; Ploutz-Snyder, L. L. Reliability of knee and ankle strength measures in an older adult population. </w:t>
      </w:r>
      <w:r w:rsidRPr="00572BFC">
        <w:rPr>
          <w:rFonts w:ascii="Times New Roman" w:hAnsi="Times New Roman"/>
          <w:i/>
          <w:iCs/>
          <w:noProof/>
        </w:rPr>
        <w:t>J. Strength Cond. Res.</w:t>
      </w:r>
      <w:r w:rsidRPr="00572BFC">
        <w:rPr>
          <w:rFonts w:ascii="Times New Roman" w:hAnsi="Times New Roman"/>
          <w:noProof/>
        </w:rPr>
        <w:t xml:space="preserve"> </w:t>
      </w:r>
      <w:r w:rsidRPr="00572BFC">
        <w:rPr>
          <w:rFonts w:ascii="Times New Roman" w:hAnsi="Times New Roman"/>
          <w:b/>
          <w:bCs/>
          <w:noProof/>
        </w:rPr>
        <w:t>20,</w:t>
      </w:r>
      <w:r w:rsidRPr="00572BFC">
        <w:rPr>
          <w:rFonts w:ascii="Times New Roman" w:hAnsi="Times New Roman"/>
          <w:noProof/>
        </w:rPr>
        <w:t xml:space="preserve"> 82–87 (2006).</w:t>
      </w:r>
    </w:p>
    <w:p w14:paraId="6EDA674C"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141.</w:t>
      </w:r>
      <w:r w:rsidRPr="00572BFC">
        <w:rPr>
          <w:rFonts w:ascii="Times New Roman" w:hAnsi="Times New Roman"/>
          <w:noProof/>
        </w:rPr>
        <w:tab/>
        <w:t xml:space="preserve">Kimura, I. F., Gulick, D. T. &amp; Lukasiewicz, W. C. Effect of visual feedback and verbal encouragement on eccentric quadriceps and hamstrings peak torque. </w:t>
      </w:r>
      <w:r w:rsidRPr="00572BFC">
        <w:rPr>
          <w:rFonts w:ascii="Times New Roman" w:hAnsi="Times New Roman"/>
          <w:i/>
          <w:iCs/>
          <w:noProof/>
        </w:rPr>
        <w:t>Sport. Med. Train. Rehabil.</w:t>
      </w:r>
      <w:r w:rsidRPr="00572BFC">
        <w:rPr>
          <w:rFonts w:ascii="Times New Roman" w:hAnsi="Times New Roman"/>
          <w:noProof/>
        </w:rPr>
        <w:t xml:space="preserve"> </w:t>
      </w:r>
      <w:r w:rsidRPr="00572BFC">
        <w:rPr>
          <w:rFonts w:ascii="Times New Roman" w:hAnsi="Times New Roman"/>
          <w:b/>
          <w:bCs/>
          <w:noProof/>
        </w:rPr>
        <w:t>9,</w:t>
      </w:r>
      <w:r w:rsidRPr="00572BFC">
        <w:rPr>
          <w:rFonts w:ascii="Times New Roman" w:hAnsi="Times New Roman"/>
          <w:noProof/>
        </w:rPr>
        <w:t xml:space="preserve"> 61–70 (1999).</w:t>
      </w:r>
    </w:p>
    <w:p w14:paraId="4BB9CB97"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142.</w:t>
      </w:r>
      <w:r w:rsidRPr="00572BFC">
        <w:rPr>
          <w:rFonts w:ascii="Times New Roman" w:hAnsi="Times New Roman"/>
          <w:noProof/>
        </w:rPr>
        <w:tab/>
        <w:t xml:space="preserve">Allen, G. M., Gandevia, S. C. &amp; McKenzie, D. K. Reliability of measurements of muscle strength and voluntary activation using twitch interpolation. </w:t>
      </w:r>
      <w:r w:rsidRPr="00572BFC">
        <w:rPr>
          <w:rFonts w:ascii="Times New Roman" w:hAnsi="Times New Roman"/>
          <w:i/>
          <w:iCs/>
          <w:noProof/>
        </w:rPr>
        <w:t>Muscle and Nerve</w:t>
      </w:r>
      <w:r w:rsidRPr="00572BFC">
        <w:rPr>
          <w:rFonts w:ascii="Times New Roman" w:hAnsi="Times New Roman"/>
          <w:noProof/>
        </w:rPr>
        <w:t xml:space="preserve"> </w:t>
      </w:r>
      <w:r w:rsidRPr="00572BFC">
        <w:rPr>
          <w:rFonts w:ascii="Times New Roman" w:hAnsi="Times New Roman"/>
          <w:b/>
          <w:bCs/>
          <w:noProof/>
        </w:rPr>
        <w:t>18,</w:t>
      </w:r>
      <w:r w:rsidRPr="00572BFC">
        <w:rPr>
          <w:rFonts w:ascii="Times New Roman" w:hAnsi="Times New Roman"/>
          <w:noProof/>
        </w:rPr>
        <w:t xml:space="preserve"> 593–600 (1995).</w:t>
      </w:r>
    </w:p>
    <w:p w14:paraId="31C438CC"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143.</w:t>
      </w:r>
      <w:r w:rsidRPr="00572BFC">
        <w:rPr>
          <w:rFonts w:ascii="Times New Roman" w:hAnsi="Times New Roman"/>
          <w:noProof/>
        </w:rPr>
        <w:tab/>
        <w:t xml:space="preserve">Cress, M. E. &amp; Meyer, M. Maximal voluntary and functional performance levels needed for independence in adults aged 65 to 97 years. </w:t>
      </w:r>
      <w:r w:rsidRPr="00572BFC">
        <w:rPr>
          <w:rFonts w:ascii="Times New Roman" w:hAnsi="Times New Roman"/>
          <w:i/>
          <w:iCs/>
          <w:noProof/>
        </w:rPr>
        <w:t>Phys. Ther.</w:t>
      </w:r>
      <w:r w:rsidRPr="00572BFC">
        <w:rPr>
          <w:rFonts w:ascii="Times New Roman" w:hAnsi="Times New Roman"/>
          <w:noProof/>
        </w:rPr>
        <w:t xml:space="preserve"> </w:t>
      </w:r>
      <w:r w:rsidRPr="00572BFC">
        <w:rPr>
          <w:rFonts w:ascii="Times New Roman" w:hAnsi="Times New Roman"/>
          <w:b/>
          <w:bCs/>
          <w:noProof/>
        </w:rPr>
        <w:t>83,</w:t>
      </w:r>
      <w:r w:rsidRPr="00572BFC">
        <w:rPr>
          <w:rFonts w:ascii="Times New Roman" w:hAnsi="Times New Roman"/>
          <w:noProof/>
        </w:rPr>
        <w:t xml:space="preserve"> 37–48 (2003).</w:t>
      </w:r>
    </w:p>
    <w:p w14:paraId="4FC3B4E3"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144.</w:t>
      </w:r>
      <w:r w:rsidRPr="00572BFC">
        <w:rPr>
          <w:rFonts w:ascii="Times New Roman" w:hAnsi="Times New Roman"/>
          <w:noProof/>
        </w:rPr>
        <w:tab/>
        <w:t xml:space="preserve">Alexander, N. B., Dengel, D. R., Olson, R. J. &amp; Krajewski, K. M. Oxygen-uptake (VO2) kinetics and functional mobility performance in impaired older adults. </w:t>
      </w:r>
      <w:r w:rsidRPr="00572BFC">
        <w:rPr>
          <w:rFonts w:ascii="Times New Roman" w:hAnsi="Times New Roman"/>
          <w:i/>
          <w:iCs/>
          <w:noProof/>
        </w:rPr>
        <w:t>J. Gerontol. A. Biol. Sci. Med. Sci.</w:t>
      </w:r>
      <w:r w:rsidRPr="00572BFC">
        <w:rPr>
          <w:rFonts w:ascii="Times New Roman" w:hAnsi="Times New Roman"/>
          <w:noProof/>
        </w:rPr>
        <w:t xml:space="preserve"> </w:t>
      </w:r>
      <w:r w:rsidRPr="00572BFC">
        <w:rPr>
          <w:rFonts w:ascii="Times New Roman" w:hAnsi="Times New Roman"/>
          <w:b/>
          <w:bCs/>
          <w:noProof/>
        </w:rPr>
        <w:t>58,</w:t>
      </w:r>
      <w:r w:rsidRPr="00572BFC">
        <w:rPr>
          <w:rFonts w:ascii="Times New Roman" w:hAnsi="Times New Roman"/>
          <w:noProof/>
        </w:rPr>
        <w:t xml:space="preserve"> 734–739 (2003).</w:t>
      </w:r>
    </w:p>
    <w:p w14:paraId="21FF4CF2"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145.</w:t>
      </w:r>
      <w:r w:rsidRPr="00572BFC">
        <w:rPr>
          <w:rFonts w:ascii="Times New Roman" w:hAnsi="Times New Roman"/>
          <w:noProof/>
        </w:rPr>
        <w:tab/>
        <w:t xml:space="preserve">Posner, J. D. </w:t>
      </w:r>
      <w:r w:rsidRPr="00572BFC">
        <w:rPr>
          <w:rFonts w:ascii="Times New Roman" w:hAnsi="Times New Roman"/>
          <w:i/>
          <w:iCs/>
          <w:noProof/>
        </w:rPr>
        <w:t>et al.</w:t>
      </w:r>
      <w:r w:rsidRPr="00572BFC">
        <w:rPr>
          <w:rFonts w:ascii="Times New Roman" w:hAnsi="Times New Roman"/>
          <w:noProof/>
        </w:rPr>
        <w:t xml:space="preserve"> Physical determinants of independence in mature women. </w:t>
      </w:r>
      <w:r w:rsidRPr="00572BFC">
        <w:rPr>
          <w:rFonts w:ascii="Times New Roman" w:hAnsi="Times New Roman"/>
          <w:i/>
          <w:iCs/>
          <w:noProof/>
        </w:rPr>
        <w:t>Arch. Phys. Med. Rehabil.</w:t>
      </w:r>
      <w:r w:rsidRPr="00572BFC">
        <w:rPr>
          <w:rFonts w:ascii="Times New Roman" w:hAnsi="Times New Roman"/>
          <w:noProof/>
        </w:rPr>
        <w:t xml:space="preserve"> </w:t>
      </w:r>
      <w:r w:rsidRPr="00572BFC">
        <w:rPr>
          <w:rFonts w:ascii="Times New Roman" w:hAnsi="Times New Roman"/>
          <w:b/>
          <w:bCs/>
          <w:noProof/>
        </w:rPr>
        <w:t>76,</w:t>
      </w:r>
      <w:r w:rsidRPr="00572BFC">
        <w:rPr>
          <w:rFonts w:ascii="Times New Roman" w:hAnsi="Times New Roman"/>
          <w:noProof/>
        </w:rPr>
        <w:t xml:space="preserve"> 373–380 (1995).</w:t>
      </w:r>
    </w:p>
    <w:p w14:paraId="5A37A9A4"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146.</w:t>
      </w:r>
      <w:r w:rsidRPr="00572BFC">
        <w:rPr>
          <w:rFonts w:ascii="Times New Roman" w:hAnsi="Times New Roman"/>
          <w:noProof/>
        </w:rPr>
        <w:tab/>
        <w:t xml:space="preserve">Glucose tolerance and mortality: comparison of WHO and American Diabetes Association diagnostic criteria. The DECODE study group. European Diabetes Epidemiology Group. Diabetes Epidemiology: Collaborative analysis Of Diagnostic criteria in Europe. </w:t>
      </w:r>
      <w:r w:rsidRPr="00572BFC">
        <w:rPr>
          <w:rFonts w:ascii="Times New Roman" w:hAnsi="Times New Roman"/>
          <w:i/>
          <w:iCs/>
          <w:noProof/>
        </w:rPr>
        <w:t>Lancet</w:t>
      </w:r>
      <w:r w:rsidRPr="00572BFC">
        <w:rPr>
          <w:rFonts w:ascii="Times New Roman" w:hAnsi="Times New Roman"/>
          <w:noProof/>
        </w:rPr>
        <w:t xml:space="preserve"> </w:t>
      </w:r>
      <w:r w:rsidRPr="00572BFC">
        <w:rPr>
          <w:rFonts w:ascii="Times New Roman" w:hAnsi="Times New Roman"/>
          <w:b/>
          <w:bCs/>
          <w:noProof/>
        </w:rPr>
        <w:t>354,</w:t>
      </w:r>
      <w:r w:rsidRPr="00572BFC">
        <w:rPr>
          <w:rFonts w:ascii="Times New Roman" w:hAnsi="Times New Roman"/>
          <w:noProof/>
        </w:rPr>
        <w:t xml:space="preserve"> 617–621 (1999).</w:t>
      </w:r>
    </w:p>
    <w:p w14:paraId="2473EE98"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147.</w:t>
      </w:r>
      <w:r w:rsidRPr="00572BFC">
        <w:rPr>
          <w:rFonts w:ascii="Times New Roman" w:hAnsi="Times New Roman"/>
          <w:noProof/>
        </w:rPr>
        <w:tab/>
        <w:t xml:space="preserve">Metter, E. J. </w:t>
      </w:r>
      <w:r w:rsidRPr="00572BFC">
        <w:rPr>
          <w:rFonts w:ascii="Times New Roman" w:hAnsi="Times New Roman"/>
          <w:i/>
          <w:iCs/>
          <w:noProof/>
        </w:rPr>
        <w:t>et al.</w:t>
      </w:r>
      <w:r w:rsidRPr="00572BFC">
        <w:rPr>
          <w:rFonts w:ascii="Times New Roman" w:hAnsi="Times New Roman"/>
          <w:noProof/>
        </w:rPr>
        <w:t xml:space="preserve"> Glucose and insulin measurements from the oral glucose tolerance test and mortality prediction. </w:t>
      </w:r>
      <w:r w:rsidRPr="00572BFC">
        <w:rPr>
          <w:rFonts w:ascii="Times New Roman" w:hAnsi="Times New Roman"/>
          <w:i/>
          <w:iCs/>
          <w:noProof/>
        </w:rPr>
        <w:t>Diabetes Care</w:t>
      </w:r>
      <w:r w:rsidRPr="00572BFC">
        <w:rPr>
          <w:rFonts w:ascii="Times New Roman" w:hAnsi="Times New Roman"/>
          <w:noProof/>
        </w:rPr>
        <w:t xml:space="preserve"> </w:t>
      </w:r>
      <w:r w:rsidRPr="00572BFC">
        <w:rPr>
          <w:rFonts w:ascii="Times New Roman" w:hAnsi="Times New Roman"/>
          <w:b/>
          <w:bCs/>
          <w:noProof/>
        </w:rPr>
        <w:t>31,</w:t>
      </w:r>
      <w:r w:rsidRPr="00572BFC">
        <w:rPr>
          <w:rFonts w:ascii="Times New Roman" w:hAnsi="Times New Roman"/>
          <w:noProof/>
        </w:rPr>
        <w:t xml:space="preserve"> 1026–1030 (2008).</w:t>
      </w:r>
    </w:p>
    <w:p w14:paraId="0E94F3EB"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148.</w:t>
      </w:r>
      <w:r w:rsidRPr="00572BFC">
        <w:rPr>
          <w:rFonts w:ascii="Times New Roman" w:hAnsi="Times New Roman"/>
          <w:noProof/>
        </w:rPr>
        <w:tab/>
        <w:t xml:space="preserve">Ceriello, A. </w:t>
      </w:r>
      <w:r w:rsidRPr="00572BFC">
        <w:rPr>
          <w:rFonts w:ascii="Times New Roman" w:hAnsi="Times New Roman"/>
          <w:i/>
          <w:iCs/>
          <w:noProof/>
        </w:rPr>
        <w:t>et al.</w:t>
      </w:r>
      <w:r w:rsidRPr="00572BFC">
        <w:rPr>
          <w:rFonts w:ascii="Times New Roman" w:hAnsi="Times New Roman"/>
          <w:noProof/>
        </w:rPr>
        <w:t xml:space="preserve"> Oscillating glucose is more deleterious to endothelial function and oxidative stress than mean glucose in normal and type 2 diabetic patients. </w:t>
      </w:r>
      <w:r w:rsidRPr="00572BFC">
        <w:rPr>
          <w:rFonts w:ascii="Times New Roman" w:hAnsi="Times New Roman"/>
          <w:i/>
          <w:iCs/>
          <w:noProof/>
        </w:rPr>
        <w:t>Diabetes</w:t>
      </w:r>
      <w:r w:rsidRPr="00572BFC">
        <w:rPr>
          <w:rFonts w:ascii="Times New Roman" w:hAnsi="Times New Roman"/>
          <w:noProof/>
        </w:rPr>
        <w:t xml:space="preserve"> </w:t>
      </w:r>
      <w:r w:rsidRPr="00572BFC">
        <w:rPr>
          <w:rFonts w:ascii="Times New Roman" w:hAnsi="Times New Roman"/>
          <w:b/>
          <w:bCs/>
          <w:noProof/>
        </w:rPr>
        <w:t>57,</w:t>
      </w:r>
      <w:r w:rsidRPr="00572BFC">
        <w:rPr>
          <w:rFonts w:ascii="Times New Roman" w:hAnsi="Times New Roman"/>
          <w:noProof/>
        </w:rPr>
        <w:t xml:space="preserve"> 1349–1354 (2008).</w:t>
      </w:r>
    </w:p>
    <w:p w14:paraId="035E48C7" w14:textId="77777777" w:rsidR="00572BFC" w:rsidRPr="00572BFC" w:rsidRDefault="00572BFC">
      <w:pPr>
        <w:pStyle w:val="NormalWeb"/>
        <w:ind w:left="640" w:hanging="640"/>
        <w:divId w:val="1331449340"/>
        <w:rPr>
          <w:rFonts w:ascii="Times New Roman" w:hAnsi="Times New Roman"/>
          <w:noProof/>
        </w:rPr>
      </w:pPr>
      <w:r w:rsidRPr="00572BFC">
        <w:rPr>
          <w:rFonts w:ascii="Times New Roman" w:hAnsi="Times New Roman"/>
          <w:noProof/>
        </w:rPr>
        <w:t>149.</w:t>
      </w:r>
      <w:r w:rsidRPr="00572BFC">
        <w:rPr>
          <w:rFonts w:ascii="Times New Roman" w:hAnsi="Times New Roman"/>
          <w:noProof/>
        </w:rPr>
        <w:tab/>
        <w:t xml:space="preserve">Ceriello, A. The possible role of postprandial hyperglycaemia in the pathogenesis of diabetic complications. </w:t>
      </w:r>
      <w:r w:rsidRPr="00572BFC">
        <w:rPr>
          <w:rFonts w:ascii="Times New Roman" w:hAnsi="Times New Roman"/>
          <w:i/>
          <w:iCs/>
          <w:noProof/>
        </w:rPr>
        <w:t>Diabetologia</w:t>
      </w:r>
      <w:r w:rsidRPr="00572BFC">
        <w:rPr>
          <w:rFonts w:ascii="Times New Roman" w:hAnsi="Times New Roman"/>
          <w:noProof/>
        </w:rPr>
        <w:t xml:space="preserve"> </w:t>
      </w:r>
      <w:r w:rsidRPr="00572BFC">
        <w:rPr>
          <w:rFonts w:ascii="Times New Roman" w:hAnsi="Times New Roman"/>
          <w:b/>
          <w:bCs/>
          <w:noProof/>
        </w:rPr>
        <w:t>46 Suppl 1,</w:t>
      </w:r>
      <w:r w:rsidRPr="00572BFC">
        <w:rPr>
          <w:rFonts w:ascii="Times New Roman" w:hAnsi="Times New Roman"/>
          <w:noProof/>
        </w:rPr>
        <w:t xml:space="preserve"> M9–M16 (2003). </w:t>
      </w:r>
    </w:p>
    <w:p w14:paraId="2C7A0AE7" w14:textId="5020EF2F" w:rsidR="004238C1" w:rsidRPr="004238C1" w:rsidRDefault="004238C1" w:rsidP="00572BFC">
      <w:pPr>
        <w:pStyle w:val="NormalWeb"/>
        <w:ind w:left="640" w:hanging="640"/>
        <w:divId w:val="21324737"/>
      </w:pPr>
      <w:r w:rsidRPr="001C7536">
        <w:rPr>
          <w:rFonts w:ascii="Times New Roman" w:hAnsi="Times New Roman"/>
        </w:rPr>
        <w:fldChar w:fldCharType="end"/>
      </w:r>
    </w:p>
    <w:p w14:paraId="7239B56F" w14:textId="77777777" w:rsidR="004238C1" w:rsidRDefault="004238C1" w:rsidP="004238C1">
      <w:pPr>
        <w:spacing w:line="480" w:lineRule="auto"/>
        <w:sectPr w:rsidR="004238C1" w:rsidSect="008D0825">
          <w:headerReference w:type="default" r:id="rId28"/>
          <w:pgSz w:w="12240" w:h="15840"/>
          <w:pgMar w:top="2155" w:right="2155" w:bottom="1418" w:left="2155" w:header="709" w:footer="709" w:gutter="0"/>
          <w:cols w:space="708"/>
          <w:titlePg/>
        </w:sectPr>
      </w:pPr>
    </w:p>
    <w:p w14:paraId="5FC1E9A1" w14:textId="679C7BF8" w:rsidR="00B6795F" w:rsidRPr="00B6795F" w:rsidRDefault="00B6795F" w:rsidP="007867B0">
      <w:pPr>
        <w:rPr>
          <w:rFonts w:cs="Times New Roman"/>
          <w:lang w:val="en-US"/>
        </w:rPr>
      </w:pPr>
    </w:p>
    <w:sectPr w:rsidR="00B6795F" w:rsidRPr="00B6795F" w:rsidSect="00DB54F0">
      <w:pgSz w:w="12240" w:h="15840"/>
      <w:pgMar w:top="2155" w:right="2155" w:bottom="1418" w:left="2155" w:header="709" w:footer="709" w:gutter="0"/>
      <w:cols w:space="708"/>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7C689A" w15:done="0"/>
  <w15:commentEx w15:paraId="2577596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E4561" w14:textId="77777777" w:rsidR="00572BFC" w:rsidRDefault="00572BFC" w:rsidP="000B0BDE">
      <w:r>
        <w:separator/>
      </w:r>
    </w:p>
  </w:endnote>
  <w:endnote w:type="continuationSeparator" w:id="0">
    <w:p w14:paraId="54092370" w14:textId="77777777" w:rsidR="00572BFC" w:rsidRDefault="00572BFC" w:rsidP="000B0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dobe Caslon Pro Bold">
    <w:panose1 w:val="0205070206050A0204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60CEB" w14:textId="77777777" w:rsidR="00572BFC" w:rsidRDefault="00572BFC" w:rsidP="00FA55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EB151E" w14:textId="77777777" w:rsidR="00572BFC" w:rsidRDefault="00572BF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F832" w14:textId="77777777" w:rsidR="00572BFC" w:rsidRDefault="00572BFC" w:rsidP="00FA55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3108">
      <w:rPr>
        <w:rStyle w:val="PageNumber"/>
        <w:noProof/>
      </w:rPr>
      <w:t>5</w:t>
    </w:r>
    <w:r>
      <w:rPr>
        <w:rStyle w:val="PageNumber"/>
      </w:rPr>
      <w:fldChar w:fldCharType="end"/>
    </w:r>
  </w:p>
  <w:p w14:paraId="0B630F48" w14:textId="77777777" w:rsidR="00572BFC" w:rsidRDefault="00572B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5A784" w14:textId="77777777" w:rsidR="00572BFC" w:rsidRDefault="00572BFC" w:rsidP="000B0BDE">
      <w:r>
        <w:separator/>
      </w:r>
    </w:p>
  </w:footnote>
  <w:footnote w:type="continuationSeparator" w:id="0">
    <w:p w14:paraId="36B35C36" w14:textId="77777777" w:rsidR="00572BFC" w:rsidRDefault="00572BFC" w:rsidP="000B0BD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ED919" w14:textId="77777777" w:rsidR="00572BFC" w:rsidRDefault="00572BFC">
    <w:pPr>
      <w:pStyle w:val="Header"/>
    </w:pPr>
    <w:sdt>
      <w:sdtPr>
        <w:id w:val="171999623"/>
        <w:temporary/>
        <w:showingPlcHdr/>
      </w:sdtPr>
      <w:sdtContent>
        <w:r>
          <w:t>[Type text]</w:t>
        </w:r>
      </w:sdtContent>
    </w:sdt>
    <w:r>
      <w:ptab w:relativeTo="margin" w:alignment="center" w:leader="none"/>
    </w:r>
    <w:sdt>
      <w:sdtPr>
        <w:id w:val="171999624"/>
        <w:temporary/>
        <w:showingPlcHdr/>
      </w:sdtPr>
      <w:sdtContent>
        <w:r>
          <w:t>[Type text]</w:t>
        </w:r>
      </w:sdtContent>
    </w:sdt>
    <w:r>
      <w:ptab w:relativeTo="margin" w:alignment="right" w:leader="none"/>
    </w:r>
    <w:sdt>
      <w:sdtPr>
        <w:id w:val="171999625"/>
        <w:temporary/>
        <w:showingPlcHdr/>
      </w:sdtPr>
      <w:sdtContent>
        <w:r>
          <w:t>[Type text]</w:t>
        </w:r>
      </w:sdtContent>
    </w:sdt>
  </w:p>
  <w:p w14:paraId="2C9DD49D" w14:textId="77777777" w:rsidR="00572BFC" w:rsidRDefault="00572BF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2A6B3" w14:textId="6ECB4222" w:rsidR="00572BFC" w:rsidRDefault="00572BFC">
    <w:pPr>
      <w:pStyle w:val="Header"/>
    </w:pPr>
    <w:r>
      <w:ptab w:relativeTo="margin" w:alignment="center" w:leader="none"/>
    </w:r>
    <w:r w:rsidRPr="00892169">
      <w:t>M.Sc. Thesis - M. von Allmen; McMaster University - Kinesiology</w:t>
    </w:r>
    <w:r>
      <w:t xml:space="preserve"> </w:t>
    </w:r>
    <w:r>
      <w:ptab w:relativeTo="margin" w:alignment="right" w:leader="none"/>
    </w:r>
  </w:p>
  <w:p w14:paraId="293B752D" w14:textId="77777777" w:rsidR="00572BFC" w:rsidRDefault="00572BF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B640A" w14:textId="57CF1051" w:rsidR="00572BFC" w:rsidRDefault="00572BFC">
    <w:pPr>
      <w:pStyle w:val="Header"/>
    </w:pPr>
  </w:p>
  <w:p w14:paraId="57F4A4CE" w14:textId="77777777" w:rsidR="00572BFC" w:rsidRDefault="00572BFC">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43F0F" w14:textId="03CAF2B0" w:rsidR="00572BFC" w:rsidRDefault="00572BFC">
    <w:pPr>
      <w:pStyle w:val="Header"/>
    </w:pPr>
    <w:r>
      <w:ptab w:relativeTo="margin" w:alignment="center" w:leader="none"/>
    </w:r>
    <w:r w:rsidRPr="00892169">
      <w:t>M.Sc. Thesis - M. von Allmen; McMaster University - Kinesiology</w:t>
    </w:r>
    <w:r>
      <w:t xml:space="preserve"> </w:t>
    </w:r>
    <w:r>
      <w:ptab w:relativeTo="margin" w:alignment="right" w:leader="none"/>
    </w:r>
  </w:p>
  <w:p w14:paraId="6901EC6E" w14:textId="05AEEDF0" w:rsidR="00572BFC" w:rsidRDefault="00572BF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C1215"/>
    <w:multiLevelType w:val="hybridMultilevel"/>
    <w:tmpl w:val="D0167862"/>
    <w:lvl w:ilvl="0" w:tplc="C8BC54B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7146E5"/>
    <w:multiLevelType w:val="hybridMultilevel"/>
    <w:tmpl w:val="FAFC2978"/>
    <w:lvl w:ilvl="0" w:tplc="E21CD36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E52E76"/>
    <w:multiLevelType w:val="hybridMultilevel"/>
    <w:tmpl w:val="572EF474"/>
    <w:lvl w:ilvl="0" w:tplc="E21CD36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35245E"/>
    <w:multiLevelType w:val="hybridMultilevel"/>
    <w:tmpl w:val="8DDA5E22"/>
    <w:lvl w:ilvl="0" w:tplc="C8BC54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3F66AF9"/>
    <w:multiLevelType w:val="hybridMultilevel"/>
    <w:tmpl w:val="53207E42"/>
    <w:lvl w:ilvl="0" w:tplc="E21CD36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7E376A"/>
    <w:multiLevelType w:val="hybridMultilevel"/>
    <w:tmpl w:val="2C14576E"/>
    <w:lvl w:ilvl="0" w:tplc="C8BC54B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BA0B31"/>
    <w:multiLevelType w:val="hybridMultilevel"/>
    <w:tmpl w:val="5E4A9EFC"/>
    <w:lvl w:ilvl="0" w:tplc="D908AD68">
      <w:start w:val="1"/>
      <w:numFmt w:val="upperRoman"/>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F511E0"/>
    <w:multiLevelType w:val="hybridMultilevel"/>
    <w:tmpl w:val="B59A73E2"/>
    <w:lvl w:ilvl="0" w:tplc="E21CD3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F84644"/>
    <w:multiLevelType w:val="multilevel"/>
    <w:tmpl w:val="B59A73E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B32111A"/>
    <w:multiLevelType w:val="hybridMultilevel"/>
    <w:tmpl w:val="769A7290"/>
    <w:lvl w:ilvl="0" w:tplc="C8BC54B8">
      <w:start w:val="1"/>
      <w:numFmt w:val="lowerRoman"/>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num w:numId="1">
    <w:abstractNumId w:val="3"/>
  </w:num>
  <w:num w:numId="2">
    <w:abstractNumId w:val="7"/>
  </w:num>
  <w:num w:numId="3">
    <w:abstractNumId w:val="8"/>
  </w:num>
  <w:num w:numId="4">
    <w:abstractNumId w:val="6"/>
  </w:num>
  <w:num w:numId="5">
    <w:abstractNumId w:val="1"/>
  </w:num>
  <w:num w:numId="6">
    <w:abstractNumId w:val="4"/>
  </w:num>
  <w:num w:numId="7">
    <w:abstractNumId w:val="2"/>
  </w:num>
  <w:num w:numId="8">
    <w:abstractNumId w:val="9"/>
  </w:num>
  <w:num w:numId="9">
    <w:abstractNumId w:val="0"/>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uart Phillips">
    <w15:presenceInfo w15:providerId="None" w15:userId="Stuart Philli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CC1"/>
    <w:rsid w:val="00005950"/>
    <w:rsid w:val="00030C57"/>
    <w:rsid w:val="00040B9B"/>
    <w:rsid w:val="0004392C"/>
    <w:rsid w:val="00047B79"/>
    <w:rsid w:val="000541AF"/>
    <w:rsid w:val="000709FC"/>
    <w:rsid w:val="00075710"/>
    <w:rsid w:val="00075AD3"/>
    <w:rsid w:val="000A7F87"/>
    <w:rsid w:val="000B0BDE"/>
    <w:rsid w:val="000C0143"/>
    <w:rsid w:val="000D21F0"/>
    <w:rsid w:val="000D2A2A"/>
    <w:rsid w:val="000F571C"/>
    <w:rsid w:val="000F5939"/>
    <w:rsid w:val="00136D78"/>
    <w:rsid w:val="00137FBA"/>
    <w:rsid w:val="00140233"/>
    <w:rsid w:val="0019018A"/>
    <w:rsid w:val="001A0E95"/>
    <w:rsid w:val="001C66DE"/>
    <w:rsid w:val="001C7536"/>
    <w:rsid w:val="001D48B4"/>
    <w:rsid w:val="0020069E"/>
    <w:rsid w:val="00225DB1"/>
    <w:rsid w:val="002330B5"/>
    <w:rsid w:val="002463EB"/>
    <w:rsid w:val="00250B31"/>
    <w:rsid w:val="002535FC"/>
    <w:rsid w:val="00262FF3"/>
    <w:rsid w:val="0027125F"/>
    <w:rsid w:val="00287EBB"/>
    <w:rsid w:val="00297998"/>
    <w:rsid w:val="002B63BD"/>
    <w:rsid w:val="002E042C"/>
    <w:rsid w:val="002E4795"/>
    <w:rsid w:val="002F4D94"/>
    <w:rsid w:val="00300C15"/>
    <w:rsid w:val="00304343"/>
    <w:rsid w:val="003274B7"/>
    <w:rsid w:val="003605CC"/>
    <w:rsid w:val="00381CDA"/>
    <w:rsid w:val="003A1FDB"/>
    <w:rsid w:val="003D10D5"/>
    <w:rsid w:val="003D1F84"/>
    <w:rsid w:val="003D268B"/>
    <w:rsid w:val="00421B22"/>
    <w:rsid w:val="004238C1"/>
    <w:rsid w:val="00425E61"/>
    <w:rsid w:val="00452688"/>
    <w:rsid w:val="00462AE4"/>
    <w:rsid w:val="00477EA6"/>
    <w:rsid w:val="0048042A"/>
    <w:rsid w:val="0049203A"/>
    <w:rsid w:val="004A4593"/>
    <w:rsid w:val="004A6F1A"/>
    <w:rsid w:val="004B0E12"/>
    <w:rsid w:val="004B69F3"/>
    <w:rsid w:val="004C0903"/>
    <w:rsid w:val="004D18EE"/>
    <w:rsid w:val="004E57CE"/>
    <w:rsid w:val="004F5392"/>
    <w:rsid w:val="00512A2B"/>
    <w:rsid w:val="00513EBA"/>
    <w:rsid w:val="00520772"/>
    <w:rsid w:val="00521CBD"/>
    <w:rsid w:val="0056096D"/>
    <w:rsid w:val="00567C0D"/>
    <w:rsid w:val="00572BFC"/>
    <w:rsid w:val="00577A35"/>
    <w:rsid w:val="005A1D98"/>
    <w:rsid w:val="005A53B8"/>
    <w:rsid w:val="005B6B58"/>
    <w:rsid w:val="005C68EA"/>
    <w:rsid w:val="005F6CB9"/>
    <w:rsid w:val="00623F5A"/>
    <w:rsid w:val="0063160A"/>
    <w:rsid w:val="00637412"/>
    <w:rsid w:val="00640465"/>
    <w:rsid w:val="00652245"/>
    <w:rsid w:val="00665AA4"/>
    <w:rsid w:val="006670B1"/>
    <w:rsid w:val="0067383F"/>
    <w:rsid w:val="00680FAD"/>
    <w:rsid w:val="00681805"/>
    <w:rsid w:val="006A1481"/>
    <w:rsid w:val="006A4E21"/>
    <w:rsid w:val="006C36C2"/>
    <w:rsid w:val="006C51DD"/>
    <w:rsid w:val="006E1CFA"/>
    <w:rsid w:val="006F3F70"/>
    <w:rsid w:val="00706446"/>
    <w:rsid w:val="007128FA"/>
    <w:rsid w:val="007649BF"/>
    <w:rsid w:val="0078015B"/>
    <w:rsid w:val="00785141"/>
    <w:rsid w:val="007857B3"/>
    <w:rsid w:val="007867B0"/>
    <w:rsid w:val="007E767B"/>
    <w:rsid w:val="00802053"/>
    <w:rsid w:val="00817BB0"/>
    <w:rsid w:val="00835D2E"/>
    <w:rsid w:val="00851811"/>
    <w:rsid w:val="00851834"/>
    <w:rsid w:val="00871CAB"/>
    <w:rsid w:val="00875699"/>
    <w:rsid w:val="00880F30"/>
    <w:rsid w:val="00881F0B"/>
    <w:rsid w:val="00892169"/>
    <w:rsid w:val="00893E61"/>
    <w:rsid w:val="008A5CDF"/>
    <w:rsid w:val="008C3003"/>
    <w:rsid w:val="008C73C1"/>
    <w:rsid w:val="008D0825"/>
    <w:rsid w:val="008D168D"/>
    <w:rsid w:val="008D4936"/>
    <w:rsid w:val="00905B9E"/>
    <w:rsid w:val="00920D92"/>
    <w:rsid w:val="00921F88"/>
    <w:rsid w:val="00922769"/>
    <w:rsid w:val="00935C80"/>
    <w:rsid w:val="00957B61"/>
    <w:rsid w:val="00972228"/>
    <w:rsid w:val="00973031"/>
    <w:rsid w:val="0099112D"/>
    <w:rsid w:val="0099120C"/>
    <w:rsid w:val="009D64FB"/>
    <w:rsid w:val="00A00C40"/>
    <w:rsid w:val="00A241EF"/>
    <w:rsid w:val="00A34280"/>
    <w:rsid w:val="00A34ABD"/>
    <w:rsid w:val="00A62182"/>
    <w:rsid w:val="00A73108"/>
    <w:rsid w:val="00A80D4F"/>
    <w:rsid w:val="00A84143"/>
    <w:rsid w:val="00A84A6E"/>
    <w:rsid w:val="00A96752"/>
    <w:rsid w:val="00AA3CC1"/>
    <w:rsid w:val="00AB3BAC"/>
    <w:rsid w:val="00AB4EF7"/>
    <w:rsid w:val="00AC3313"/>
    <w:rsid w:val="00AC60FA"/>
    <w:rsid w:val="00AF43FF"/>
    <w:rsid w:val="00B06E56"/>
    <w:rsid w:val="00B16891"/>
    <w:rsid w:val="00B22BE8"/>
    <w:rsid w:val="00B46F3C"/>
    <w:rsid w:val="00B66FC6"/>
    <w:rsid w:val="00B6795F"/>
    <w:rsid w:val="00B86EE7"/>
    <w:rsid w:val="00BC5724"/>
    <w:rsid w:val="00BE7FB5"/>
    <w:rsid w:val="00C4357E"/>
    <w:rsid w:val="00C548CB"/>
    <w:rsid w:val="00CC2684"/>
    <w:rsid w:val="00D043A8"/>
    <w:rsid w:val="00D124CC"/>
    <w:rsid w:val="00D1362C"/>
    <w:rsid w:val="00D25A74"/>
    <w:rsid w:val="00D3549D"/>
    <w:rsid w:val="00D43863"/>
    <w:rsid w:val="00D576C1"/>
    <w:rsid w:val="00DA792D"/>
    <w:rsid w:val="00DB4F02"/>
    <w:rsid w:val="00DB54F0"/>
    <w:rsid w:val="00DC2A01"/>
    <w:rsid w:val="00DE12DA"/>
    <w:rsid w:val="00DE1A4A"/>
    <w:rsid w:val="00E03A82"/>
    <w:rsid w:val="00E112F8"/>
    <w:rsid w:val="00E11BCC"/>
    <w:rsid w:val="00E15550"/>
    <w:rsid w:val="00E1776A"/>
    <w:rsid w:val="00E33725"/>
    <w:rsid w:val="00E53C2D"/>
    <w:rsid w:val="00E569AA"/>
    <w:rsid w:val="00E61A84"/>
    <w:rsid w:val="00E6221E"/>
    <w:rsid w:val="00E6288E"/>
    <w:rsid w:val="00E721E8"/>
    <w:rsid w:val="00E84659"/>
    <w:rsid w:val="00E94356"/>
    <w:rsid w:val="00EA587B"/>
    <w:rsid w:val="00EB2F11"/>
    <w:rsid w:val="00ED662B"/>
    <w:rsid w:val="00F04032"/>
    <w:rsid w:val="00F04238"/>
    <w:rsid w:val="00F15FB6"/>
    <w:rsid w:val="00F22CF2"/>
    <w:rsid w:val="00F32838"/>
    <w:rsid w:val="00F413F7"/>
    <w:rsid w:val="00F54681"/>
    <w:rsid w:val="00F61641"/>
    <w:rsid w:val="00F842B1"/>
    <w:rsid w:val="00F85521"/>
    <w:rsid w:val="00F90FF6"/>
    <w:rsid w:val="00F95641"/>
    <w:rsid w:val="00FA1197"/>
    <w:rsid w:val="00FA550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471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950"/>
    <w:rPr>
      <w:rFonts w:ascii="Times New Roman" w:hAnsi="Times New Roman"/>
      <w:lang w:val="en-GB"/>
    </w:rPr>
  </w:style>
  <w:style w:type="paragraph" w:styleId="Heading1">
    <w:name w:val="heading 1"/>
    <w:basedOn w:val="Normal"/>
    <w:next w:val="Normal"/>
    <w:link w:val="Heading1Char"/>
    <w:uiPriority w:val="9"/>
    <w:qFormat/>
    <w:rsid w:val="00A34ABD"/>
    <w:pPr>
      <w:keepNext/>
      <w:keepLines/>
      <w:spacing w:line="480" w:lineRule="auto"/>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875699"/>
    <w:pPr>
      <w:keepNext/>
      <w:keepLines/>
      <w:numPr>
        <w:numId w:val="4"/>
      </w:numPr>
      <w:spacing w:line="480" w:lineRule="auto"/>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A34ABD"/>
    <w:pPr>
      <w:keepNext/>
      <w:keepLines/>
      <w:spacing w:line="480" w:lineRule="auto"/>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ABD"/>
    <w:rPr>
      <w:rFonts w:ascii="Times New Roman" w:eastAsiaTheme="majorEastAsia" w:hAnsi="Times New Roman" w:cstheme="majorBidi"/>
      <w:b/>
      <w:bCs/>
      <w:szCs w:val="32"/>
      <w:lang w:val="en-GB"/>
    </w:rPr>
  </w:style>
  <w:style w:type="character" w:customStyle="1" w:styleId="Heading2Char">
    <w:name w:val="Heading 2 Char"/>
    <w:basedOn w:val="DefaultParagraphFont"/>
    <w:link w:val="Heading2"/>
    <w:uiPriority w:val="9"/>
    <w:rsid w:val="00875699"/>
    <w:rPr>
      <w:rFonts w:ascii="Times New Roman" w:eastAsiaTheme="majorEastAsia" w:hAnsi="Times New Roman" w:cstheme="majorBidi"/>
      <w:bCs/>
      <w:szCs w:val="26"/>
      <w:lang w:val="en-GB"/>
    </w:rPr>
  </w:style>
  <w:style w:type="character" w:customStyle="1" w:styleId="Heading3Char">
    <w:name w:val="Heading 3 Char"/>
    <w:basedOn w:val="DefaultParagraphFont"/>
    <w:link w:val="Heading3"/>
    <w:uiPriority w:val="9"/>
    <w:rsid w:val="00A34ABD"/>
    <w:rPr>
      <w:rFonts w:ascii="Times New Roman" w:eastAsiaTheme="majorEastAsia" w:hAnsi="Times New Roman" w:cstheme="majorBidi"/>
      <w:bCs/>
      <w:i/>
      <w:lang w:val="en-GB"/>
    </w:rPr>
  </w:style>
  <w:style w:type="paragraph" w:styleId="Header">
    <w:name w:val="header"/>
    <w:basedOn w:val="Normal"/>
    <w:link w:val="HeaderChar"/>
    <w:uiPriority w:val="99"/>
    <w:unhideWhenUsed/>
    <w:rsid w:val="000B0BDE"/>
    <w:pPr>
      <w:tabs>
        <w:tab w:val="center" w:pos="4320"/>
        <w:tab w:val="right" w:pos="8640"/>
      </w:tabs>
    </w:pPr>
  </w:style>
  <w:style w:type="character" w:customStyle="1" w:styleId="HeaderChar">
    <w:name w:val="Header Char"/>
    <w:basedOn w:val="DefaultParagraphFont"/>
    <w:link w:val="Header"/>
    <w:uiPriority w:val="99"/>
    <w:rsid w:val="000B0BDE"/>
    <w:rPr>
      <w:rFonts w:ascii="Times New Roman" w:hAnsi="Times New Roman"/>
      <w:lang w:val="en-GB"/>
    </w:rPr>
  </w:style>
  <w:style w:type="paragraph" w:styleId="Footer">
    <w:name w:val="footer"/>
    <w:basedOn w:val="Normal"/>
    <w:link w:val="FooterChar"/>
    <w:uiPriority w:val="99"/>
    <w:unhideWhenUsed/>
    <w:rsid w:val="000B0BDE"/>
    <w:pPr>
      <w:tabs>
        <w:tab w:val="center" w:pos="4320"/>
        <w:tab w:val="right" w:pos="8640"/>
      </w:tabs>
    </w:pPr>
  </w:style>
  <w:style w:type="character" w:customStyle="1" w:styleId="FooterChar">
    <w:name w:val="Footer Char"/>
    <w:basedOn w:val="DefaultParagraphFont"/>
    <w:link w:val="Footer"/>
    <w:uiPriority w:val="99"/>
    <w:rsid w:val="000B0BDE"/>
    <w:rPr>
      <w:rFonts w:ascii="Times New Roman" w:hAnsi="Times New Roman"/>
      <w:lang w:val="en-GB"/>
    </w:rPr>
  </w:style>
  <w:style w:type="paragraph" w:styleId="Caption">
    <w:name w:val="caption"/>
    <w:basedOn w:val="Normal"/>
    <w:next w:val="Normal"/>
    <w:uiPriority w:val="35"/>
    <w:unhideWhenUsed/>
    <w:qFormat/>
    <w:rsid w:val="00AF43FF"/>
    <w:pPr>
      <w:spacing w:after="200"/>
    </w:pPr>
    <w:rPr>
      <w:b/>
      <w:bCs/>
      <w:color w:val="4F81BD" w:themeColor="accent1"/>
      <w:sz w:val="18"/>
      <w:szCs w:val="18"/>
    </w:rPr>
  </w:style>
  <w:style w:type="paragraph" w:styleId="ListParagraph">
    <w:name w:val="List Paragraph"/>
    <w:basedOn w:val="Normal"/>
    <w:uiPriority w:val="34"/>
    <w:qFormat/>
    <w:rsid w:val="005A1D98"/>
    <w:pPr>
      <w:ind w:left="720"/>
      <w:contextualSpacing/>
    </w:pPr>
  </w:style>
  <w:style w:type="paragraph" w:styleId="TOCHeading">
    <w:name w:val="TOC Heading"/>
    <w:basedOn w:val="Heading1"/>
    <w:next w:val="Normal"/>
    <w:uiPriority w:val="39"/>
    <w:unhideWhenUsed/>
    <w:qFormat/>
    <w:rsid w:val="005A1D98"/>
    <w:pPr>
      <w:spacing w:line="276" w:lineRule="auto"/>
      <w:outlineLvl w:val="9"/>
    </w:pPr>
    <w:rPr>
      <w:color w:val="365F91" w:themeColor="accent1" w:themeShade="BF"/>
      <w:sz w:val="28"/>
      <w:szCs w:val="28"/>
      <w:lang w:val="en-US" w:eastAsia="en-US"/>
    </w:rPr>
  </w:style>
  <w:style w:type="paragraph" w:styleId="BalloonText">
    <w:name w:val="Balloon Text"/>
    <w:basedOn w:val="Normal"/>
    <w:link w:val="BalloonTextChar"/>
    <w:uiPriority w:val="99"/>
    <w:semiHidden/>
    <w:unhideWhenUsed/>
    <w:rsid w:val="005A1D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D98"/>
    <w:rPr>
      <w:rFonts w:ascii="Lucida Grande" w:hAnsi="Lucida Grande" w:cs="Lucida Grande"/>
      <w:sz w:val="18"/>
      <w:szCs w:val="18"/>
      <w:lang w:val="en-GB"/>
    </w:rPr>
  </w:style>
  <w:style w:type="paragraph" w:styleId="TOC1">
    <w:name w:val="toc 1"/>
    <w:basedOn w:val="Normal"/>
    <w:next w:val="Normal"/>
    <w:autoRedefine/>
    <w:uiPriority w:val="39"/>
    <w:unhideWhenUsed/>
    <w:rsid w:val="005A1D98"/>
    <w:pPr>
      <w:spacing w:before="120"/>
    </w:pPr>
    <w:rPr>
      <w:rFonts w:asciiTheme="minorHAnsi" w:hAnsiTheme="minorHAnsi"/>
      <w:b/>
    </w:rPr>
  </w:style>
  <w:style w:type="paragraph" w:styleId="TOC2">
    <w:name w:val="toc 2"/>
    <w:basedOn w:val="Normal"/>
    <w:next w:val="Normal"/>
    <w:autoRedefine/>
    <w:uiPriority w:val="39"/>
    <w:unhideWhenUsed/>
    <w:rsid w:val="00577A35"/>
    <w:pPr>
      <w:ind w:left="240"/>
    </w:pPr>
    <w:rPr>
      <w:rFonts w:asciiTheme="minorHAnsi" w:hAnsiTheme="minorHAnsi"/>
      <w:b/>
      <w:sz w:val="22"/>
      <w:szCs w:val="22"/>
    </w:rPr>
  </w:style>
  <w:style w:type="paragraph" w:styleId="Title">
    <w:name w:val="Title"/>
    <w:basedOn w:val="Normal"/>
    <w:next w:val="Normal"/>
    <w:link w:val="TitleChar"/>
    <w:uiPriority w:val="10"/>
    <w:qFormat/>
    <w:rsid w:val="005A1D9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A1D98"/>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5A1D9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A1D98"/>
    <w:rPr>
      <w:rFonts w:asciiTheme="majorHAnsi" w:eastAsiaTheme="majorEastAsia" w:hAnsiTheme="majorHAnsi" w:cstheme="majorBidi"/>
      <w:i/>
      <w:iCs/>
      <w:color w:val="4F81BD" w:themeColor="accent1"/>
      <w:spacing w:val="15"/>
      <w:lang w:val="en-GB"/>
    </w:rPr>
  </w:style>
  <w:style w:type="paragraph" w:styleId="CommentText">
    <w:name w:val="annotation text"/>
    <w:basedOn w:val="Normal"/>
    <w:link w:val="CommentTextChar"/>
    <w:uiPriority w:val="99"/>
    <w:semiHidden/>
    <w:unhideWhenUsed/>
    <w:rsid w:val="005A1D98"/>
  </w:style>
  <w:style w:type="character" w:customStyle="1" w:styleId="CommentTextChar">
    <w:name w:val="Comment Text Char"/>
    <w:basedOn w:val="DefaultParagraphFont"/>
    <w:link w:val="CommentText"/>
    <w:uiPriority w:val="99"/>
    <w:semiHidden/>
    <w:rsid w:val="005A1D98"/>
    <w:rPr>
      <w:rFonts w:ascii="Times New Roman" w:hAnsi="Times New Roman"/>
      <w:lang w:val="en-GB"/>
    </w:rPr>
  </w:style>
  <w:style w:type="character" w:customStyle="1" w:styleId="CommentSubjectChar">
    <w:name w:val="Comment Subject Char"/>
    <w:basedOn w:val="CommentTextChar"/>
    <w:link w:val="CommentSubject"/>
    <w:uiPriority w:val="99"/>
    <w:semiHidden/>
    <w:rsid w:val="005A1D98"/>
    <w:rPr>
      <w:rFonts w:ascii="Times New Roman" w:hAnsi="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5A1D98"/>
    <w:rPr>
      <w:b/>
      <w:bCs/>
      <w:sz w:val="20"/>
      <w:szCs w:val="20"/>
    </w:rPr>
  </w:style>
  <w:style w:type="table" w:styleId="TableGrid">
    <w:name w:val="Table Grid"/>
    <w:basedOn w:val="TableNormal"/>
    <w:uiPriority w:val="59"/>
    <w:rsid w:val="005A1D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A1D98"/>
    <w:pPr>
      <w:spacing w:before="100" w:beforeAutospacing="1" w:after="100" w:afterAutospacing="1"/>
    </w:pPr>
    <w:rPr>
      <w:rFonts w:ascii="Times" w:hAnsi="Times" w:cs="Times New Roman"/>
      <w:sz w:val="20"/>
      <w:szCs w:val="20"/>
      <w:lang w:val="en-CA" w:eastAsia="en-US"/>
    </w:rPr>
  </w:style>
  <w:style w:type="character" w:styleId="Hyperlink">
    <w:name w:val="Hyperlink"/>
    <w:basedOn w:val="DefaultParagraphFont"/>
    <w:uiPriority w:val="99"/>
    <w:unhideWhenUsed/>
    <w:rsid w:val="005A1D98"/>
    <w:rPr>
      <w:color w:val="0000FF" w:themeColor="hyperlink"/>
      <w:u w:val="single"/>
    </w:rPr>
  </w:style>
  <w:style w:type="paragraph" w:styleId="TOC3">
    <w:name w:val="toc 3"/>
    <w:basedOn w:val="Normal"/>
    <w:next w:val="Normal"/>
    <w:autoRedefine/>
    <w:uiPriority w:val="39"/>
    <w:unhideWhenUsed/>
    <w:rsid w:val="00652245"/>
    <w:pPr>
      <w:ind w:left="480"/>
    </w:pPr>
    <w:rPr>
      <w:rFonts w:asciiTheme="minorHAnsi" w:hAnsiTheme="minorHAnsi"/>
      <w:sz w:val="22"/>
      <w:szCs w:val="22"/>
    </w:rPr>
  </w:style>
  <w:style w:type="paragraph" w:styleId="TOC4">
    <w:name w:val="toc 4"/>
    <w:basedOn w:val="Normal"/>
    <w:next w:val="Normal"/>
    <w:autoRedefine/>
    <w:uiPriority w:val="39"/>
    <w:unhideWhenUsed/>
    <w:rsid w:val="00652245"/>
    <w:pPr>
      <w:ind w:left="720"/>
    </w:pPr>
    <w:rPr>
      <w:rFonts w:asciiTheme="minorHAnsi" w:hAnsiTheme="minorHAnsi"/>
      <w:sz w:val="20"/>
      <w:szCs w:val="20"/>
    </w:rPr>
  </w:style>
  <w:style w:type="paragraph" w:styleId="TOC5">
    <w:name w:val="toc 5"/>
    <w:basedOn w:val="Normal"/>
    <w:next w:val="Normal"/>
    <w:autoRedefine/>
    <w:uiPriority w:val="39"/>
    <w:unhideWhenUsed/>
    <w:rsid w:val="00652245"/>
    <w:pPr>
      <w:ind w:left="960"/>
    </w:pPr>
    <w:rPr>
      <w:rFonts w:asciiTheme="minorHAnsi" w:hAnsiTheme="minorHAnsi"/>
      <w:sz w:val="20"/>
      <w:szCs w:val="20"/>
    </w:rPr>
  </w:style>
  <w:style w:type="paragraph" w:styleId="TOC6">
    <w:name w:val="toc 6"/>
    <w:basedOn w:val="Normal"/>
    <w:next w:val="Normal"/>
    <w:autoRedefine/>
    <w:uiPriority w:val="39"/>
    <w:unhideWhenUsed/>
    <w:rsid w:val="00652245"/>
    <w:pPr>
      <w:ind w:left="1200"/>
    </w:pPr>
    <w:rPr>
      <w:rFonts w:asciiTheme="minorHAnsi" w:hAnsiTheme="minorHAnsi"/>
      <w:sz w:val="20"/>
      <w:szCs w:val="20"/>
    </w:rPr>
  </w:style>
  <w:style w:type="paragraph" w:styleId="TOC7">
    <w:name w:val="toc 7"/>
    <w:basedOn w:val="Normal"/>
    <w:next w:val="Normal"/>
    <w:autoRedefine/>
    <w:uiPriority w:val="39"/>
    <w:unhideWhenUsed/>
    <w:rsid w:val="00652245"/>
    <w:pPr>
      <w:ind w:left="1440"/>
    </w:pPr>
    <w:rPr>
      <w:rFonts w:asciiTheme="minorHAnsi" w:hAnsiTheme="minorHAnsi"/>
      <w:sz w:val="20"/>
      <w:szCs w:val="20"/>
    </w:rPr>
  </w:style>
  <w:style w:type="paragraph" w:styleId="TOC8">
    <w:name w:val="toc 8"/>
    <w:basedOn w:val="Normal"/>
    <w:next w:val="Normal"/>
    <w:autoRedefine/>
    <w:uiPriority w:val="39"/>
    <w:unhideWhenUsed/>
    <w:rsid w:val="00652245"/>
    <w:pPr>
      <w:ind w:left="1680"/>
    </w:pPr>
    <w:rPr>
      <w:rFonts w:asciiTheme="minorHAnsi" w:hAnsiTheme="minorHAnsi"/>
      <w:sz w:val="20"/>
      <w:szCs w:val="20"/>
    </w:rPr>
  </w:style>
  <w:style w:type="paragraph" w:styleId="TOC9">
    <w:name w:val="toc 9"/>
    <w:basedOn w:val="Normal"/>
    <w:next w:val="Normal"/>
    <w:autoRedefine/>
    <w:uiPriority w:val="39"/>
    <w:unhideWhenUsed/>
    <w:rsid w:val="00652245"/>
    <w:pPr>
      <w:ind w:left="1920"/>
    </w:pPr>
    <w:rPr>
      <w:rFonts w:asciiTheme="minorHAnsi" w:hAnsiTheme="minorHAnsi"/>
      <w:sz w:val="20"/>
      <w:szCs w:val="20"/>
    </w:rPr>
  </w:style>
  <w:style w:type="character" w:styleId="PageNumber">
    <w:name w:val="page number"/>
    <w:basedOn w:val="DefaultParagraphFont"/>
    <w:uiPriority w:val="99"/>
    <w:semiHidden/>
    <w:unhideWhenUsed/>
    <w:rsid w:val="00880F30"/>
  </w:style>
  <w:style w:type="paragraph" w:styleId="DocumentMap">
    <w:name w:val="Document Map"/>
    <w:basedOn w:val="Normal"/>
    <w:link w:val="DocumentMapChar"/>
    <w:uiPriority w:val="99"/>
    <w:semiHidden/>
    <w:unhideWhenUsed/>
    <w:rsid w:val="00851834"/>
    <w:rPr>
      <w:rFonts w:ascii="Lucida Grande" w:hAnsi="Lucida Grande" w:cs="Lucida Grande"/>
    </w:rPr>
  </w:style>
  <w:style w:type="character" w:customStyle="1" w:styleId="DocumentMapChar">
    <w:name w:val="Document Map Char"/>
    <w:basedOn w:val="DefaultParagraphFont"/>
    <w:link w:val="DocumentMap"/>
    <w:uiPriority w:val="99"/>
    <w:semiHidden/>
    <w:rsid w:val="00851834"/>
    <w:rPr>
      <w:rFonts w:ascii="Lucida Grande" w:hAnsi="Lucida Grande" w:cs="Lucida Grande"/>
      <w:lang w:val="en-GB"/>
    </w:rPr>
  </w:style>
  <w:style w:type="character" w:styleId="CommentReference">
    <w:name w:val="annotation reference"/>
    <w:basedOn w:val="DefaultParagraphFont"/>
    <w:uiPriority w:val="99"/>
    <w:semiHidden/>
    <w:unhideWhenUsed/>
    <w:rsid w:val="00DC2A01"/>
    <w:rPr>
      <w:sz w:val="16"/>
      <w:szCs w:val="16"/>
    </w:rPr>
  </w:style>
  <w:style w:type="paragraph" w:styleId="Revision">
    <w:name w:val="Revision"/>
    <w:hidden/>
    <w:uiPriority w:val="99"/>
    <w:semiHidden/>
    <w:rsid w:val="00EB2F11"/>
    <w:rPr>
      <w:rFonts w:ascii="Times New Roman" w:hAnsi="Times New Roman"/>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950"/>
    <w:rPr>
      <w:rFonts w:ascii="Times New Roman" w:hAnsi="Times New Roman"/>
      <w:lang w:val="en-GB"/>
    </w:rPr>
  </w:style>
  <w:style w:type="paragraph" w:styleId="Heading1">
    <w:name w:val="heading 1"/>
    <w:basedOn w:val="Normal"/>
    <w:next w:val="Normal"/>
    <w:link w:val="Heading1Char"/>
    <w:uiPriority w:val="9"/>
    <w:qFormat/>
    <w:rsid w:val="00A34ABD"/>
    <w:pPr>
      <w:keepNext/>
      <w:keepLines/>
      <w:spacing w:line="480" w:lineRule="auto"/>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875699"/>
    <w:pPr>
      <w:keepNext/>
      <w:keepLines/>
      <w:numPr>
        <w:numId w:val="4"/>
      </w:numPr>
      <w:spacing w:line="480" w:lineRule="auto"/>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A34ABD"/>
    <w:pPr>
      <w:keepNext/>
      <w:keepLines/>
      <w:spacing w:line="480" w:lineRule="auto"/>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ABD"/>
    <w:rPr>
      <w:rFonts w:ascii="Times New Roman" w:eastAsiaTheme="majorEastAsia" w:hAnsi="Times New Roman" w:cstheme="majorBidi"/>
      <w:b/>
      <w:bCs/>
      <w:szCs w:val="32"/>
      <w:lang w:val="en-GB"/>
    </w:rPr>
  </w:style>
  <w:style w:type="character" w:customStyle="1" w:styleId="Heading2Char">
    <w:name w:val="Heading 2 Char"/>
    <w:basedOn w:val="DefaultParagraphFont"/>
    <w:link w:val="Heading2"/>
    <w:uiPriority w:val="9"/>
    <w:rsid w:val="00875699"/>
    <w:rPr>
      <w:rFonts w:ascii="Times New Roman" w:eastAsiaTheme="majorEastAsia" w:hAnsi="Times New Roman" w:cstheme="majorBidi"/>
      <w:bCs/>
      <w:szCs w:val="26"/>
      <w:lang w:val="en-GB"/>
    </w:rPr>
  </w:style>
  <w:style w:type="character" w:customStyle="1" w:styleId="Heading3Char">
    <w:name w:val="Heading 3 Char"/>
    <w:basedOn w:val="DefaultParagraphFont"/>
    <w:link w:val="Heading3"/>
    <w:uiPriority w:val="9"/>
    <w:rsid w:val="00A34ABD"/>
    <w:rPr>
      <w:rFonts w:ascii="Times New Roman" w:eastAsiaTheme="majorEastAsia" w:hAnsi="Times New Roman" w:cstheme="majorBidi"/>
      <w:bCs/>
      <w:i/>
      <w:lang w:val="en-GB"/>
    </w:rPr>
  </w:style>
  <w:style w:type="paragraph" w:styleId="Header">
    <w:name w:val="header"/>
    <w:basedOn w:val="Normal"/>
    <w:link w:val="HeaderChar"/>
    <w:uiPriority w:val="99"/>
    <w:unhideWhenUsed/>
    <w:rsid w:val="000B0BDE"/>
    <w:pPr>
      <w:tabs>
        <w:tab w:val="center" w:pos="4320"/>
        <w:tab w:val="right" w:pos="8640"/>
      </w:tabs>
    </w:pPr>
  </w:style>
  <w:style w:type="character" w:customStyle="1" w:styleId="HeaderChar">
    <w:name w:val="Header Char"/>
    <w:basedOn w:val="DefaultParagraphFont"/>
    <w:link w:val="Header"/>
    <w:uiPriority w:val="99"/>
    <w:rsid w:val="000B0BDE"/>
    <w:rPr>
      <w:rFonts w:ascii="Times New Roman" w:hAnsi="Times New Roman"/>
      <w:lang w:val="en-GB"/>
    </w:rPr>
  </w:style>
  <w:style w:type="paragraph" w:styleId="Footer">
    <w:name w:val="footer"/>
    <w:basedOn w:val="Normal"/>
    <w:link w:val="FooterChar"/>
    <w:uiPriority w:val="99"/>
    <w:unhideWhenUsed/>
    <w:rsid w:val="000B0BDE"/>
    <w:pPr>
      <w:tabs>
        <w:tab w:val="center" w:pos="4320"/>
        <w:tab w:val="right" w:pos="8640"/>
      </w:tabs>
    </w:pPr>
  </w:style>
  <w:style w:type="character" w:customStyle="1" w:styleId="FooterChar">
    <w:name w:val="Footer Char"/>
    <w:basedOn w:val="DefaultParagraphFont"/>
    <w:link w:val="Footer"/>
    <w:uiPriority w:val="99"/>
    <w:rsid w:val="000B0BDE"/>
    <w:rPr>
      <w:rFonts w:ascii="Times New Roman" w:hAnsi="Times New Roman"/>
      <w:lang w:val="en-GB"/>
    </w:rPr>
  </w:style>
  <w:style w:type="paragraph" w:styleId="Caption">
    <w:name w:val="caption"/>
    <w:basedOn w:val="Normal"/>
    <w:next w:val="Normal"/>
    <w:uiPriority w:val="35"/>
    <w:unhideWhenUsed/>
    <w:qFormat/>
    <w:rsid w:val="00AF43FF"/>
    <w:pPr>
      <w:spacing w:after="200"/>
    </w:pPr>
    <w:rPr>
      <w:b/>
      <w:bCs/>
      <w:color w:val="4F81BD" w:themeColor="accent1"/>
      <w:sz w:val="18"/>
      <w:szCs w:val="18"/>
    </w:rPr>
  </w:style>
  <w:style w:type="paragraph" w:styleId="ListParagraph">
    <w:name w:val="List Paragraph"/>
    <w:basedOn w:val="Normal"/>
    <w:uiPriority w:val="34"/>
    <w:qFormat/>
    <w:rsid w:val="005A1D98"/>
    <w:pPr>
      <w:ind w:left="720"/>
      <w:contextualSpacing/>
    </w:pPr>
  </w:style>
  <w:style w:type="paragraph" w:styleId="TOCHeading">
    <w:name w:val="TOC Heading"/>
    <w:basedOn w:val="Heading1"/>
    <w:next w:val="Normal"/>
    <w:uiPriority w:val="39"/>
    <w:unhideWhenUsed/>
    <w:qFormat/>
    <w:rsid w:val="005A1D98"/>
    <w:pPr>
      <w:spacing w:line="276" w:lineRule="auto"/>
      <w:outlineLvl w:val="9"/>
    </w:pPr>
    <w:rPr>
      <w:color w:val="365F91" w:themeColor="accent1" w:themeShade="BF"/>
      <w:sz w:val="28"/>
      <w:szCs w:val="28"/>
      <w:lang w:val="en-US" w:eastAsia="en-US"/>
    </w:rPr>
  </w:style>
  <w:style w:type="paragraph" w:styleId="BalloonText">
    <w:name w:val="Balloon Text"/>
    <w:basedOn w:val="Normal"/>
    <w:link w:val="BalloonTextChar"/>
    <w:uiPriority w:val="99"/>
    <w:semiHidden/>
    <w:unhideWhenUsed/>
    <w:rsid w:val="005A1D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D98"/>
    <w:rPr>
      <w:rFonts w:ascii="Lucida Grande" w:hAnsi="Lucida Grande" w:cs="Lucida Grande"/>
      <w:sz w:val="18"/>
      <w:szCs w:val="18"/>
      <w:lang w:val="en-GB"/>
    </w:rPr>
  </w:style>
  <w:style w:type="paragraph" w:styleId="TOC1">
    <w:name w:val="toc 1"/>
    <w:basedOn w:val="Normal"/>
    <w:next w:val="Normal"/>
    <w:autoRedefine/>
    <w:uiPriority w:val="39"/>
    <w:unhideWhenUsed/>
    <w:rsid w:val="005A1D98"/>
    <w:pPr>
      <w:spacing w:before="120"/>
    </w:pPr>
    <w:rPr>
      <w:rFonts w:asciiTheme="minorHAnsi" w:hAnsiTheme="minorHAnsi"/>
      <w:b/>
    </w:rPr>
  </w:style>
  <w:style w:type="paragraph" w:styleId="TOC2">
    <w:name w:val="toc 2"/>
    <w:basedOn w:val="Normal"/>
    <w:next w:val="Normal"/>
    <w:autoRedefine/>
    <w:uiPriority w:val="39"/>
    <w:unhideWhenUsed/>
    <w:rsid w:val="00577A35"/>
    <w:pPr>
      <w:ind w:left="240"/>
    </w:pPr>
    <w:rPr>
      <w:rFonts w:asciiTheme="minorHAnsi" w:hAnsiTheme="minorHAnsi"/>
      <w:b/>
      <w:sz w:val="22"/>
      <w:szCs w:val="22"/>
    </w:rPr>
  </w:style>
  <w:style w:type="paragraph" w:styleId="Title">
    <w:name w:val="Title"/>
    <w:basedOn w:val="Normal"/>
    <w:next w:val="Normal"/>
    <w:link w:val="TitleChar"/>
    <w:uiPriority w:val="10"/>
    <w:qFormat/>
    <w:rsid w:val="005A1D9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A1D98"/>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5A1D9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A1D98"/>
    <w:rPr>
      <w:rFonts w:asciiTheme="majorHAnsi" w:eastAsiaTheme="majorEastAsia" w:hAnsiTheme="majorHAnsi" w:cstheme="majorBidi"/>
      <w:i/>
      <w:iCs/>
      <w:color w:val="4F81BD" w:themeColor="accent1"/>
      <w:spacing w:val="15"/>
      <w:lang w:val="en-GB"/>
    </w:rPr>
  </w:style>
  <w:style w:type="paragraph" w:styleId="CommentText">
    <w:name w:val="annotation text"/>
    <w:basedOn w:val="Normal"/>
    <w:link w:val="CommentTextChar"/>
    <w:uiPriority w:val="99"/>
    <w:semiHidden/>
    <w:unhideWhenUsed/>
    <w:rsid w:val="005A1D98"/>
  </w:style>
  <w:style w:type="character" w:customStyle="1" w:styleId="CommentTextChar">
    <w:name w:val="Comment Text Char"/>
    <w:basedOn w:val="DefaultParagraphFont"/>
    <w:link w:val="CommentText"/>
    <w:uiPriority w:val="99"/>
    <w:semiHidden/>
    <w:rsid w:val="005A1D98"/>
    <w:rPr>
      <w:rFonts w:ascii="Times New Roman" w:hAnsi="Times New Roman"/>
      <w:lang w:val="en-GB"/>
    </w:rPr>
  </w:style>
  <w:style w:type="character" w:customStyle="1" w:styleId="CommentSubjectChar">
    <w:name w:val="Comment Subject Char"/>
    <w:basedOn w:val="CommentTextChar"/>
    <w:link w:val="CommentSubject"/>
    <w:uiPriority w:val="99"/>
    <w:semiHidden/>
    <w:rsid w:val="005A1D98"/>
    <w:rPr>
      <w:rFonts w:ascii="Times New Roman" w:hAnsi="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5A1D98"/>
    <w:rPr>
      <w:b/>
      <w:bCs/>
      <w:sz w:val="20"/>
      <w:szCs w:val="20"/>
    </w:rPr>
  </w:style>
  <w:style w:type="table" w:styleId="TableGrid">
    <w:name w:val="Table Grid"/>
    <w:basedOn w:val="TableNormal"/>
    <w:uiPriority w:val="59"/>
    <w:rsid w:val="005A1D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A1D98"/>
    <w:pPr>
      <w:spacing w:before="100" w:beforeAutospacing="1" w:after="100" w:afterAutospacing="1"/>
    </w:pPr>
    <w:rPr>
      <w:rFonts w:ascii="Times" w:hAnsi="Times" w:cs="Times New Roman"/>
      <w:sz w:val="20"/>
      <w:szCs w:val="20"/>
      <w:lang w:val="en-CA" w:eastAsia="en-US"/>
    </w:rPr>
  </w:style>
  <w:style w:type="character" w:styleId="Hyperlink">
    <w:name w:val="Hyperlink"/>
    <w:basedOn w:val="DefaultParagraphFont"/>
    <w:uiPriority w:val="99"/>
    <w:unhideWhenUsed/>
    <w:rsid w:val="005A1D98"/>
    <w:rPr>
      <w:color w:val="0000FF" w:themeColor="hyperlink"/>
      <w:u w:val="single"/>
    </w:rPr>
  </w:style>
  <w:style w:type="paragraph" w:styleId="TOC3">
    <w:name w:val="toc 3"/>
    <w:basedOn w:val="Normal"/>
    <w:next w:val="Normal"/>
    <w:autoRedefine/>
    <w:uiPriority w:val="39"/>
    <w:unhideWhenUsed/>
    <w:rsid w:val="00652245"/>
    <w:pPr>
      <w:ind w:left="480"/>
    </w:pPr>
    <w:rPr>
      <w:rFonts w:asciiTheme="minorHAnsi" w:hAnsiTheme="minorHAnsi"/>
      <w:sz w:val="22"/>
      <w:szCs w:val="22"/>
    </w:rPr>
  </w:style>
  <w:style w:type="paragraph" w:styleId="TOC4">
    <w:name w:val="toc 4"/>
    <w:basedOn w:val="Normal"/>
    <w:next w:val="Normal"/>
    <w:autoRedefine/>
    <w:uiPriority w:val="39"/>
    <w:unhideWhenUsed/>
    <w:rsid w:val="00652245"/>
    <w:pPr>
      <w:ind w:left="720"/>
    </w:pPr>
    <w:rPr>
      <w:rFonts w:asciiTheme="minorHAnsi" w:hAnsiTheme="minorHAnsi"/>
      <w:sz w:val="20"/>
      <w:szCs w:val="20"/>
    </w:rPr>
  </w:style>
  <w:style w:type="paragraph" w:styleId="TOC5">
    <w:name w:val="toc 5"/>
    <w:basedOn w:val="Normal"/>
    <w:next w:val="Normal"/>
    <w:autoRedefine/>
    <w:uiPriority w:val="39"/>
    <w:unhideWhenUsed/>
    <w:rsid w:val="00652245"/>
    <w:pPr>
      <w:ind w:left="960"/>
    </w:pPr>
    <w:rPr>
      <w:rFonts w:asciiTheme="minorHAnsi" w:hAnsiTheme="minorHAnsi"/>
      <w:sz w:val="20"/>
      <w:szCs w:val="20"/>
    </w:rPr>
  </w:style>
  <w:style w:type="paragraph" w:styleId="TOC6">
    <w:name w:val="toc 6"/>
    <w:basedOn w:val="Normal"/>
    <w:next w:val="Normal"/>
    <w:autoRedefine/>
    <w:uiPriority w:val="39"/>
    <w:unhideWhenUsed/>
    <w:rsid w:val="00652245"/>
    <w:pPr>
      <w:ind w:left="1200"/>
    </w:pPr>
    <w:rPr>
      <w:rFonts w:asciiTheme="minorHAnsi" w:hAnsiTheme="minorHAnsi"/>
      <w:sz w:val="20"/>
      <w:szCs w:val="20"/>
    </w:rPr>
  </w:style>
  <w:style w:type="paragraph" w:styleId="TOC7">
    <w:name w:val="toc 7"/>
    <w:basedOn w:val="Normal"/>
    <w:next w:val="Normal"/>
    <w:autoRedefine/>
    <w:uiPriority w:val="39"/>
    <w:unhideWhenUsed/>
    <w:rsid w:val="00652245"/>
    <w:pPr>
      <w:ind w:left="1440"/>
    </w:pPr>
    <w:rPr>
      <w:rFonts w:asciiTheme="minorHAnsi" w:hAnsiTheme="minorHAnsi"/>
      <w:sz w:val="20"/>
      <w:szCs w:val="20"/>
    </w:rPr>
  </w:style>
  <w:style w:type="paragraph" w:styleId="TOC8">
    <w:name w:val="toc 8"/>
    <w:basedOn w:val="Normal"/>
    <w:next w:val="Normal"/>
    <w:autoRedefine/>
    <w:uiPriority w:val="39"/>
    <w:unhideWhenUsed/>
    <w:rsid w:val="00652245"/>
    <w:pPr>
      <w:ind w:left="1680"/>
    </w:pPr>
    <w:rPr>
      <w:rFonts w:asciiTheme="minorHAnsi" w:hAnsiTheme="minorHAnsi"/>
      <w:sz w:val="20"/>
      <w:szCs w:val="20"/>
    </w:rPr>
  </w:style>
  <w:style w:type="paragraph" w:styleId="TOC9">
    <w:name w:val="toc 9"/>
    <w:basedOn w:val="Normal"/>
    <w:next w:val="Normal"/>
    <w:autoRedefine/>
    <w:uiPriority w:val="39"/>
    <w:unhideWhenUsed/>
    <w:rsid w:val="00652245"/>
    <w:pPr>
      <w:ind w:left="1920"/>
    </w:pPr>
    <w:rPr>
      <w:rFonts w:asciiTheme="minorHAnsi" w:hAnsiTheme="minorHAnsi"/>
      <w:sz w:val="20"/>
      <w:szCs w:val="20"/>
    </w:rPr>
  </w:style>
  <w:style w:type="character" w:styleId="PageNumber">
    <w:name w:val="page number"/>
    <w:basedOn w:val="DefaultParagraphFont"/>
    <w:uiPriority w:val="99"/>
    <w:semiHidden/>
    <w:unhideWhenUsed/>
    <w:rsid w:val="00880F30"/>
  </w:style>
  <w:style w:type="paragraph" w:styleId="DocumentMap">
    <w:name w:val="Document Map"/>
    <w:basedOn w:val="Normal"/>
    <w:link w:val="DocumentMapChar"/>
    <w:uiPriority w:val="99"/>
    <w:semiHidden/>
    <w:unhideWhenUsed/>
    <w:rsid w:val="00851834"/>
    <w:rPr>
      <w:rFonts w:ascii="Lucida Grande" w:hAnsi="Lucida Grande" w:cs="Lucida Grande"/>
    </w:rPr>
  </w:style>
  <w:style w:type="character" w:customStyle="1" w:styleId="DocumentMapChar">
    <w:name w:val="Document Map Char"/>
    <w:basedOn w:val="DefaultParagraphFont"/>
    <w:link w:val="DocumentMap"/>
    <w:uiPriority w:val="99"/>
    <w:semiHidden/>
    <w:rsid w:val="00851834"/>
    <w:rPr>
      <w:rFonts w:ascii="Lucida Grande" w:hAnsi="Lucida Grande" w:cs="Lucida Grande"/>
      <w:lang w:val="en-GB"/>
    </w:rPr>
  </w:style>
  <w:style w:type="character" w:styleId="CommentReference">
    <w:name w:val="annotation reference"/>
    <w:basedOn w:val="DefaultParagraphFont"/>
    <w:uiPriority w:val="99"/>
    <w:semiHidden/>
    <w:unhideWhenUsed/>
    <w:rsid w:val="00DC2A01"/>
    <w:rPr>
      <w:sz w:val="16"/>
      <w:szCs w:val="16"/>
    </w:rPr>
  </w:style>
  <w:style w:type="paragraph" w:styleId="Revision">
    <w:name w:val="Revision"/>
    <w:hidden/>
    <w:uiPriority w:val="99"/>
    <w:semiHidden/>
    <w:rsid w:val="00EB2F11"/>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695738">
      <w:bodyDiv w:val="1"/>
      <w:marLeft w:val="0"/>
      <w:marRight w:val="0"/>
      <w:marTop w:val="0"/>
      <w:marBottom w:val="0"/>
      <w:divBdr>
        <w:top w:val="none" w:sz="0" w:space="0" w:color="auto"/>
        <w:left w:val="none" w:sz="0" w:space="0" w:color="auto"/>
        <w:bottom w:val="none" w:sz="0" w:space="0" w:color="auto"/>
        <w:right w:val="none" w:sz="0" w:space="0" w:color="auto"/>
      </w:divBdr>
      <w:divsChild>
        <w:div w:id="324018691">
          <w:marLeft w:val="0"/>
          <w:marRight w:val="0"/>
          <w:marTop w:val="0"/>
          <w:marBottom w:val="0"/>
          <w:divBdr>
            <w:top w:val="none" w:sz="0" w:space="0" w:color="auto"/>
            <w:left w:val="none" w:sz="0" w:space="0" w:color="auto"/>
            <w:bottom w:val="none" w:sz="0" w:space="0" w:color="auto"/>
            <w:right w:val="none" w:sz="0" w:space="0" w:color="auto"/>
          </w:divBdr>
          <w:divsChild>
            <w:div w:id="1383405722">
              <w:marLeft w:val="0"/>
              <w:marRight w:val="0"/>
              <w:marTop w:val="0"/>
              <w:marBottom w:val="0"/>
              <w:divBdr>
                <w:top w:val="none" w:sz="0" w:space="0" w:color="auto"/>
                <w:left w:val="none" w:sz="0" w:space="0" w:color="auto"/>
                <w:bottom w:val="none" w:sz="0" w:space="0" w:color="auto"/>
                <w:right w:val="none" w:sz="0" w:space="0" w:color="auto"/>
              </w:divBdr>
              <w:divsChild>
                <w:div w:id="338317210">
                  <w:marLeft w:val="0"/>
                  <w:marRight w:val="0"/>
                  <w:marTop w:val="0"/>
                  <w:marBottom w:val="0"/>
                  <w:divBdr>
                    <w:top w:val="none" w:sz="0" w:space="0" w:color="auto"/>
                    <w:left w:val="none" w:sz="0" w:space="0" w:color="auto"/>
                    <w:bottom w:val="none" w:sz="0" w:space="0" w:color="auto"/>
                    <w:right w:val="none" w:sz="0" w:space="0" w:color="auto"/>
                  </w:divBdr>
                  <w:divsChild>
                    <w:div w:id="1465082810">
                      <w:marLeft w:val="0"/>
                      <w:marRight w:val="0"/>
                      <w:marTop w:val="0"/>
                      <w:marBottom w:val="0"/>
                      <w:divBdr>
                        <w:top w:val="none" w:sz="0" w:space="0" w:color="auto"/>
                        <w:left w:val="none" w:sz="0" w:space="0" w:color="auto"/>
                        <w:bottom w:val="none" w:sz="0" w:space="0" w:color="auto"/>
                        <w:right w:val="none" w:sz="0" w:space="0" w:color="auto"/>
                      </w:divBdr>
                      <w:divsChild>
                        <w:div w:id="1755781734">
                          <w:marLeft w:val="0"/>
                          <w:marRight w:val="0"/>
                          <w:marTop w:val="0"/>
                          <w:marBottom w:val="0"/>
                          <w:divBdr>
                            <w:top w:val="none" w:sz="0" w:space="0" w:color="auto"/>
                            <w:left w:val="none" w:sz="0" w:space="0" w:color="auto"/>
                            <w:bottom w:val="none" w:sz="0" w:space="0" w:color="auto"/>
                            <w:right w:val="none" w:sz="0" w:space="0" w:color="auto"/>
                          </w:divBdr>
                          <w:divsChild>
                            <w:div w:id="618412445">
                              <w:marLeft w:val="0"/>
                              <w:marRight w:val="0"/>
                              <w:marTop w:val="0"/>
                              <w:marBottom w:val="0"/>
                              <w:divBdr>
                                <w:top w:val="none" w:sz="0" w:space="0" w:color="auto"/>
                                <w:left w:val="none" w:sz="0" w:space="0" w:color="auto"/>
                                <w:bottom w:val="none" w:sz="0" w:space="0" w:color="auto"/>
                                <w:right w:val="none" w:sz="0" w:space="0" w:color="auto"/>
                              </w:divBdr>
                              <w:divsChild>
                                <w:div w:id="1197349716">
                                  <w:marLeft w:val="0"/>
                                  <w:marRight w:val="0"/>
                                  <w:marTop w:val="0"/>
                                  <w:marBottom w:val="0"/>
                                  <w:divBdr>
                                    <w:top w:val="none" w:sz="0" w:space="0" w:color="auto"/>
                                    <w:left w:val="none" w:sz="0" w:space="0" w:color="auto"/>
                                    <w:bottom w:val="none" w:sz="0" w:space="0" w:color="auto"/>
                                    <w:right w:val="none" w:sz="0" w:space="0" w:color="auto"/>
                                  </w:divBdr>
                                  <w:divsChild>
                                    <w:div w:id="1319067075">
                                      <w:marLeft w:val="0"/>
                                      <w:marRight w:val="0"/>
                                      <w:marTop w:val="0"/>
                                      <w:marBottom w:val="0"/>
                                      <w:divBdr>
                                        <w:top w:val="none" w:sz="0" w:space="0" w:color="auto"/>
                                        <w:left w:val="none" w:sz="0" w:space="0" w:color="auto"/>
                                        <w:bottom w:val="none" w:sz="0" w:space="0" w:color="auto"/>
                                        <w:right w:val="none" w:sz="0" w:space="0" w:color="auto"/>
                                      </w:divBdr>
                                      <w:divsChild>
                                        <w:div w:id="892932390">
                                          <w:marLeft w:val="0"/>
                                          <w:marRight w:val="0"/>
                                          <w:marTop w:val="0"/>
                                          <w:marBottom w:val="0"/>
                                          <w:divBdr>
                                            <w:top w:val="none" w:sz="0" w:space="0" w:color="auto"/>
                                            <w:left w:val="none" w:sz="0" w:space="0" w:color="auto"/>
                                            <w:bottom w:val="none" w:sz="0" w:space="0" w:color="auto"/>
                                            <w:right w:val="none" w:sz="0" w:space="0" w:color="auto"/>
                                          </w:divBdr>
                                          <w:divsChild>
                                            <w:div w:id="2073656326">
                                              <w:marLeft w:val="0"/>
                                              <w:marRight w:val="0"/>
                                              <w:marTop w:val="0"/>
                                              <w:marBottom w:val="0"/>
                                              <w:divBdr>
                                                <w:top w:val="none" w:sz="0" w:space="0" w:color="auto"/>
                                                <w:left w:val="none" w:sz="0" w:space="0" w:color="auto"/>
                                                <w:bottom w:val="none" w:sz="0" w:space="0" w:color="auto"/>
                                                <w:right w:val="none" w:sz="0" w:space="0" w:color="auto"/>
                                              </w:divBdr>
                                              <w:divsChild>
                                                <w:div w:id="893925872">
                                                  <w:marLeft w:val="0"/>
                                                  <w:marRight w:val="0"/>
                                                  <w:marTop w:val="0"/>
                                                  <w:marBottom w:val="0"/>
                                                  <w:divBdr>
                                                    <w:top w:val="none" w:sz="0" w:space="0" w:color="auto"/>
                                                    <w:left w:val="none" w:sz="0" w:space="0" w:color="auto"/>
                                                    <w:bottom w:val="none" w:sz="0" w:space="0" w:color="auto"/>
                                                    <w:right w:val="none" w:sz="0" w:space="0" w:color="auto"/>
                                                  </w:divBdr>
                                                  <w:divsChild>
                                                    <w:div w:id="554858757">
                                                      <w:marLeft w:val="0"/>
                                                      <w:marRight w:val="0"/>
                                                      <w:marTop w:val="0"/>
                                                      <w:marBottom w:val="0"/>
                                                      <w:divBdr>
                                                        <w:top w:val="none" w:sz="0" w:space="0" w:color="auto"/>
                                                        <w:left w:val="none" w:sz="0" w:space="0" w:color="auto"/>
                                                        <w:bottom w:val="none" w:sz="0" w:space="0" w:color="auto"/>
                                                        <w:right w:val="none" w:sz="0" w:space="0" w:color="auto"/>
                                                      </w:divBdr>
                                                      <w:divsChild>
                                                        <w:div w:id="728263163">
                                                          <w:marLeft w:val="0"/>
                                                          <w:marRight w:val="0"/>
                                                          <w:marTop w:val="0"/>
                                                          <w:marBottom w:val="0"/>
                                                          <w:divBdr>
                                                            <w:top w:val="none" w:sz="0" w:space="0" w:color="auto"/>
                                                            <w:left w:val="none" w:sz="0" w:space="0" w:color="auto"/>
                                                            <w:bottom w:val="none" w:sz="0" w:space="0" w:color="auto"/>
                                                            <w:right w:val="none" w:sz="0" w:space="0" w:color="auto"/>
                                                          </w:divBdr>
                                                          <w:divsChild>
                                                            <w:div w:id="715206671">
                                                              <w:marLeft w:val="0"/>
                                                              <w:marRight w:val="0"/>
                                                              <w:marTop w:val="0"/>
                                                              <w:marBottom w:val="0"/>
                                                              <w:divBdr>
                                                                <w:top w:val="none" w:sz="0" w:space="0" w:color="auto"/>
                                                                <w:left w:val="none" w:sz="0" w:space="0" w:color="auto"/>
                                                                <w:bottom w:val="none" w:sz="0" w:space="0" w:color="auto"/>
                                                                <w:right w:val="none" w:sz="0" w:space="0" w:color="auto"/>
                                                              </w:divBdr>
                                                              <w:divsChild>
                                                                <w:div w:id="715860785">
                                                                  <w:marLeft w:val="0"/>
                                                                  <w:marRight w:val="0"/>
                                                                  <w:marTop w:val="0"/>
                                                                  <w:marBottom w:val="0"/>
                                                                  <w:divBdr>
                                                                    <w:top w:val="none" w:sz="0" w:space="0" w:color="auto"/>
                                                                    <w:left w:val="none" w:sz="0" w:space="0" w:color="auto"/>
                                                                    <w:bottom w:val="none" w:sz="0" w:space="0" w:color="auto"/>
                                                                    <w:right w:val="none" w:sz="0" w:space="0" w:color="auto"/>
                                                                  </w:divBdr>
                                                                  <w:divsChild>
                                                                    <w:div w:id="231241210">
                                                                      <w:marLeft w:val="0"/>
                                                                      <w:marRight w:val="0"/>
                                                                      <w:marTop w:val="0"/>
                                                                      <w:marBottom w:val="0"/>
                                                                      <w:divBdr>
                                                                        <w:top w:val="none" w:sz="0" w:space="0" w:color="auto"/>
                                                                        <w:left w:val="none" w:sz="0" w:space="0" w:color="auto"/>
                                                                        <w:bottom w:val="none" w:sz="0" w:space="0" w:color="auto"/>
                                                                        <w:right w:val="none" w:sz="0" w:space="0" w:color="auto"/>
                                                                      </w:divBdr>
                                                                      <w:divsChild>
                                                                        <w:div w:id="778254906">
                                                                          <w:marLeft w:val="0"/>
                                                                          <w:marRight w:val="0"/>
                                                                          <w:marTop w:val="0"/>
                                                                          <w:marBottom w:val="0"/>
                                                                          <w:divBdr>
                                                                            <w:top w:val="none" w:sz="0" w:space="0" w:color="auto"/>
                                                                            <w:left w:val="none" w:sz="0" w:space="0" w:color="auto"/>
                                                                            <w:bottom w:val="none" w:sz="0" w:space="0" w:color="auto"/>
                                                                            <w:right w:val="none" w:sz="0" w:space="0" w:color="auto"/>
                                                                          </w:divBdr>
                                                                          <w:divsChild>
                                                                            <w:div w:id="1652178975">
                                                                              <w:marLeft w:val="0"/>
                                                                              <w:marRight w:val="0"/>
                                                                              <w:marTop w:val="0"/>
                                                                              <w:marBottom w:val="0"/>
                                                                              <w:divBdr>
                                                                                <w:top w:val="none" w:sz="0" w:space="0" w:color="auto"/>
                                                                                <w:left w:val="none" w:sz="0" w:space="0" w:color="auto"/>
                                                                                <w:bottom w:val="none" w:sz="0" w:space="0" w:color="auto"/>
                                                                                <w:right w:val="none" w:sz="0" w:space="0" w:color="auto"/>
                                                                              </w:divBdr>
                                                                              <w:divsChild>
                                                                                <w:div w:id="1840925068">
                                                                                  <w:marLeft w:val="0"/>
                                                                                  <w:marRight w:val="0"/>
                                                                                  <w:marTop w:val="0"/>
                                                                                  <w:marBottom w:val="0"/>
                                                                                  <w:divBdr>
                                                                                    <w:top w:val="none" w:sz="0" w:space="0" w:color="auto"/>
                                                                                    <w:left w:val="none" w:sz="0" w:space="0" w:color="auto"/>
                                                                                    <w:bottom w:val="none" w:sz="0" w:space="0" w:color="auto"/>
                                                                                    <w:right w:val="none" w:sz="0" w:space="0" w:color="auto"/>
                                                                                  </w:divBdr>
                                                                                  <w:divsChild>
                                                                                    <w:div w:id="1156804164">
                                                                                      <w:marLeft w:val="0"/>
                                                                                      <w:marRight w:val="0"/>
                                                                                      <w:marTop w:val="0"/>
                                                                                      <w:marBottom w:val="0"/>
                                                                                      <w:divBdr>
                                                                                        <w:top w:val="none" w:sz="0" w:space="0" w:color="auto"/>
                                                                                        <w:left w:val="none" w:sz="0" w:space="0" w:color="auto"/>
                                                                                        <w:bottom w:val="none" w:sz="0" w:space="0" w:color="auto"/>
                                                                                        <w:right w:val="none" w:sz="0" w:space="0" w:color="auto"/>
                                                                                      </w:divBdr>
                                                                                      <w:divsChild>
                                                                                        <w:div w:id="2118912644">
                                                                                          <w:marLeft w:val="0"/>
                                                                                          <w:marRight w:val="0"/>
                                                                                          <w:marTop w:val="0"/>
                                                                                          <w:marBottom w:val="0"/>
                                                                                          <w:divBdr>
                                                                                            <w:top w:val="none" w:sz="0" w:space="0" w:color="auto"/>
                                                                                            <w:left w:val="none" w:sz="0" w:space="0" w:color="auto"/>
                                                                                            <w:bottom w:val="none" w:sz="0" w:space="0" w:color="auto"/>
                                                                                            <w:right w:val="none" w:sz="0" w:space="0" w:color="auto"/>
                                                                                          </w:divBdr>
                                                                                          <w:divsChild>
                                                                                            <w:div w:id="2141148713">
                                                                                              <w:marLeft w:val="0"/>
                                                                                              <w:marRight w:val="0"/>
                                                                                              <w:marTop w:val="0"/>
                                                                                              <w:marBottom w:val="0"/>
                                                                                              <w:divBdr>
                                                                                                <w:top w:val="none" w:sz="0" w:space="0" w:color="auto"/>
                                                                                                <w:left w:val="none" w:sz="0" w:space="0" w:color="auto"/>
                                                                                                <w:bottom w:val="none" w:sz="0" w:space="0" w:color="auto"/>
                                                                                                <w:right w:val="none" w:sz="0" w:space="0" w:color="auto"/>
                                                                                              </w:divBdr>
                                                                                              <w:divsChild>
                                                                                                <w:div w:id="2047832484">
                                                                                                  <w:marLeft w:val="0"/>
                                                                                                  <w:marRight w:val="0"/>
                                                                                                  <w:marTop w:val="0"/>
                                                                                                  <w:marBottom w:val="0"/>
                                                                                                  <w:divBdr>
                                                                                                    <w:top w:val="none" w:sz="0" w:space="0" w:color="auto"/>
                                                                                                    <w:left w:val="none" w:sz="0" w:space="0" w:color="auto"/>
                                                                                                    <w:bottom w:val="none" w:sz="0" w:space="0" w:color="auto"/>
                                                                                                    <w:right w:val="none" w:sz="0" w:space="0" w:color="auto"/>
                                                                                                  </w:divBdr>
                                                                                                  <w:divsChild>
                                                                                                    <w:div w:id="115099213">
                                                                                                      <w:marLeft w:val="0"/>
                                                                                                      <w:marRight w:val="0"/>
                                                                                                      <w:marTop w:val="0"/>
                                                                                                      <w:marBottom w:val="0"/>
                                                                                                      <w:divBdr>
                                                                                                        <w:top w:val="none" w:sz="0" w:space="0" w:color="auto"/>
                                                                                                        <w:left w:val="none" w:sz="0" w:space="0" w:color="auto"/>
                                                                                                        <w:bottom w:val="none" w:sz="0" w:space="0" w:color="auto"/>
                                                                                                        <w:right w:val="none" w:sz="0" w:space="0" w:color="auto"/>
                                                                                                      </w:divBdr>
                                                                                                      <w:divsChild>
                                                                                                        <w:div w:id="578172347">
                                                                                                          <w:marLeft w:val="0"/>
                                                                                                          <w:marRight w:val="0"/>
                                                                                                          <w:marTop w:val="0"/>
                                                                                                          <w:marBottom w:val="0"/>
                                                                                                          <w:divBdr>
                                                                                                            <w:top w:val="none" w:sz="0" w:space="0" w:color="auto"/>
                                                                                                            <w:left w:val="none" w:sz="0" w:space="0" w:color="auto"/>
                                                                                                            <w:bottom w:val="none" w:sz="0" w:space="0" w:color="auto"/>
                                                                                                            <w:right w:val="none" w:sz="0" w:space="0" w:color="auto"/>
                                                                                                          </w:divBdr>
                                                                                                          <w:divsChild>
                                                                                                            <w:div w:id="42217247">
                                                                                                              <w:marLeft w:val="0"/>
                                                                                                              <w:marRight w:val="0"/>
                                                                                                              <w:marTop w:val="0"/>
                                                                                                              <w:marBottom w:val="0"/>
                                                                                                              <w:divBdr>
                                                                                                                <w:top w:val="none" w:sz="0" w:space="0" w:color="auto"/>
                                                                                                                <w:left w:val="none" w:sz="0" w:space="0" w:color="auto"/>
                                                                                                                <w:bottom w:val="none" w:sz="0" w:space="0" w:color="auto"/>
                                                                                                                <w:right w:val="none" w:sz="0" w:space="0" w:color="auto"/>
                                                                                                              </w:divBdr>
                                                                                                              <w:divsChild>
                                                                                                                <w:div w:id="887104963">
                                                                                                                  <w:marLeft w:val="0"/>
                                                                                                                  <w:marRight w:val="0"/>
                                                                                                                  <w:marTop w:val="0"/>
                                                                                                                  <w:marBottom w:val="0"/>
                                                                                                                  <w:divBdr>
                                                                                                                    <w:top w:val="none" w:sz="0" w:space="0" w:color="auto"/>
                                                                                                                    <w:left w:val="none" w:sz="0" w:space="0" w:color="auto"/>
                                                                                                                    <w:bottom w:val="none" w:sz="0" w:space="0" w:color="auto"/>
                                                                                                                    <w:right w:val="none" w:sz="0" w:space="0" w:color="auto"/>
                                                                                                                  </w:divBdr>
                                                                                                                  <w:divsChild>
                                                                                                                    <w:div w:id="21324737">
                                                                                                                      <w:marLeft w:val="0"/>
                                                                                                                      <w:marRight w:val="0"/>
                                                                                                                      <w:marTop w:val="0"/>
                                                                                                                      <w:marBottom w:val="0"/>
                                                                                                                      <w:divBdr>
                                                                                                                        <w:top w:val="none" w:sz="0" w:space="0" w:color="auto"/>
                                                                                                                        <w:left w:val="none" w:sz="0" w:space="0" w:color="auto"/>
                                                                                                                        <w:bottom w:val="none" w:sz="0" w:space="0" w:color="auto"/>
                                                                                                                        <w:right w:val="none" w:sz="0" w:space="0" w:color="auto"/>
                                                                                                                      </w:divBdr>
                                                                                                                      <w:divsChild>
                                                                                                                        <w:div w:id="133144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emf"/><Relationship Id="rId21" Type="http://schemas.openxmlformats.org/officeDocument/2006/relationships/image" Target="media/image8.emf"/><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header" Target="header4.xml"/><Relationship Id="rId29" Type="http://schemas.openxmlformats.org/officeDocument/2006/relationships/fontTable" Target="fontTable.xml"/><Relationship Id="rId33" Type="http://schemas.microsoft.com/office/2011/relationships/commentsExtended" Target="commentsExtended.xml"/><Relationship Id="rId30" Type="http://schemas.openxmlformats.org/officeDocument/2006/relationships/theme" Target="theme/theme1.xml"/><Relationship Id="rId32" Type="http://schemas.microsoft.com/office/2011/relationships/people" Target="peop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image" Target="media/image1.jpg"/><Relationship Id="rId15" Type="http://schemas.openxmlformats.org/officeDocument/2006/relationships/image" Target="media/image2.jpg"/><Relationship Id="rId16" Type="http://schemas.openxmlformats.org/officeDocument/2006/relationships/image" Target="media/image3.jpg"/><Relationship Id="rId17" Type="http://schemas.openxmlformats.org/officeDocument/2006/relationships/image" Target="media/image4.jpg"/><Relationship Id="rId18" Type="http://schemas.openxmlformats.org/officeDocument/2006/relationships/image" Target="media/image5.emf"/><Relationship Id="rId1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7F3DB-CC61-2144-802F-FD0B4F5B0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152003</Words>
  <Characters>866419</Characters>
  <Application>Microsoft Macintosh Word</Application>
  <DocSecurity>0</DocSecurity>
  <Lines>7220</Lines>
  <Paragraphs>2032</Paragraphs>
  <ScaleCrop>false</ScaleCrop>
  <HeadingPairs>
    <vt:vector size="2" baseType="variant">
      <vt:variant>
        <vt:lpstr>Title</vt:lpstr>
      </vt:variant>
      <vt:variant>
        <vt:i4>1</vt:i4>
      </vt:variant>
    </vt:vector>
  </HeadingPairs>
  <TitlesOfParts>
    <vt:vector size="1" baseType="lpstr">
      <vt:lpstr/>
    </vt:vector>
  </TitlesOfParts>
  <Company>McMaster University</Company>
  <LinksUpToDate>false</LinksUpToDate>
  <CharactersWithSpaces>1016390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von Allmen</dc:creator>
  <cp:keywords/>
  <dc:description/>
  <cp:lastModifiedBy>Mark von Allmen</cp:lastModifiedBy>
  <cp:revision>2</cp:revision>
  <cp:lastPrinted>2015-06-26T15:38:00Z</cp:lastPrinted>
  <dcterms:created xsi:type="dcterms:W3CDTF">2015-07-16T02:41:00Z</dcterms:created>
  <dcterms:modified xsi:type="dcterms:W3CDTF">2015-07-16T02:41:00Z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vonallm@mcmaster.ca@www.mendeley.com</vt:lpwstr>
  </property>
  <property fmtid="{D5CDD505-2E9C-101B-9397-08002B2CF9AE}" pid="4" name="Mendeley Citation Style_1">
    <vt:lpwstr>http://www.zotero.org/styles/nature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http://www.zotero.org/styles/cell</vt:lpwstr>
  </property>
  <property fmtid="{D5CDD505-2E9C-101B-9397-08002B2CF9AE}" pid="8" name="Mendeley Recent Style Name 1_1">
    <vt:lpwstr>Cell</vt:lpwstr>
  </property>
  <property fmtid="{D5CDD505-2E9C-101B-9397-08002B2CF9AE}" pid="9" name="Mendeley Recent Style Id 2_1">
    <vt:lpwstr>http://www.zotero.org/styles/frontiers-in-endocrinology</vt:lpwstr>
  </property>
  <property fmtid="{D5CDD505-2E9C-101B-9397-08002B2CF9AE}" pid="10" name="Mendeley Recent Style Name 2_1">
    <vt:lpwstr>Frontiers in Endocrinology</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http://www.zotero.org/styles/journal-of-applied-physiology</vt:lpwstr>
  </property>
  <property fmtid="{D5CDD505-2E9C-101B-9397-08002B2CF9AE}" pid="16" name="Mendeley Recent Style Name 5_1">
    <vt:lpwstr>Journal of Applied Physiology</vt:lpwstr>
  </property>
  <property fmtid="{D5CDD505-2E9C-101B-9397-08002B2CF9AE}" pid="17" name="Mendeley Recent Style Id 6_1">
    <vt:lpwstr>http://www.zotero.org/styles/metabolism</vt:lpwstr>
  </property>
  <property fmtid="{D5CDD505-2E9C-101B-9397-08002B2CF9AE}" pid="18" name="Mendeley Recent Style Name 6_1">
    <vt:lpwstr>Metabolism</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http://www.zotero.org/styles/the-new-england-journal-of-medicine</vt:lpwstr>
  </property>
  <property fmtid="{D5CDD505-2E9C-101B-9397-08002B2CF9AE}" pid="24" name="Mendeley Recent Style Name 9_1">
    <vt:lpwstr>The New England Journal of Medicine</vt:lpwstr>
  </property>
</Properties>
</file>