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3C323" w14:textId="77777777" w:rsidR="002C221C" w:rsidRPr="00CC7E17" w:rsidRDefault="002C221C" w:rsidP="0009624B">
      <w:pPr>
        <w:pStyle w:val="Default"/>
        <w:spacing w:after="240" w:line="360" w:lineRule="auto"/>
        <w:rPr>
          <w:rFonts w:ascii="Arial" w:hAnsi="Arial" w:cs="Arial"/>
          <w:sz w:val="24"/>
          <w:szCs w:val="24"/>
        </w:rPr>
      </w:pPr>
    </w:p>
    <w:p w14:paraId="35B2141F" w14:textId="77777777" w:rsidR="002C221C" w:rsidRPr="00CC7E17" w:rsidRDefault="002C221C" w:rsidP="0009624B">
      <w:pPr>
        <w:pStyle w:val="Default"/>
        <w:spacing w:after="240" w:line="360" w:lineRule="auto"/>
        <w:rPr>
          <w:rFonts w:ascii="Arial" w:hAnsi="Arial" w:cs="Arial"/>
          <w:sz w:val="24"/>
          <w:szCs w:val="24"/>
        </w:rPr>
      </w:pPr>
    </w:p>
    <w:p w14:paraId="0BBAAD3A" w14:textId="77777777" w:rsidR="002C221C" w:rsidRPr="00CC7E17" w:rsidRDefault="002C221C" w:rsidP="0009624B">
      <w:pPr>
        <w:pStyle w:val="Default"/>
        <w:spacing w:after="240" w:line="360" w:lineRule="auto"/>
        <w:rPr>
          <w:rFonts w:ascii="Arial" w:hAnsi="Arial" w:cs="Arial"/>
          <w:sz w:val="24"/>
          <w:szCs w:val="24"/>
        </w:rPr>
      </w:pPr>
    </w:p>
    <w:p w14:paraId="139433E2" w14:textId="77777777" w:rsidR="002C221C" w:rsidRPr="00CC7E17" w:rsidRDefault="002C221C" w:rsidP="0009624B">
      <w:pPr>
        <w:pStyle w:val="Default"/>
        <w:spacing w:after="240" w:line="360" w:lineRule="auto"/>
        <w:rPr>
          <w:rFonts w:ascii="Arial" w:hAnsi="Arial" w:cs="Arial"/>
          <w:sz w:val="24"/>
          <w:szCs w:val="24"/>
        </w:rPr>
      </w:pPr>
    </w:p>
    <w:p w14:paraId="37972637" w14:textId="77777777" w:rsidR="002C221C" w:rsidRPr="00CC7E17" w:rsidRDefault="002C221C" w:rsidP="0009624B">
      <w:pPr>
        <w:pStyle w:val="Default"/>
        <w:spacing w:after="240" w:line="360" w:lineRule="auto"/>
        <w:rPr>
          <w:rFonts w:ascii="Arial" w:hAnsi="Arial" w:cs="Arial"/>
          <w:sz w:val="24"/>
          <w:szCs w:val="24"/>
        </w:rPr>
      </w:pPr>
    </w:p>
    <w:p w14:paraId="3CA1DFE7" w14:textId="77777777" w:rsidR="002C221C" w:rsidRPr="00CC7E17" w:rsidRDefault="002C221C" w:rsidP="0009624B">
      <w:pPr>
        <w:pStyle w:val="Default"/>
        <w:spacing w:after="240" w:line="360" w:lineRule="auto"/>
        <w:rPr>
          <w:rFonts w:ascii="Arial" w:hAnsi="Arial" w:cs="Arial"/>
          <w:sz w:val="24"/>
          <w:szCs w:val="24"/>
        </w:rPr>
      </w:pPr>
    </w:p>
    <w:p w14:paraId="2917652E" w14:textId="77777777" w:rsidR="002C221C" w:rsidRPr="00CC7E17" w:rsidRDefault="002C221C" w:rsidP="0009624B">
      <w:pPr>
        <w:pStyle w:val="Default"/>
        <w:spacing w:after="240" w:line="360" w:lineRule="auto"/>
        <w:rPr>
          <w:rFonts w:ascii="Arial" w:hAnsi="Arial" w:cs="Arial"/>
          <w:sz w:val="24"/>
          <w:szCs w:val="24"/>
        </w:rPr>
      </w:pPr>
    </w:p>
    <w:p w14:paraId="01915B66" w14:textId="77777777" w:rsidR="002C221C" w:rsidRPr="00CC7E17" w:rsidRDefault="002C221C" w:rsidP="0009624B">
      <w:pPr>
        <w:pStyle w:val="Default"/>
        <w:spacing w:after="240" w:line="360" w:lineRule="auto"/>
        <w:rPr>
          <w:rFonts w:ascii="Arial" w:hAnsi="Arial" w:cs="Arial"/>
          <w:sz w:val="24"/>
          <w:szCs w:val="24"/>
        </w:rPr>
      </w:pPr>
    </w:p>
    <w:p w14:paraId="77E13AE5" w14:textId="31668080" w:rsidR="0051366B" w:rsidRPr="00CC7E17" w:rsidRDefault="002C221C" w:rsidP="0009624B">
      <w:pPr>
        <w:pStyle w:val="Default"/>
        <w:spacing w:after="240" w:line="360" w:lineRule="auto"/>
        <w:jc w:val="center"/>
        <w:rPr>
          <w:rFonts w:ascii="Arial" w:eastAsia="Arial" w:hAnsi="Arial" w:cs="Arial"/>
          <w:sz w:val="24"/>
          <w:szCs w:val="24"/>
        </w:rPr>
        <w:sectPr w:rsidR="0051366B" w:rsidRPr="00CC7E17">
          <w:footerReference w:type="even" r:id="rId9"/>
          <w:footerReference w:type="first" r:id="rId10"/>
          <w:pgSz w:w="12240" w:h="15840"/>
          <w:pgMar w:top="2154" w:right="1417" w:bottom="1417" w:left="2154" w:header="720" w:footer="864" w:gutter="0"/>
          <w:cols w:space="720"/>
        </w:sectPr>
      </w:pPr>
      <w:r w:rsidRPr="00CC7E17">
        <w:rPr>
          <w:rFonts w:ascii="Arial" w:hAnsi="Arial" w:cs="Arial"/>
          <w:sz w:val="24"/>
          <w:szCs w:val="24"/>
          <w:lang w:val="en-US"/>
        </w:rPr>
        <w:t xml:space="preserve">IMPLEMENTING </w:t>
      </w:r>
      <w:r w:rsidR="00EE02D4">
        <w:rPr>
          <w:rFonts w:ascii="Arial" w:hAnsi="Arial" w:cs="Arial"/>
          <w:sz w:val="24"/>
          <w:szCs w:val="24"/>
          <w:lang w:val="en-US"/>
        </w:rPr>
        <w:t>EFORM-BASED</w:t>
      </w:r>
      <w:r w:rsidRPr="00CC7E17">
        <w:rPr>
          <w:rFonts w:ascii="Arial" w:hAnsi="Arial" w:cs="Arial"/>
          <w:sz w:val="24"/>
          <w:szCs w:val="24"/>
          <w:lang w:val="en-US"/>
        </w:rPr>
        <w:t xml:space="preserve"> BASELINE RISK DATA EXTRACTION FROM HIGH QUALITY PAPERS FOR THE </w:t>
      </w:r>
      <w:r w:rsidR="00AA5748" w:rsidRPr="00CC7E17">
        <w:rPr>
          <w:rFonts w:ascii="Arial" w:hAnsi="Arial" w:cs="Arial"/>
          <w:sz w:val="24"/>
          <w:szCs w:val="24"/>
          <w:lang w:val="en-US"/>
        </w:rPr>
        <w:t>BRISKET</w:t>
      </w:r>
      <w:r w:rsidRPr="00CC7E17">
        <w:rPr>
          <w:rFonts w:ascii="Arial" w:hAnsi="Arial" w:cs="Arial"/>
          <w:sz w:val="24"/>
          <w:szCs w:val="24"/>
          <w:lang w:val="en-US"/>
        </w:rPr>
        <w:t xml:space="preserve"> DATABASE AND TOOL</w:t>
      </w:r>
      <w:r w:rsidRPr="00CC7E17">
        <w:rPr>
          <w:rFonts w:ascii="Arial" w:eastAsia="Arial" w:hAnsi="Arial" w:cs="Arial"/>
          <w:sz w:val="24"/>
          <w:szCs w:val="24"/>
        </w:rPr>
        <w:br/>
      </w:r>
    </w:p>
    <w:p w14:paraId="7BAF103A" w14:textId="77777777" w:rsidR="005856AA" w:rsidRPr="00CC7E17" w:rsidRDefault="005856AA" w:rsidP="0009624B">
      <w:pPr>
        <w:pStyle w:val="Default"/>
        <w:spacing w:after="240" w:line="360" w:lineRule="auto"/>
        <w:jc w:val="center"/>
        <w:rPr>
          <w:rFonts w:ascii="Arial" w:hAnsi="Arial" w:cs="Arial"/>
          <w:sz w:val="24"/>
          <w:szCs w:val="24"/>
          <w:lang w:val="en-US"/>
        </w:rPr>
      </w:pPr>
    </w:p>
    <w:p w14:paraId="060E713E" w14:textId="77777777" w:rsidR="005856AA" w:rsidRPr="00CC7E17" w:rsidRDefault="005856AA" w:rsidP="0009624B">
      <w:pPr>
        <w:pStyle w:val="Default"/>
        <w:spacing w:after="240" w:line="360" w:lineRule="auto"/>
        <w:jc w:val="center"/>
        <w:rPr>
          <w:rFonts w:ascii="Arial" w:hAnsi="Arial" w:cs="Arial"/>
          <w:sz w:val="24"/>
          <w:szCs w:val="24"/>
          <w:lang w:val="en-US"/>
        </w:rPr>
      </w:pPr>
    </w:p>
    <w:p w14:paraId="731B07D9" w14:textId="77777777" w:rsidR="005856AA" w:rsidRPr="00CC7E17" w:rsidRDefault="005856AA" w:rsidP="0009624B">
      <w:pPr>
        <w:pStyle w:val="Default"/>
        <w:spacing w:after="240" w:line="360" w:lineRule="auto"/>
        <w:jc w:val="center"/>
        <w:rPr>
          <w:rFonts w:ascii="Arial" w:hAnsi="Arial" w:cs="Arial"/>
          <w:sz w:val="24"/>
          <w:szCs w:val="24"/>
          <w:lang w:val="en-US"/>
        </w:rPr>
      </w:pPr>
    </w:p>
    <w:p w14:paraId="6F09161A" w14:textId="77777777" w:rsidR="005856AA" w:rsidRPr="00CC7E17" w:rsidRDefault="005856AA" w:rsidP="0009624B">
      <w:pPr>
        <w:pStyle w:val="Default"/>
        <w:spacing w:after="240" w:line="360" w:lineRule="auto"/>
        <w:jc w:val="center"/>
        <w:rPr>
          <w:rFonts w:ascii="Arial" w:hAnsi="Arial" w:cs="Arial"/>
          <w:sz w:val="24"/>
          <w:szCs w:val="24"/>
          <w:lang w:val="en-US"/>
        </w:rPr>
      </w:pPr>
    </w:p>
    <w:p w14:paraId="4AA1D077" w14:textId="77777777" w:rsidR="005856AA" w:rsidRPr="00CC7E17" w:rsidRDefault="005856AA" w:rsidP="0009624B">
      <w:pPr>
        <w:pStyle w:val="Default"/>
        <w:spacing w:after="240" w:line="360" w:lineRule="auto"/>
        <w:jc w:val="center"/>
        <w:rPr>
          <w:rFonts w:ascii="Arial" w:hAnsi="Arial" w:cs="Arial"/>
          <w:sz w:val="24"/>
          <w:szCs w:val="24"/>
          <w:lang w:val="en-US"/>
        </w:rPr>
      </w:pPr>
    </w:p>
    <w:p w14:paraId="3CC74A29" w14:textId="77777777" w:rsidR="005856AA" w:rsidRPr="00CC7E17" w:rsidRDefault="005856AA" w:rsidP="0009624B">
      <w:pPr>
        <w:pStyle w:val="Default"/>
        <w:spacing w:after="240" w:line="360" w:lineRule="auto"/>
        <w:jc w:val="center"/>
        <w:rPr>
          <w:rFonts w:ascii="Arial" w:hAnsi="Arial" w:cs="Arial"/>
          <w:sz w:val="24"/>
          <w:szCs w:val="24"/>
          <w:lang w:val="en-US"/>
        </w:rPr>
      </w:pPr>
    </w:p>
    <w:p w14:paraId="079D8046" w14:textId="11DAAD9C" w:rsidR="002C221C" w:rsidRPr="00CC7E17" w:rsidRDefault="002C221C" w:rsidP="0009624B">
      <w:pPr>
        <w:pStyle w:val="Default"/>
        <w:spacing w:after="240" w:line="360" w:lineRule="auto"/>
        <w:jc w:val="center"/>
        <w:rPr>
          <w:rFonts w:ascii="Arial" w:eastAsia="Arial" w:hAnsi="Arial" w:cs="Arial"/>
          <w:sz w:val="24"/>
          <w:szCs w:val="24"/>
        </w:rPr>
      </w:pPr>
      <w:r w:rsidRPr="00CC7E17">
        <w:rPr>
          <w:rFonts w:ascii="Arial" w:hAnsi="Arial" w:cs="Arial"/>
          <w:sz w:val="24"/>
          <w:szCs w:val="24"/>
          <w:lang w:val="en-US"/>
        </w:rPr>
        <w:t xml:space="preserve">IMPLEMENTING </w:t>
      </w:r>
      <w:r w:rsidR="004959B9">
        <w:rPr>
          <w:rFonts w:ascii="Arial" w:hAnsi="Arial" w:cs="Arial"/>
          <w:sz w:val="24"/>
          <w:szCs w:val="24"/>
          <w:lang w:val="en-US"/>
        </w:rPr>
        <w:t>EFORM-BASED</w:t>
      </w:r>
      <w:r w:rsidRPr="00CC7E17">
        <w:rPr>
          <w:rFonts w:ascii="Arial" w:hAnsi="Arial" w:cs="Arial"/>
          <w:sz w:val="24"/>
          <w:szCs w:val="24"/>
          <w:lang w:val="en-US"/>
        </w:rPr>
        <w:t xml:space="preserve"> BASELINE RISK DATA EXTRACTION FROM HIGH QUALITY PAPERS FOR THE </w:t>
      </w:r>
      <w:r w:rsidR="00AA5748" w:rsidRPr="00CC7E17">
        <w:rPr>
          <w:rFonts w:ascii="Arial" w:hAnsi="Arial" w:cs="Arial"/>
          <w:sz w:val="24"/>
          <w:szCs w:val="24"/>
          <w:lang w:val="en-US"/>
        </w:rPr>
        <w:t>BRISKET</w:t>
      </w:r>
      <w:r w:rsidRPr="00CC7E17">
        <w:rPr>
          <w:rFonts w:ascii="Arial" w:hAnsi="Arial" w:cs="Arial"/>
          <w:sz w:val="24"/>
          <w:szCs w:val="24"/>
          <w:lang w:val="en-US"/>
        </w:rPr>
        <w:t xml:space="preserve"> DATABASE AND TOOL</w:t>
      </w:r>
    </w:p>
    <w:p w14:paraId="404EB540" w14:textId="352E8142" w:rsidR="002C221C" w:rsidRPr="00CC7E17" w:rsidRDefault="002C221C" w:rsidP="0009624B">
      <w:pPr>
        <w:pStyle w:val="Default"/>
        <w:spacing w:after="240" w:line="360" w:lineRule="auto"/>
        <w:jc w:val="center"/>
        <w:rPr>
          <w:rFonts w:ascii="Arial" w:eastAsia="Arial" w:hAnsi="Arial" w:cs="Arial"/>
          <w:sz w:val="24"/>
          <w:szCs w:val="24"/>
        </w:rPr>
      </w:pPr>
      <w:r w:rsidRPr="00CC7E17">
        <w:rPr>
          <w:rFonts w:ascii="Arial" w:hAnsi="Arial" w:cs="Arial"/>
          <w:sz w:val="24"/>
          <w:szCs w:val="24"/>
        </w:rPr>
        <w:t xml:space="preserve">By </w:t>
      </w:r>
      <w:r w:rsidRPr="00CC7E17">
        <w:rPr>
          <w:rFonts w:ascii="Arial" w:hAnsi="Arial" w:cs="Arial"/>
          <w:sz w:val="24"/>
          <w:szCs w:val="24"/>
          <w:lang w:val="en-US"/>
        </w:rPr>
        <w:t>ANAND JACOB</w:t>
      </w:r>
      <w:r w:rsidRPr="00CC7E17">
        <w:rPr>
          <w:rFonts w:ascii="Arial" w:hAnsi="Arial" w:cs="Arial"/>
          <w:sz w:val="24"/>
          <w:szCs w:val="24"/>
        </w:rPr>
        <w:t>, B.</w:t>
      </w:r>
      <w:r w:rsidRPr="00CC7E17">
        <w:rPr>
          <w:rFonts w:ascii="Arial" w:hAnsi="Arial" w:cs="Arial"/>
          <w:sz w:val="24"/>
          <w:szCs w:val="24"/>
          <w:lang w:val="en-US"/>
        </w:rPr>
        <w:t>S</w:t>
      </w:r>
      <w:r w:rsidR="003F4F87" w:rsidRPr="00CC7E17">
        <w:rPr>
          <w:rFonts w:ascii="Arial" w:hAnsi="Arial" w:cs="Arial"/>
          <w:sz w:val="24"/>
          <w:szCs w:val="24"/>
          <w:lang w:val="en-US"/>
        </w:rPr>
        <w:t>c</w:t>
      </w:r>
      <w:r w:rsidRPr="00CC7E17">
        <w:rPr>
          <w:rFonts w:ascii="Arial" w:hAnsi="Arial" w:cs="Arial"/>
          <w:sz w:val="24"/>
          <w:szCs w:val="24"/>
        </w:rPr>
        <w:t>.</w:t>
      </w:r>
    </w:p>
    <w:p w14:paraId="268C3E74" w14:textId="77777777" w:rsidR="002C221C" w:rsidRPr="00CC7E17" w:rsidRDefault="002C221C" w:rsidP="0009624B">
      <w:pPr>
        <w:pStyle w:val="Default"/>
        <w:spacing w:after="240" w:line="360" w:lineRule="auto"/>
        <w:jc w:val="center"/>
        <w:rPr>
          <w:rFonts w:ascii="Arial" w:eastAsia="Arial" w:hAnsi="Arial" w:cs="Arial"/>
          <w:i/>
          <w:iCs/>
          <w:sz w:val="24"/>
          <w:szCs w:val="24"/>
        </w:rPr>
      </w:pPr>
      <w:r w:rsidRPr="00CC7E17">
        <w:rPr>
          <w:rFonts w:ascii="Arial" w:hAnsi="Arial" w:cs="Arial"/>
          <w:i/>
          <w:iCs/>
          <w:sz w:val="24"/>
          <w:szCs w:val="24"/>
          <w:lang w:val="en-US"/>
        </w:rPr>
        <w:t>A Thesis Submitted to the School of Graduate Studies in Partial Fulfillment of the Requirements for the Degree Master in eHealth</w:t>
      </w:r>
    </w:p>
    <w:p w14:paraId="6D44B8B0" w14:textId="182BB7B1" w:rsidR="002C221C" w:rsidRPr="00CC7E17" w:rsidRDefault="002C221C" w:rsidP="0009624B">
      <w:pPr>
        <w:pStyle w:val="Default"/>
        <w:spacing w:after="240" w:line="360" w:lineRule="auto"/>
        <w:jc w:val="center"/>
        <w:rPr>
          <w:rFonts w:ascii="Arial" w:eastAsia="Arial" w:hAnsi="Arial" w:cs="Arial"/>
          <w:sz w:val="24"/>
          <w:szCs w:val="24"/>
        </w:rPr>
      </w:pPr>
      <w:r w:rsidRPr="00CC7E17">
        <w:rPr>
          <w:rFonts w:ascii="Arial" w:hAnsi="Arial" w:cs="Arial"/>
          <w:sz w:val="24"/>
          <w:szCs w:val="24"/>
          <w:lang w:val="de-DE"/>
        </w:rPr>
        <w:t xml:space="preserve">McMaster University </w:t>
      </w:r>
      <w:r w:rsidRPr="00CC7E17">
        <w:rPr>
          <w:rFonts w:ascii="Arial" w:hAnsi="Arial" w:cs="Arial"/>
          <w:sz w:val="24"/>
          <w:szCs w:val="24"/>
        </w:rPr>
        <w:t xml:space="preserve">© </w:t>
      </w:r>
      <w:r w:rsidRPr="00CC7E17">
        <w:rPr>
          <w:rFonts w:ascii="Arial" w:hAnsi="Arial" w:cs="Arial"/>
          <w:sz w:val="24"/>
          <w:szCs w:val="24"/>
          <w:lang w:val="en-US"/>
        </w:rPr>
        <w:t>Copyright by Anand Jacob, 201</w:t>
      </w:r>
      <w:r w:rsidR="00CC7E17" w:rsidRPr="00CC7E17">
        <w:rPr>
          <w:rFonts w:ascii="Arial" w:hAnsi="Arial" w:cs="Arial"/>
          <w:sz w:val="24"/>
          <w:szCs w:val="24"/>
          <w:lang w:val="en-US"/>
        </w:rPr>
        <w:t>5</w:t>
      </w:r>
    </w:p>
    <w:p w14:paraId="006E1BE5"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1B30DFA9"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3D01041A"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6B073724"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0EDB5292"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0EFB737F"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5F8A9B6A"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637907E6"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3530ECF4"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359F5256" w14:textId="77777777" w:rsidR="005856AA" w:rsidRPr="00CC7E17" w:rsidRDefault="005856AA" w:rsidP="0009624B">
      <w:pPr>
        <w:pStyle w:val="Default"/>
        <w:spacing w:after="240" w:line="360" w:lineRule="auto"/>
        <w:jc w:val="center"/>
        <w:rPr>
          <w:rFonts w:ascii="Arial" w:eastAsia="Arial" w:hAnsi="Arial" w:cs="Arial"/>
          <w:sz w:val="24"/>
          <w:szCs w:val="24"/>
        </w:rPr>
      </w:pPr>
    </w:p>
    <w:p w14:paraId="3C268236" w14:textId="77777777" w:rsidR="005856AA" w:rsidRPr="00CC7E17" w:rsidRDefault="005856AA" w:rsidP="0009624B">
      <w:pPr>
        <w:pStyle w:val="Default"/>
        <w:spacing w:after="240" w:line="360" w:lineRule="auto"/>
        <w:jc w:val="center"/>
        <w:rPr>
          <w:rFonts w:ascii="Arial" w:eastAsia="Arial" w:hAnsi="Arial" w:cs="Arial"/>
          <w:sz w:val="24"/>
          <w:szCs w:val="24"/>
        </w:rPr>
      </w:pPr>
    </w:p>
    <w:p w14:paraId="2C5E3858" w14:textId="77777777" w:rsidR="005856AA" w:rsidRPr="00CC7E17" w:rsidRDefault="005856AA" w:rsidP="0009624B">
      <w:pPr>
        <w:pStyle w:val="Default"/>
        <w:spacing w:after="240" w:line="360" w:lineRule="auto"/>
        <w:jc w:val="center"/>
        <w:rPr>
          <w:rFonts w:ascii="Arial" w:eastAsia="Arial" w:hAnsi="Arial" w:cs="Arial"/>
          <w:sz w:val="24"/>
          <w:szCs w:val="24"/>
        </w:rPr>
      </w:pPr>
    </w:p>
    <w:p w14:paraId="4870AE62" w14:textId="77777777" w:rsidR="002C221C" w:rsidRPr="00CC7E17" w:rsidRDefault="002C221C" w:rsidP="0009624B">
      <w:pPr>
        <w:pStyle w:val="Default"/>
        <w:spacing w:after="240" w:line="360" w:lineRule="auto"/>
        <w:jc w:val="center"/>
        <w:rPr>
          <w:rFonts w:ascii="Arial" w:eastAsia="Arial" w:hAnsi="Arial" w:cs="Arial"/>
          <w:sz w:val="24"/>
          <w:szCs w:val="24"/>
        </w:rPr>
      </w:pPr>
    </w:p>
    <w:p w14:paraId="25DECCB4" w14:textId="6032C1AA" w:rsidR="002C221C" w:rsidRPr="00CC7E17" w:rsidRDefault="002C221C" w:rsidP="0009624B">
      <w:pPr>
        <w:pStyle w:val="Default"/>
        <w:spacing w:after="240" w:line="360" w:lineRule="auto"/>
        <w:rPr>
          <w:rFonts w:ascii="Arial" w:eastAsia="Arial" w:hAnsi="Arial" w:cs="Arial"/>
          <w:sz w:val="24"/>
          <w:szCs w:val="24"/>
        </w:rPr>
      </w:pPr>
      <w:r w:rsidRPr="00CC7E17">
        <w:rPr>
          <w:rFonts w:ascii="Arial" w:hAnsi="Arial" w:cs="Arial"/>
          <w:sz w:val="24"/>
          <w:szCs w:val="24"/>
          <w:lang w:val="de-DE"/>
        </w:rPr>
        <w:t xml:space="preserve">McMaster University MASTER OF </w:t>
      </w:r>
      <w:r w:rsidRPr="00CC7E17">
        <w:rPr>
          <w:rFonts w:ascii="Arial" w:hAnsi="Arial" w:cs="Arial"/>
          <w:sz w:val="24"/>
          <w:szCs w:val="24"/>
          <w:lang w:val="en-US"/>
        </w:rPr>
        <w:t>EHEALTH</w:t>
      </w:r>
      <w:r w:rsidRPr="00CC7E17">
        <w:rPr>
          <w:rFonts w:ascii="Arial" w:hAnsi="Arial" w:cs="Arial"/>
          <w:sz w:val="24"/>
          <w:szCs w:val="24"/>
        </w:rPr>
        <w:t xml:space="preserve"> (</w:t>
      </w:r>
      <w:r w:rsidRPr="00CC7E17">
        <w:rPr>
          <w:rFonts w:ascii="Arial" w:hAnsi="Arial" w:cs="Arial"/>
          <w:sz w:val="24"/>
          <w:szCs w:val="24"/>
          <w:lang w:val="en-US"/>
        </w:rPr>
        <w:t>201</w:t>
      </w:r>
      <w:r w:rsidR="00CC7E17" w:rsidRPr="00CC7E17">
        <w:rPr>
          <w:rFonts w:ascii="Arial" w:hAnsi="Arial" w:cs="Arial"/>
          <w:sz w:val="24"/>
          <w:szCs w:val="24"/>
          <w:lang w:val="en-US"/>
        </w:rPr>
        <w:t>5</w:t>
      </w:r>
      <w:r w:rsidRPr="00CC7E17">
        <w:rPr>
          <w:rFonts w:ascii="Arial" w:hAnsi="Arial" w:cs="Arial"/>
          <w:sz w:val="24"/>
          <w:szCs w:val="24"/>
          <w:lang w:val="es-ES_tradnl"/>
        </w:rPr>
        <w:t>) Hamilton, Ontario</w:t>
      </w:r>
      <w:r w:rsidRPr="00CC7E17">
        <w:rPr>
          <w:rFonts w:ascii="Arial" w:hAnsi="Arial" w:cs="Arial"/>
          <w:sz w:val="24"/>
          <w:szCs w:val="24"/>
          <w:lang w:val="en-US"/>
        </w:rPr>
        <w:t xml:space="preserve"> (Science</w:t>
      </w:r>
      <w:r w:rsidRPr="00CC7E17">
        <w:rPr>
          <w:rFonts w:ascii="Arial" w:hAnsi="Arial" w:cs="Arial"/>
          <w:sz w:val="24"/>
          <w:szCs w:val="24"/>
        </w:rPr>
        <w:t>)</w:t>
      </w:r>
    </w:p>
    <w:p w14:paraId="6F5FECD4" w14:textId="59F58EF8" w:rsidR="002C221C" w:rsidRPr="00CC7E17" w:rsidRDefault="002C221C" w:rsidP="0009624B">
      <w:pPr>
        <w:pStyle w:val="Default"/>
        <w:spacing w:after="240" w:line="360" w:lineRule="auto"/>
        <w:rPr>
          <w:rFonts w:ascii="Arial" w:eastAsia="Arial" w:hAnsi="Arial" w:cs="Arial"/>
          <w:sz w:val="24"/>
          <w:szCs w:val="24"/>
        </w:rPr>
      </w:pPr>
      <w:r w:rsidRPr="00CC7E17">
        <w:rPr>
          <w:rFonts w:ascii="Arial" w:hAnsi="Arial" w:cs="Arial"/>
          <w:sz w:val="24"/>
          <w:szCs w:val="24"/>
        </w:rPr>
        <w:t xml:space="preserve">TITLE: </w:t>
      </w:r>
      <w:r w:rsidRPr="00CC7E17">
        <w:rPr>
          <w:rFonts w:ascii="Arial" w:hAnsi="Arial" w:cs="Arial"/>
          <w:sz w:val="24"/>
          <w:szCs w:val="24"/>
          <w:lang w:val="en-US"/>
        </w:rPr>
        <w:t xml:space="preserve">IMPLEMENTING </w:t>
      </w:r>
      <w:r w:rsidR="004959B9">
        <w:rPr>
          <w:rFonts w:ascii="Arial" w:hAnsi="Arial" w:cs="Arial"/>
          <w:sz w:val="24"/>
          <w:szCs w:val="24"/>
          <w:lang w:val="en-US"/>
        </w:rPr>
        <w:t>EFORM-BASED</w:t>
      </w:r>
      <w:r w:rsidRPr="00CC7E17">
        <w:rPr>
          <w:rFonts w:ascii="Arial" w:hAnsi="Arial" w:cs="Arial"/>
          <w:sz w:val="24"/>
          <w:szCs w:val="24"/>
          <w:lang w:val="en-US"/>
        </w:rPr>
        <w:t xml:space="preserve"> BASELINE RISK DATA EXTRACTION FROM HIGH QUALITY PAPERS FOR THE </w:t>
      </w:r>
      <w:r w:rsidR="00AA5748" w:rsidRPr="00CC7E17">
        <w:rPr>
          <w:rFonts w:ascii="Arial" w:hAnsi="Arial" w:cs="Arial"/>
          <w:sz w:val="24"/>
          <w:szCs w:val="24"/>
          <w:lang w:val="en-US"/>
        </w:rPr>
        <w:t>BRISKET</w:t>
      </w:r>
      <w:r w:rsidRPr="00CC7E17">
        <w:rPr>
          <w:rFonts w:ascii="Arial" w:hAnsi="Arial" w:cs="Arial"/>
          <w:sz w:val="24"/>
          <w:szCs w:val="24"/>
          <w:lang w:val="en-US"/>
        </w:rPr>
        <w:t xml:space="preserve"> DATABASE AND TOOL</w:t>
      </w:r>
    </w:p>
    <w:p w14:paraId="4E0D803E" w14:textId="27E38D51" w:rsidR="002C221C" w:rsidRPr="00CC7E17" w:rsidRDefault="002C221C" w:rsidP="0009624B">
      <w:pPr>
        <w:pStyle w:val="Default"/>
        <w:spacing w:after="240" w:line="360" w:lineRule="auto"/>
        <w:rPr>
          <w:rFonts w:ascii="Arial" w:eastAsia="Arial" w:hAnsi="Arial" w:cs="Arial"/>
          <w:sz w:val="24"/>
          <w:szCs w:val="24"/>
        </w:rPr>
      </w:pPr>
      <w:r w:rsidRPr="00CC7E17">
        <w:rPr>
          <w:rFonts w:ascii="Arial" w:hAnsi="Arial" w:cs="Arial"/>
          <w:sz w:val="24"/>
          <w:szCs w:val="24"/>
        </w:rPr>
        <w:t xml:space="preserve">AUTHOR: </w:t>
      </w:r>
      <w:r w:rsidRPr="00CC7E17">
        <w:rPr>
          <w:rFonts w:ascii="Arial" w:hAnsi="Arial" w:cs="Arial"/>
          <w:sz w:val="24"/>
          <w:szCs w:val="24"/>
          <w:lang w:val="en-US"/>
        </w:rPr>
        <w:t>Anand Jacob</w:t>
      </w:r>
      <w:r w:rsidRPr="00CC7E17">
        <w:rPr>
          <w:rFonts w:ascii="Arial" w:hAnsi="Arial" w:cs="Arial"/>
          <w:sz w:val="24"/>
          <w:szCs w:val="24"/>
        </w:rPr>
        <w:t>, B.</w:t>
      </w:r>
      <w:r w:rsidRPr="00CC7E17">
        <w:rPr>
          <w:rFonts w:ascii="Arial" w:hAnsi="Arial" w:cs="Arial"/>
          <w:sz w:val="24"/>
          <w:szCs w:val="24"/>
          <w:lang w:val="en-US"/>
        </w:rPr>
        <w:t>Sc</w:t>
      </w:r>
      <w:r w:rsidRPr="00CC7E17">
        <w:rPr>
          <w:rFonts w:ascii="Arial" w:hAnsi="Arial" w:cs="Arial"/>
          <w:sz w:val="24"/>
          <w:szCs w:val="24"/>
          <w:lang w:val="de-DE"/>
        </w:rPr>
        <w:t xml:space="preserve">. (McMaster University) </w:t>
      </w:r>
      <w:r w:rsidRPr="00CC7E17">
        <w:rPr>
          <w:rFonts w:ascii="Arial" w:eastAsia="Arial" w:hAnsi="Arial" w:cs="Arial"/>
          <w:sz w:val="24"/>
          <w:szCs w:val="24"/>
        </w:rPr>
        <w:br/>
      </w:r>
      <w:r w:rsidRPr="00CC7E17">
        <w:rPr>
          <w:rFonts w:ascii="Arial" w:hAnsi="Arial" w:cs="Arial"/>
          <w:sz w:val="24"/>
          <w:szCs w:val="24"/>
        </w:rPr>
        <w:t xml:space="preserve">SUPERVISOR: </w:t>
      </w:r>
      <w:r w:rsidRPr="00CC7E17">
        <w:rPr>
          <w:rFonts w:ascii="Arial" w:hAnsi="Arial" w:cs="Arial"/>
          <w:sz w:val="24"/>
          <w:szCs w:val="24"/>
          <w:lang w:val="en-US"/>
        </w:rPr>
        <w:t>Dr. Alfonso Iorio</w:t>
      </w:r>
      <w:r w:rsidRPr="00CC7E17">
        <w:rPr>
          <w:rFonts w:ascii="Arial" w:hAnsi="Arial" w:cs="Arial"/>
          <w:sz w:val="24"/>
          <w:szCs w:val="24"/>
        </w:rPr>
        <w:t xml:space="preserve"> </w:t>
      </w:r>
      <w:r w:rsidRPr="00CC7E17">
        <w:rPr>
          <w:rFonts w:ascii="Arial" w:eastAsia="Arial" w:hAnsi="Arial" w:cs="Arial"/>
          <w:sz w:val="24"/>
          <w:szCs w:val="24"/>
        </w:rPr>
        <w:br/>
      </w:r>
      <w:r w:rsidRPr="00CC7E17">
        <w:rPr>
          <w:rFonts w:ascii="Arial" w:hAnsi="Arial" w:cs="Arial"/>
          <w:sz w:val="24"/>
          <w:szCs w:val="24"/>
        </w:rPr>
        <w:t xml:space="preserve">NUMBER OF PAGES: </w:t>
      </w:r>
      <w:r w:rsidRPr="00CC7E17">
        <w:rPr>
          <w:rFonts w:ascii="Arial" w:hAnsi="Arial" w:cs="Arial"/>
          <w:color w:val="auto"/>
          <w:sz w:val="24"/>
          <w:szCs w:val="24"/>
        </w:rPr>
        <w:t>1</w:t>
      </w:r>
      <w:r w:rsidR="00CC7E17">
        <w:rPr>
          <w:rFonts w:ascii="Arial" w:hAnsi="Arial" w:cs="Arial"/>
          <w:color w:val="auto"/>
          <w:sz w:val="24"/>
          <w:szCs w:val="24"/>
        </w:rPr>
        <w:t>91</w:t>
      </w:r>
    </w:p>
    <w:p w14:paraId="76FDB4D8" w14:textId="77777777" w:rsidR="002C221C" w:rsidRPr="00CC7E17" w:rsidRDefault="002C221C" w:rsidP="0009624B">
      <w:pPr>
        <w:pStyle w:val="Default"/>
        <w:spacing w:after="240" w:line="360" w:lineRule="auto"/>
        <w:rPr>
          <w:rFonts w:ascii="Arial" w:eastAsia="Arial" w:hAnsi="Arial" w:cs="Arial"/>
          <w:i/>
          <w:iCs/>
          <w:sz w:val="24"/>
          <w:szCs w:val="24"/>
        </w:rPr>
      </w:pPr>
    </w:p>
    <w:p w14:paraId="7E0FB900" w14:textId="77777777" w:rsidR="002C221C" w:rsidRPr="00CC7E17" w:rsidRDefault="002C221C" w:rsidP="0009624B">
      <w:pPr>
        <w:pStyle w:val="Default"/>
        <w:spacing w:after="240" w:line="360" w:lineRule="auto"/>
        <w:rPr>
          <w:rFonts w:ascii="Arial" w:eastAsia="Arial" w:hAnsi="Arial" w:cs="Arial"/>
          <w:i/>
          <w:iCs/>
          <w:sz w:val="24"/>
          <w:szCs w:val="24"/>
        </w:rPr>
      </w:pPr>
    </w:p>
    <w:p w14:paraId="3C3942FD" w14:textId="77777777" w:rsidR="002C221C" w:rsidRPr="00CC7E17" w:rsidRDefault="002C221C" w:rsidP="0009624B">
      <w:pPr>
        <w:pStyle w:val="Default"/>
        <w:spacing w:after="240" w:line="360" w:lineRule="auto"/>
        <w:rPr>
          <w:rFonts w:ascii="Arial" w:eastAsia="Arial" w:hAnsi="Arial" w:cs="Arial"/>
          <w:i/>
          <w:iCs/>
          <w:sz w:val="24"/>
          <w:szCs w:val="24"/>
        </w:rPr>
      </w:pPr>
    </w:p>
    <w:p w14:paraId="7BCBC5D7" w14:textId="77777777" w:rsidR="002C221C" w:rsidRPr="00CC7E17" w:rsidRDefault="002C221C" w:rsidP="0009624B">
      <w:pPr>
        <w:pStyle w:val="Default"/>
        <w:spacing w:after="240" w:line="360" w:lineRule="auto"/>
        <w:rPr>
          <w:rFonts w:ascii="Arial" w:eastAsia="Arial" w:hAnsi="Arial" w:cs="Arial"/>
          <w:i/>
          <w:iCs/>
          <w:sz w:val="24"/>
          <w:szCs w:val="24"/>
        </w:rPr>
      </w:pPr>
    </w:p>
    <w:p w14:paraId="5371B274" w14:textId="77777777" w:rsidR="002C221C" w:rsidRPr="00CC7E17" w:rsidRDefault="002C221C" w:rsidP="0009624B">
      <w:pPr>
        <w:pStyle w:val="Default"/>
        <w:spacing w:after="240" w:line="360" w:lineRule="auto"/>
        <w:rPr>
          <w:rFonts w:ascii="Arial" w:eastAsia="Arial" w:hAnsi="Arial" w:cs="Arial"/>
          <w:i/>
          <w:iCs/>
          <w:sz w:val="24"/>
          <w:szCs w:val="24"/>
        </w:rPr>
      </w:pPr>
    </w:p>
    <w:p w14:paraId="4BD7F4F7" w14:textId="77777777" w:rsidR="002C221C" w:rsidRPr="00CC7E17" w:rsidRDefault="002C221C" w:rsidP="0009624B">
      <w:pPr>
        <w:pStyle w:val="Default"/>
        <w:spacing w:after="240" w:line="360" w:lineRule="auto"/>
        <w:rPr>
          <w:rFonts w:ascii="Arial" w:eastAsia="Arial" w:hAnsi="Arial" w:cs="Arial"/>
          <w:i/>
          <w:iCs/>
          <w:sz w:val="24"/>
          <w:szCs w:val="24"/>
        </w:rPr>
      </w:pPr>
    </w:p>
    <w:p w14:paraId="36DD85FE" w14:textId="77777777" w:rsidR="002C221C" w:rsidRPr="00CC7E17" w:rsidRDefault="002C221C" w:rsidP="0009624B">
      <w:pPr>
        <w:pStyle w:val="Default"/>
        <w:spacing w:after="240" w:line="360" w:lineRule="auto"/>
        <w:rPr>
          <w:rFonts w:ascii="Arial" w:eastAsia="Arial" w:hAnsi="Arial" w:cs="Arial"/>
          <w:i/>
          <w:iCs/>
          <w:sz w:val="24"/>
          <w:szCs w:val="24"/>
        </w:rPr>
      </w:pPr>
    </w:p>
    <w:p w14:paraId="6B6A2814" w14:textId="77777777" w:rsidR="002C221C" w:rsidRPr="00CC7E17" w:rsidRDefault="002C221C" w:rsidP="0009624B">
      <w:pPr>
        <w:pStyle w:val="Default"/>
        <w:spacing w:after="240" w:line="360" w:lineRule="auto"/>
        <w:rPr>
          <w:rFonts w:ascii="Arial" w:eastAsia="Arial" w:hAnsi="Arial" w:cs="Arial"/>
          <w:i/>
          <w:iCs/>
          <w:sz w:val="24"/>
          <w:szCs w:val="24"/>
        </w:rPr>
      </w:pPr>
    </w:p>
    <w:p w14:paraId="62907A0E" w14:textId="77777777" w:rsidR="002C221C" w:rsidRPr="00CC7E17" w:rsidRDefault="002C221C" w:rsidP="0009624B">
      <w:pPr>
        <w:pStyle w:val="Default"/>
        <w:spacing w:after="240" w:line="360" w:lineRule="auto"/>
        <w:rPr>
          <w:rFonts w:ascii="Arial" w:eastAsia="Arial" w:hAnsi="Arial" w:cs="Arial"/>
          <w:i/>
          <w:iCs/>
          <w:sz w:val="24"/>
          <w:szCs w:val="24"/>
        </w:rPr>
      </w:pPr>
    </w:p>
    <w:p w14:paraId="6DB62281" w14:textId="77777777" w:rsidR="005965AF" w:rsidRDefault="005965AF" w:rsidP="0009624B">
      <w:pPr>
        <w:pStyle w:val="Heading1"/>
        <w:spacing w:line="360" w:lineRule="auto"/>
        <w:rPr>
          <w:rFonts w:ascii="Arial" w:hAnsi="Arial" w:cs="Arial"/>
        </w:rPr>
      </w:pPr>
      <w:bookmarkStart w:id="0" w:name="_Toc271781629"/>
      <w:bookmarkStart w:id="1" w:name="_Toc286437105"/>
    </w:p>
    <w:p w14:paraId="42D787DC" w14:textId="77777777" w:rsidR="002C221C" w:rsidRPr="00CC7E17" w:rsidRDefault="002C221C" w:rsidP="0009624B">
      <w:pPr>
        <w:pStyle w:val="Heading1"/>
        <w:spacing w:line="360" w:lineRule="auto"/>
        <w:rPr>
          <w:rFonts w:ascii="Arial" w:eastAsia="Arial" w:hAnsi="Arial" w:cs="Arial"/>
        </w:rPr>
      </w:pPr>
      <w:r w:rsidRPr="00CC7E17">
        <w:rPr>
          <w:rFonts w:ascii="Arial" w:hAnsi="Arial" w:cs="Arial"/>
        </w:rPr>
        <w:t>Acknowledgements</w:t>
      </w:r>
      <w:bookmarkEnd w:id="0"/>
      <w:bookmarkEnd w:id="1"/>
      <w:r w:rsidRPr="00CC7E17">
        <w:rPr>
          <w:rFonts w:ascii="Arial" w:hAnsi="Arial" w:cs="Arial"/>
        </w:rPr>
        <w:t xml:space="preserve"> </w:t>
      </w:r>
    </w:p>
    <w:p w14:paraId="6183DE68" w14:textId="77777777" w:rsidR="002C221C" w:rsidRPr="00CC7E17" w:rsidRDefault="002C221C" w:rsidP="0009624B">
      <w:pPr>
        <w:pStyle w:val="Body"/>
        <w:spacing w:before="160" w:line="360" w:lineRule="auto"/>
        <w:rPr>
          <w:rFonts w:ascii="Arial" w:eastAsia="Arial" w:hAnsi="Arial" w:cs="Arial"/>
          <w:sz w:val="24"/>
          <w:szCs w:val="24"/>
        </w:rPr>
      </w:pPr>
    </w:p>
    <w:p w14:paraId="1AF833AB" w14:textId="77777777" w:rsidR="002C221C" w:rsidRPr="00CC7E17" w:rsidRDefault="002C221C" w:rsidP="0009624B">
      <w:pPr>
        <w:pStyle w:val="Body"/>
        <w:spacing w:before="160" w:line="360" w:lineRule="auto"/>
        <w:rPr>
          <w:rFonts w:ascii="Arial" w:eastAsia="Arial" w:hAnsi="Arial" w:cs="Arial"/>
          <w:sz w:val="24"/>
          <w:szCs w:val="24"/>
        </w:rPr>
      </w:pPr>
      <w:r w:rsidRPr="00CC7E17">
        <w:rPr>
          <w:rFonts w:ascii="Arial" w:hAnsi="Arial" w:cs="Arial"/>
          <w:sz w:val="24"/>
          <w:szCs w:val="24"/>
          <w:lang w:val="en-US"/>
        </w:rPr>
        <w:t>My sincerest thanks to my research supervisor, Dr. Alfonso Iorio for his help and patience throughout writing this thesis, as well as to my committee members Doctor Ann McKibbon and Doctor Jan Brozek and program administrator Iris Kehler. I would also like to thank Chris Cotoi and his co-workers with their invaluable help throughout the development of MacPrognosis</w:t>
      </w:r>
      <w:bookmarkStart w:id="2" w:name="_GoBack"/>
      <w:bookmarkEnd w:id="2"/>
      <w:r w:rsidRPr="00CC7E17">
        <w:rPr>
          <w:rFonts w:ascii="Arial" w:hAnsi="Arial" w:cs="Arial"/>
          <w:sz w:val="24"/>
          <w:szCs w:val="24"/>
          <w:lang w:val="en-US"/>
        </w:rPr>
        <w:t>.</w:t>
      </w:r>
    </w:p>
    <w:p w14:paraId="3EE2F293" w14:textId="77777777" w:rsidR="002C221C" w:rsidRPr="00CC7E17" w:rsidRDefault="002C221C" w:rsidP="0009624B">
      <w:pPr>
        <w:pStyle w:val="Body"/>
        <w:spacing w:before="160" w:line="360" w:lineRule="auto"/>
        <w:rPr>
          <w:rFonts w:ascii="Arial" w:eastAsia="Arial" w:hAnsi="Arial" w:cs="Arial"/>
          <w:sz w:val="24"/>
          <w:szCs w:val="24"/>
        </w:rPr>
      </w:pPr>
    </w:p>
    <w:p w14:paraId="2380C7DF" w14:textId="77777777" w:rsidR="002C221C" w:rsidRPr="00CC7E17" w:rsidRDefault="002C221C" w:rsidP="0009624B">
      <w:pPr>
        <w:pStyle w:val="Body"/>
        <w:spacing w:before="160" w:line="360" w:lineRule="auto"/>
        <w:rPr>
          <w:rFonts w:ascii="Arial" w:eastAsia="Arial" w:hAnsi="Arial" w:cs="Arial"/>
          <w:sz w:val="24"/>
          <w:szCs w:val="24"/>
        </w:rPr>
      </w:pPr>
    </w:p>
    <w:p w14:paraId="1E808104" w14:textId="77777777" w:rsidR="002C221C" w:rsidRPr="00CC7E17" w:rsidRDefault="002C221C" w:rsidP="0009624B">
      <w:pPr>
        <w:pStyle w:val="Body"/>
        <w:spacing w:before="160" w:line="360" w:lineRule="auto"/>
        <w:rPr>
          <w:rFonts w:ascii="Arial" w:eastAsia="Arial" w:hAnsi="Arial" w:cs="Arial"/>
          <w:sz w:val="24"/>
          <w:szCs w:val="24"/>
        </w:rPr>
      </w:pPr>
    </w:p>
    <w:p w14:paraId="42E24979" w14:textId="77777777" w:rsidR="002C221C" w:rsidRPr="00CC7E17" w:rsidRDefault="002C221C" w:rsidP="0009624B">
      <w:pPr>
        <w:pStyle w:val="Body"/>
        <w:spacing w:before="160" w:line="360" w:lineRule="auto"/>
        <w:rPr>
          <w:rFonts w:ascii="Arial" w:eastAsia="Arial" w:hAnsi="Arial" w:cs="Arial"/>
          <w:sz w:val="24"/>
          <w:szCs w:val="24"/>
        </w:rPr>
      </w:pPr>
    </w:p>
    <w:p w14:paraId="7E298AAF" w14:textId="77777777" w:rsidR="002C221C" w:rsidRPr="00CC7E17" w:rsidRDefault="002C221C" w:rsidP="0009624B">
      <w:pPr>
        <w:pStyle w:val="Body"/>
        <w:spacing w:before="160" w:line="360" w:lineRule="auto"/>
        <w:rPr>
          <w:rFonts w:ascii="Arial" w:eastAsia="Arial" w:hAnsi="Arial" w:cs="Arial"/>
          <w:sz w:val="24"/>
          <w:szCs w:val="24"/>
        </w:rPr>
      </w:pPr>
    </w:p>
    <w:p w14:paraId="1ABA52B6" w14:textId="77777777" w:rsidR="002C221C" w:rsidRPr="00CC7E17" w:rsidRDefault="002C221C" w:rsidP="0009624B">
      <w:pPr>
        <w:pStyle w:val="Body"/>
        <w:spacing w:before="160" w:line="360" w:lineRule="auto"/>
        <w:rPr>
          <w:rFonts w:ascii="Arial" w:eastAsia="Arial" w:hAnsi="Arial" w:cs="Arial"/>
          <w:sz w:val="24"/>
          <w:szCs w:val="24"/>
        </w:rPr>
      </w:pPr>
    </w:p>
    <w:p w14:paraId="7903E2C3" w14:textId="77777777" w:rsidR="002C221C" w:rsidRPr="00CC7E17" w:rsidRDefault="002C221C" w:rsidP="0009624B">
      <w:pPr>
        <w:pStyle w:val="Body"/>
        <w:spacing w:before="160" w:line="360" w:lineRule="auto"/>
        <w:rPr>
          <w:rFonts w:ascii="Arial" w:eastAsia="Arial" w:hAnsi="Arial" w:cs="Arial"/>
          <w:sz w:val="24"/>
          <w:szCs w:val="24"/>
        </w:rPr>
      </w:pPr>
    </w:p>
    <w:p w14:paraId="251F3A18" w14:textId="77777777" w:rsidR="002C221C" w:rsidRPr="00CC7E17" w:rsidRDefault="002C221C" w:rsidP="0009624B">
      <w:pPr>
        <w:pStyle w:val="Body"/>
        <w:spacing w:before="160" w:line="360" w:lineRule="auto"/>
        <w:rPr>
          <w:rFonts w:ascii="Arial" w:eastAsia="Arial" w:hAnsi="Arial" w:cs="Arial"/>
          <w:sz w:val="24"/>
          <w:szCs w:val="24"/>
        </w:rPr>
      </w:pPr>
    </w:p>
    <w:p w14:paraId="3A0469E2" w14:textId="77777777" w:rsidR="002C221C" w:rsidRPr="00CC7E17" w:rsidRDefault="002C221C" w:rsidP="0009624B">
      <w:pPr>
        <w:pStyle w:val="Body"/>
        <w:spacing w:before="160" w:line="360" w:lineRule="auto"/>
        <w:rPr>
          <w:rFonts w:ascii="Arial" w:eastAsia="Arial" w:hAnsi="Arial" w:cs="Arial"/>
          <w:sz w:val="24"/>
          <w:szCs w:val="24"/>
        </w:rPr>
      </w:pPr>
    </w:p>
    <w:p w14:paraId="565EE1A9" w14:textId="77777777" w:rsidR="002C221C" w:rsidRPr="00CC7E17" w:rsidRDefault="002C221C" w:rsidP="0009624B">
      <w:pPr>
        <w:pStyle w:val="Body"/>
        <w:spacing w:before="160" w:line="360" w:lineRule="auto"/>
        <w:rPr>
          <w:rFonts w:ascii="Arial" w:eastAsia="Arial" w:hAnsi="Arial" w:cs="Arial"/>
          <w:sz w:val="24"/>
          <w:szCs w:val="24"/>
        </w:rPr>
      </w:pPr>
    </w:p>
    <w:p w14:paraId="1103F314" w14:textId="77777777" w:rsidR="002C221C" w:rsidRPr="00CC7E17" w:rsidRDefault="002C221C" w:rsidP="0009624B">
      <w:pPr>
        <w:pStyle w:val="Body"/>
        <w:spacing w:before="160" w:line="360" w:lineRule="auto"/>
        <w:rPr>
          <w:rFonts w:ascii="Arial" w:eastAsia="Arial" w:hAnsi="Arial" w:cs="Arial"/>
          <w:sz w:val="24"/>
          <w:szCs w:val="24"/>
        </w:rPr>
      </w:pPr>
    </w:p>
    <w:p w14:paraId="5F910235" w14:textId="77777777" w:rsidR="002C221C" w:rsidRPr="00CC7E17" w:rsidRDefault="002C221C" w:rsidP="0009624B">
      <w:pPr>
        <w:pStyle w:val="Body"/>
        <w:spacing w:before="160" w:line="360" w:lineRule="auto"/>
        <w:rPr>
          <w:rFonts w:ascii="Arial" w:eastAsia="Arial" w:hAnsi="Arial" w:cs="Arial"/>
          <w:sz w:val="24"/>
          <w:szCs w:val="24"/>
        </w:rPr>
      </w:pPr>
    </w:p>
    <w:p w14:paraId="590E9115" w14:textId="77777777" w:rsidR="002C221C" w:rsidRPr="00CC7E17" w:rsidRDefault="002C221C" w:rsidP="0009624B">
      <w:pPr>
        <w:pStyle w:val="Body"/>
        <w:spacing w:before="160" w:line="360" w:lineRule="auto"/>
        <w:rPr>
          <w:rFonts w:ascii="Arial" w:eastAsia="Arial" w:hAnsi="Arial" w:cs="Arial"/>
          <w:sz w:val="24"/>
          <w:szCs w:val="24"/>
        </w:rPr>
      </w:pPr>
    </w:p>
    <w:p w14:paraId="1EE0A6B3" w14:textId="77777777" w:rsidR="002C221C" w:rsidRPr="00CC7E17" w:rsidRDefault="002C221C" w:rsidP="0009624B">
      <w:pPr>
        <w:pStyle w:val="Body"/>
        <w:spacing w:before="160" w:line="360" w:lineRule="auto"/>
        <w:rPr>
          <w:rFonts w:ascii="Arial" w:eastAsia="Arial" w:hAnsi="Arial" w:cs="Arial"/>
          <w:sz w:val="24"/>
          <w:szCs w:val="24"/>
        </w:rPr>
      </w:pPr>
    </w:p>
    <w:p w14:paraId="6627A071" w14:textId="74FC7A3E" w:rsidR="00C408DD" w:rsidRPr="009E57CF" w:rsidRDefault="002C221C" w:rsidP="009E57CF">
      <w:pPr>
        <w:pStyle w:val="Body"/>
        <w:spacing w:before="160" w:line="360" w:lineRule="auto"/>
        <w:rPr>
          <w:rFonts w:ascii="Arial" w:hAnsi="Arial" w:cs="Arial"/>
        </w:rPr>
      </w:pPr>
      <w:r w:rsidRPr="00CC7E17">
        <w:rPr>
          <w:rFonts w:ascii="Arial" w:eastAsia="Arial" w:hAnsi="Arial" w:cs="Arial"/>
        </w:rPr>
        <w:br/>
      </w:r>
    </w:p>
    <w:sdt>
      <w:sdtPr>
        <w:rPr>
          <w:rFonts w:ascii="Arial" w:eastAsia="Arial Unicode MS" w:hAnsi="Arial" w:cs="Arial"/>
          <w:b w:val="0"/>
          <w:bCs w:val="0"/>
          <w:color w:val="auto"/>
          <w:sz w:val="24"/>
          <w:szCs w:val="24"/>
          <w:bdr w:val="nil"/>
        </w:rPr>
        <w:id w:val="-819039974"/>
        <w:docPartObj>
          <w:docPartGallery w:val="Table of Contents"/>
          <w:docPartUnique/>
        </w:docPartObj>
      </w:sdtPr>
      <w:sdtEndPr>
        <w:rPr>
          <w:noProof/>
        </w:rPr>
      </w:sdtEndPr>
      <w:sdtContent>
        <w:p w14:paraId="113B5EC5" w14:textId="4B1B6D72" w:rsidR="00B01DBC" w:rsidRPr="00ED7C8D" w:rsidRDefault="00B01DBC" w:rsidP="0009624B">
          <w:pPr>
            <w:pStyle w:val="TOCHeading"/>
            <w:spacing w:line="360" w:lineRule="auto"/>
            <w:rPr>
              <w:rStyle w:val="Heading1Char"/>
              <w:rFonts w:ascii="Arial" w:hAnsi="Arial"/>
              <w:b/>
            </w:rPr>
          </w:pPr>
          <w:r w:rsidRPr="00ED7C8D">
            <w:rPr>
              <w:rStyle w:val="Heading1Char"/>
              <w:rFonts w:ascii="Arial" w:hAnsi="Arial"/>
              <w:b/>
            </w:rPr>
            <w:t xml:space="preserve">Table </w:t>
          </w:r>
          <w:r w:rsidR="0014113C" w:rsidRPr="00ED7C8D">
            <w:rPr>
              <w:rStyle w:val="Heading1Char"/>
              <w:rFonts w:ascii="Arial" w:hAnsi="Arial"/>
              <w:b/>
            </w:rPr>
            <w:t>Of Contents</w:t>
          </w:r>
        </w:p>
        <w:p w14:paraId="05800EFF" w14:textId="6052D40D" w:rsidR="0014113C" w:rsidRPr="00ED7C8D" w:rsidRDefault="00B01DB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14113C">
            <w:rPr>
              <w:rFonts w:ascii="Arial" w:hAnsi="Arial" w:cs="Arial"/>
              <w:b w:val="0"/>
              <w:caps w:val="0"/>
              <w:sz w:val="24"/>
              <w:szCs w:val="24"/>
            </w:rPr>
            <w:fldChar w:fldCharType="begin"/>
          </w:r>
          <w:r w:rsidRPr="0014113C">
            <w:rPr>
              <w:rFonts w:ascii="Arial" w:hAnsi="Arial" w:cs="Arial"/>
              <w:caps w:val="0"/>
              <w:sz w:val="24"/>
              <w:szCs w:val="24"/>
            </w:rPr>
            <w:instrText xml:space="preserve"> TOC \o "1-3" \h \z \u </w:instrText>
          </w:r>
          <w:r w:rsidRPr="0014113C">
            <w:rPr>
              <w:rFonts w:ascii="Arial" w:hAnsi="Arial" w:cs="Arial"/>
              <w:b w:val="0"/>
              <w:caps w:val="0"/>
              <w:sz w:val="24"/>
              <w:szCs w:val="24"/>
            </w:rPr>
            <w:fldChar w:fldCharType="separate"/>
          </w:r>
          <w:r w:rsidR="0014113C" w:rsidRPr="00ED7C8D">
            <w:rPr>
              <w:rFonts w:ascii="Arial" w:hAnsi="Arial" w:cs="Arial"/>
              <w:caps w:val="0"/>
              <w:noProof/>
              <w:sz w:val="24"/>
              <w:szCs w:val="24"/>
            </w:rPr>
            <w:t>Acknowledgements</w:t>
          </w:r>
          <w:r w:rsidR="0014113C" w:rsidRPr="00ED7C8D">
            <w:rPr>
              <w:rFonts w:ascii="Arial" w:hAnsi="Arial"/>
              <w:caps w:val="0"/>
              <w:noProof/>
              <w:sz w:val="24"/>
              <w:szCs w:val="24"/>
            </w:rPr>
            <w:tab/>
          </w:r>
          <w:r w:rsidR="0014113C" w:rsidRPr="00ED7C8D">
            <w:rPr>
              <w:rFonts w:ascii="Arial" w:hAnsi="Arial"/>
              <w:caps w:val="0"/>
              <w:noProof/>
              <w:sz w:val="24"/>
              <w:szCs w:val="24"/>
            </w:rPr>
            <w:fldChar w:fldCharType="begin"/>
          </w:r>
          <w:r w:rsidR="0014113C" w:rsidRPr="00ED7C8D">
            <w:rPr>
              <w:rFonts w:ascii="Arial" w:hAnsi="Arial"/>
              <w:caps w:val="0"/>
              <w:noProof/>
              <w:sz w:val="24"/>
              <w:szCs w:val="24"/>
            </w:rPr>
            <w:instrText xml:space="preserve"> PAGEREF _Toc286437105 \h </w:instrText>
          </w:r>
          <w:r w:rsidR="0014113C" w:rsidRPr="00ED7C8D">
            <w:rPr>
              <w:rFonts w:ascii="Arial" w:hAnsi="Arial"/>
              <w:caps w:val="0"/>
              <w:noProof/>
              <w:sz w:val="24"/>
              <w:szCs w:val="24"/>
            </w:rPr>
          </w:r>
          <w:r w:rsidR="0014113C" w:rsidRPr="00ED7C8D">
            <w:rPr>
              <w:rFonts w:ascii="Arial" w:hAnsi="Arial"/>
              <w:caps w:val="0"/>
              <w:noProof/>
              <w:sz w:val="24"/>
              <w:szCs w:val="24"/>
            </w:rPr>
            <w:fldChar w:fldCharType="separate"/>
          </w:r>
          <w:r w:rsidR="005965AF">
            <w:rPr>
              <w:rFonts w:ascii="Arial" w:hAnsi="Arial"/>
              <w:caps w:val="0"/>
              <w:noProof/>
              <w:sz w:val="24"/>
              <w:szCs w:val="24"/>
            </w:rPr>
            <w:t>iii</w:t>
          </w:r>
          <w:r w:rsidR="0014113C" w:rsidRPr="00ED7C8D">
            <w:rPr>
              <w:rFonts w:ascii="Arial" w:hAnsi="Arial"/>
              <w:caps w:val="0"/>
              <w:noProof/>
              <w:sz w:val="24"/>
              <w:szCs w:val="24"/>
            </w:rPr>
            <w:fldChar w:fldCharType="end"/>
          </w:r>
        </w:p>
        <w:p w14:paraId="1CCC0F66" w14:textId="7F4D73A0"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List Of Illustrations, Charts And Diagrams</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_Toc286437106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vi</w:t>
          </w:r>
          <w:r w:rsidRPr="00ED7C8D">
            <w:rPr>
              <w:rFonts w:ascii="Arial" w:hAnsi="Arial"/>
              <w:caps w:val="0"/>
              <w:noProof/>
              <w:sz w:val="24"/>
              <w:szCs w:val="24"/>
            </w:rPr>
            <w:fldChar w:fldCharType="end"/>
          </w:r>
        </w:p>
        <w:p w14:paraId="5B778FD3" w14:textId="07E6B21F"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List Of Tables</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_Toc286437107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vi</w:t>
          </w:r>
          <w:r w:rsidRPr="00ED7C8D">
            <w:rPr>
              <w:rFonts w:ascii="Arial" w:hAnsi="Arial"/>
              <w:caps w:val="0"/>
              <w:noProof/>
              <w:sz w:val="24"/>
              <w:szCs w:val="24"/>
            </w:rPr>
            <w:fldChar w:fldCharType="end"/>
          </w:r>
        </w:p>
        <w:p w14:paraId="14D56E57" w14:textId="3A222229"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aps w:val="0"/>
              <w:noProof/>
              <w:sz w:val="24"/>
              <w:szCs w:val="24"/>
            </w:rPr>
            <w:t>List Of Abbreviations And Symbols</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_Toc286437108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vii</w:t>
          </w:r>
          <w:r w:rsidRPr="00ED7C8D">
            <w:rPr>
              <w:rFonts w:ascii="Arial" w:hAnsi="Arial"/>
              <w:caps w:val="0"/>
              <w:noProof/>
              <w:sz w:val="24"/>
              <w:szCs w:val="24"/>
            </w:rPr>
            <w:fldChar w:fldCharType="end"/>
          </w:r>
        </w:p>
        <w:p w14:paraId="5AF6CD88" w14:textId="6ADBF89B"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Declaration Of Academic Achievement</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_Toc286437109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viii</w:t>
          </w:r>
          <w:r w:rsidRPr="00ED7C8D">
            <w:rPr>
              <w:rFonts w:ascii="Arial" w:hAnsi="Arial"/>
              <w:caps w:val="0"/>
              <w:noProof/>
              <w:sz w:val="24"/>
              <w:szCs w:val="24"/>
            </w:rPr>
            <w:fldChar w:fldCharType="end"/>
          </w:r>
        </w:p>
        <w:p w14:paraId="4937B0A6" w14:textId="5D7D1DA0"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Abstract</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_Toc286437110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1</w:t>
          </w:r>
          <w:r w:rsidRPr="00ED7C8D">
            <w:rPr>
              <w:rFonts w:ascii="Arial" w:hAnsi="Arial"/>
              <w:caps w:val="0"/>
              <w:noProof/>
              <w:sz w:val="24"/>
              <w:szCs w:val="24"/>
            </w:rPr>
            <w:fldChar w:fldCharType="end"/>
          </w:r>
        </w:p>
        <w:p w14:paraId="7880ACC3" w14:textId="761ECC9D"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Introduction</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_Toc286437111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2</w:t>
          </w:r>
          <w:r w:rsidRPr="00ED7C8D">
            <w:rPr>
              <w:rFonts w:ascii="Arial" w:hAnsi="Arial"/>
              <w:caps w:val="0"/>
              <w:noProof/>
              <w:sz w:val="24"/>
              <w:szCs w:val="24"/>
            </w:rPr>
            <w:fldChar w:fldCharType="end"/>
          </w:r>
        </w:p>
        <w:p w14:paraId="7B70BA95" w14:textId="3F2130DF"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The Search For Clinical Answers, The Information Overload And Some Proposed Solutions.</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_Toc286437112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2</w:t>
          </w:r>
          <w:r w:rsidRPr="00ED7C8D">
            <w:rPr>
              <w:rFonts w:ascii="Arial" w:hAnsi="Arial"/>
              <w:smallCaps w:val="0"/>
              <w:noProof/>
              <w:sz w:val="24"/>
              <w:szCs w:val="24"/>
            </w:rPr>
            <w:fldChar w:fldCharType="end"/>
          </w:r>
        </w:p>
        <w:p w14:paraId="2EB2EF2D" w14:textId="65787D1C"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Searching Prognostic Information</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_Toc286437113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5</w:t>
          </w:r>
          <w:r w:rsidRPr="00ED7C8D">
            <w:rPr>
              <w:rFonts w:ascii="Arial" w:hAnsi="Arial"/>
              <w:smallCaps w:val="0"/>
              <w:noProof/>
              <w:sz w:val="24"/>
              <w:szCs w:val="24"/>
            </w:rPr>
            <w:fldChar w:fldCharType="end"/>
          </w:r>
        </w:p>
        <w:p w14:paraId="218E4D5E" w14:textId="6CD1E80C"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Communicating Prognostic Information</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_Toc286437114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8</w:t>
          </w:r>
          <w:r w:rsidRPr="00ED7C8D">
            <w:rPr>
              <w:rFonts w:ascii="Arial" w:hAnsi="Arial"/>
              <w:smallCaps w:val="0"/>
              <w:noProof/>
              <w:sz w:val="24"/>
              <w:szCs w:val="24"/>
            </w:rPr>
            <w:fldChar w:fldCharType="end"/>
          </w:r>
        </w:p>
        <w:p w14:paraId="6B3AD594" w14:textId="6E2AAB16"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Retrieving Prognostic Information Ready For Clinical Use</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_Toc286437115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9</w:t>
          </w:r>
          <w:r w:rsidRPr="00ED7C8D">
            <w:rPr>
              <w:rFonts w:ascii="Arial" w:hAnsi="Arial"/>
              <w:smallCaps w:val="0"/>
              <w:noProof/>
              <w:sz w:val="24"/>
              <w:szCs w:val="24"/>
            </w:rPr>
            <w:fldChar w:fldCharType="end"/>
          </w:r>
        </w:p>
        <w:p w14:paraId="4B208514" w14:textId="4450B390"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Methods</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_Toc286437116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10</w:t>
          </w:r>
          <w:r w:rsidRPr="00ED7C8D">
            <w:rPr>
              <w:rFonts w:ascii="Arial" w:hAnsi="Arial"/>
              <w:caps w:val="0"/>
              <w:noProof/>
              <w:sz w:val="24"/>
              <w:szCs w:val="24"/>
            </w:rPr>
            <w:fldChar w:fldCharType="end"/>
          </w:r>
        </w:p>
        <w:p w14:paraId="399E22EA" w14:textId="5BC588C1"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Overview Of Brisket</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_Toc286437117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10</w:t>
          </w:r>
          <w:r w:rsidRPr="00ED7C8D">
            <w:rPr>
              <w:rFonts w:ascii="Arial" w:hAnsi="Arial"/>
              <w:smallCaps w:val="0"/>
              <w:noProof/>
              <w:sz w:val="24"/>
              <w:szCs w:val="24"/>
            </w:rPr>
            <w:fldChar w:fldCharType="end"/>
          </w:r>
        </w:p>
        <w:p w14:paraId="02AE2BE6" w14:textId="536DDE66"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Scope Of Current Study</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_Toc286437118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11</w:t>
          </w:r>
          <w:r w:rsidRPr="00ED7C8D">
            <w:rPr>
              <w:rFonts w:ascii="Arial" w:hAnsi="Arial"/>
              <w:smallCaps w:val="0"/>
              <w:noProof/>
              <w:sz w:val="24"/>
              <w:szCs w:val="24"/>
            </w:rPr>
            <w:fldChar w:fldCharType="end"/>
          </w:r>
        </w:p>
        <w:p w14:paraId="6ED6D591" w14:textId="7CDBBDA0"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Development Of First Iteration Of Extractor Interface</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_Toc286437119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11</w:t>
          </w:r>
          <w:r w:rsidRPr="00ED7C8D">
            <w:rPr>
              <w:rFonts w:ascii="Arial" w:hAnsi="Arial"/>
              <w:smallCaps w:val="0"/>
              <w:noProof/>
              <w:sz w:val="24"/>
              <w:szCs w:val="24"/>
            </w:rPr>
            <w:fldChar w:fldCharType="end"/>
          </w:r>
        </w:p>
        <w:p w14:paraId="42CC12AA" w14:textId="4667CA44"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u w:color="000000"/>
            </w:rPr>
            <w:t>Second Iteration Development</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_Toc286437120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22</w:t>
          </w:r>
          <w:r w:rsidRPr="00ED7C8D">
            <w:rPr>
              <w:rFonts w:ascii="Arial" w:hAnsi="Arial"/>
              <w:smallCaps w:val="0"/>
              <w:noProof/>
              <w:sz w:val="24"/>
              <w:szCs w:val="24"/>
            </w:rPr>
            <w:fldChar w:fldCharType="end"/>
          </w:r>
        </w:p>
        <w:p w14:paraId="29F4DF66" w14:textId="44F0A36E"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Using Macprognosis</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_Toc286437121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25</w:t>
          </w:r>
          <w:r w:rsidRPr="00ED7C8D">
            <w:rPr>
              <w:rFonts w:ascii="Arial" w:hAnsi="Arial"/>
              <w:smallCaps w:val="0"/>
              <w:noProof/>
              <w:sz w:val="24"/>
              <w:szCs w:val="24"/>
            </w:rPr>
            <w:fldChar w:fldCharType="end"/>
          </w:r>
        </w:p>
        <w:p w14:paraId="322B0527" w14:textId="48B87B85"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u w:color="000000"/>
            </w:rPr>
            <w:t>Testing Of Extractor Interface</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_Toc286437122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28</w:t>
          </w:r>
          <w:r w:rsidRPr="00ED7C8D">
            <w:rPr>
              <w:rFonts w:ascii="Arial" w:hAnsi="Arial"/>
              <w:smallCaps w:val="0"/>
              <w:noProof/>
              <w:sz w:val="24"/>
              <w:szCs w:val="24"/>
            </w:rPr>
            <w:fldChar w:fldCharType="end"/>
          </w:r>
        </w:p>
        <w:p w14:paraId="37716C61" w14:textId="79E33176"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u w:color="000000"/>
            </w:rPr>
            <w:t>Results</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_Toc286437123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30</w:t>
          </w:r>
          <w:r w:rsidRPr="00ED7C8D">
            <w:rPr>
              <w:rFonts w:ascii="Arial" w:hAnsi="Arial"/>
              <w:caps w:val="0"/>
              <w:noProof/>
              <w:sz w:val="24"/>
              <w:szCs w:val="24"/>
            </w:rPr>
            <w:fldChar w:fldCharType="end"/>
          </w:r>
        </w:p>
        <w:p w14:paraId="15579C75" w14:textId="25C9C93D"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Results Of Feasibility Study – Successful Extraction Proportion</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_Toc286437124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30</w:t>
          </w:r>
          <w:r w:rsidRPr="00ED7C8D">
            <w:rPr>
              <w:rFonts w:ascii="Arial" w:hAnsi="Arial"/>
              <w:smallCaps w:val="0"/>
              <w:noProof/>
              <w:sz w:val="24"/>
              <w:szCs w:val="24"/>
            </w:rPr>
            <w:fldChar w:fldCharType="end"/>
          </w:r>
        </w:p>
        <w:p w14:paraId="5D19F876" w14:textId="20725A7F"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Results Of The Current Study - Successful Extraction Proportion</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_Toc286437125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31</w:t>
          </w:r>
          <w:r w:rsidRPr="00ED7C8D">
            <w:rPr>
              <w:rFonts w:ascii="Arial" w:hAnsi="Arial"/>
              <w:smallCaps w:val="0"/>
              <w:noProof/>
              <w:sz w:val="24"/>
              <w:szCs w:val="24"/>
            </w:rPr>
            <w:fldChar w:fldCharType="end"/>
          </w:r>
        </w:p>
        <w:p w14:paraId="485DBD67" w14:textId="6ED24845"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Time Required To Extract Data From One Article – Paper Based Process</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_Toc286437126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34</w:t>
          </w:r>
          <w:r w:rsidRPr="00ED7C8D">
            <w:rPr>
              <w:rFonts w:ascii="Arial" w:hAnsi="Arial"/>
              <w:smallCaps w:val="0"/>
              <w:noProof/>
              <w:sz w:val="24"/>
              <w:szCs w:val="24"/>
            </w:rPr>
            <w:fldChar w:fldCharType="end"/>
          </w:r>
        </w:p>
        <w:p w14:paraId="4F37FFE5" w14:textId="2F2E0991"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 xml:space="preserve">Time Required To Extract Data From One Article – </w:t>
          </w:r>
          <w:r w:rsidR="004959B9">
            <w:rPr>
              <w:rFonts w:ascii="Arial" w:hAnsi="Arial" w:cs="Arial"/>
              <w:smallCaps w:val="0"/>
              <w:noProof/>
              <w:sz w:val="24"/>
              <w:szCs w:val="24"/>
            </w:rPr>
            <w:t>EForm-based</w:t>
          </w:r>
          <w:r w:rsidRPr="00ED7C8D">
            <w:rPr>
              <w:rFonts w:ascii="Arial" w:hAnsi="Arial" w:cs="Arial"/>
              <w:smallCaps w:val="0"/>
              <w:noProof/>
              <w:sz w:val="24"/>
              <w:szCs w:val="24"/>
            </w:rPr>
            <w:t xml:space="preserve"> Process</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_Toc286437127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35</w:t>
          </w:r>
          <w:r w:rsidRPr="00ED7C8D">
            <w:rPr>
              <w:rFonts w:ascii="Arial" w:hAnsi="Arial"/>
              <w:smallCaps w:val="0"/>
              <w:noProof/>
              <w:sz w:val="24"/>
              <w:szCs w:val="24"/>
            </w:rPr>
            <w:fldChar w:fldCharType="end"/>
          </w:r>
        </w:p>
        <w:p w14:paraId="3260C81D" w14:textId="431BDA8B"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 Data Sorted By Medical Discipline In The Current Study</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_Toc286437128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36</w:t>
          </w:r>
          <w:r w:rsidRPr="00ED7C8D">
            <w:rPr>
              <w:rFonts w:ascii="Arial" w:hAnsi="Arial"/>
              <w:smallCaps w:val="0"/>
              <w:noProof/>
              <w:sz w:val="24"/>
              <w:szCs w:val="24"/>
            </w:rPr>
            <w:fldChar w:fldCharType="end"/>
          </w:r>
        </w:p>
        <w:p w14:paraId="45E9C4CB" w14:textId="070EC38D"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aps w:val="0"/>
              <w:noProof/>
              <w:sz w:val="24"/>
              <w:szCs w:val="24"/>
            </w:rPr>
            <w:t>Discussion</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_Toc286437129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39</w:t>
          </w:r>
          <w:r w:rsidRPr="00ED7C8D">
            <w:rPr>
              <w:rFonts w:ascii="Arial" w:hAnsi="Arial"/>
              <w:caps w:val="0"/>
              <w:noProof/>
              <w:sz w:val="24"/>
              <w:szCs w:val="24"/>
            </w:rPr>
            <w:fldChar w:fldCharType="end"/>
          </w:r>
        </w:p>
        <w:p w14:paraId="342F8BCB" w14:textId="5503B227"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aps w:val="0"/>
              <w:noProof/>
              <w:sz w:val="24"/>
              <w:szCs w:val="24"/>
            </w:rPr>
            <w:t>Conclusion</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_Toc286437130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43</w:t>
          </w:r>
          <w:r w:rsidRPr="00ED7C8D">
            <w:rPr>
              <w:rFonts w:ascii="Arial" w:hAnsi="Arial"/>
              <w:caps w:val="0"/>
              <w:noProof/>
              <w:sz w:val="24"/>
              <w:szCs w:val="24"/>
            </w:rPr>
            <w:fldChar w:fldCharType="end"/>
          </w:r>
        </w:p>
        <w:p w14:paraId="1F12C1BD" w14:textId="15E402A1"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aps w:val="0"/>
              <w:noProof/>
              <w:sz w:val="24"/>
              <w:szCs w:val="24"/>
            </w:rPr>
            <w:t>Works Cited</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_Toc286437131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44</w:t>
          </w:r>
          <w:r w:rsidRPr="00ED7C8D">
            <w:rPr>
              <w:rFonts w:ascii="Arial" w:hAnsi="Arial"/>
              <w:caps w:val="0"/>
              <w:noProof/>
              <w:sz w:val="24"/>
              <w:szCs w:val="24"/>
            </w:rPr>
            <w:fldChar w:fldCharType="end"/>
          </w:r>
        </w:p>
        <w:p w14:paraId="2D9F4514" w14:textId="7056F425"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Cited Within The Text</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_Toc286437132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44</w:t>
          </w:r>
          <w:r w:rsidRPr="00ED7C8D">
            <w:rPr>
              <w:rFonts w:ascii="Arial" w:hAnsi="Arial"/>
              <w:smallCaps w:val="0"/>
              <w:noProof/>
              <w:sz w:val="24"/>
              <w:szCs w:val="24"/>
            </w:rPr>
            <w:fldChar w:fldCharType="end"/>
          </w:r>
        </w:p>
        <w:p w14:paraId="5229ECCD" w14:textId="593C928A"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Successfully Extracted</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_Toc286437133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47</w:t>
          </w:r>
          <w:r w:rsidRPr="00ED7C8D">
            <w:rPr>
              <w:rFonts w:ascii="Arial" w:hAnsi="Arial"/>
              <w:smallCaps w:val="0"/>
              <w:noProof/>
              <w:sz w:val="24"/>
              <w:szCs w:val="24"/>
            </w:rPr>
            <w:fldChar w:fldCharType="end"/>
          </w:r>
        </w:p>
        <w:p w14:paraId="2D6E5AD3" w14:textId="6EA997CF"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Deemed Not Of Interest – Can Be Inputted</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_Toc286437134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96</w:t>
          </w:r>
          <w:r w:rsidRPr="00ED7C8D">
            <w:rPr>
              <w:rFonts w:ascii="Arial" w:hAnsi="Arial"/>
              <w:smallCaps w:val="0"/>
              <w:noProof/>
              <w:sz w:val="24"/>
              <w:szCs w:val="24"/>
            </w:rPr>
            <w:fldChar w:fldCharType="end"/>
          </w:r>
        </w:p>
        <w:p w14:paraId="7D9F2F22" w14:textId="4BC4F471"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Deemed Not Of Interest – Imaging (Not Suitable)</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_Toc286437135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96</w:t>
          </w:r>
          <w:r w:rsidRPr="00ED7C8D">
            <w:rPr>
              <w:rFonts w:ascii="Arial" w:hAnsi="Arial"/>
              <w:smallCaps w:val="0"/>
              <w:noProof/>
              <w:sz w:val="24"/>
              <w:szCs w:val="24"/>
            </w:rPr>
            <w:fldChar w:fldCharType="end"/>
          </w:r>
        </w:p>
        <w:p w14:paraId="5EE02D6D" w14:textId="3C9A86F8"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Deemed Not Of Interest – Meta- Analysis/Systematic Review</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_Toc286437136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102</w:t>
          </w:r>
          <w:r w:rsidRPr="00ED7C8D">
            <w:rPr>
              <w:rFonts w:ascii="Arial" w:hAnsi="Arial"/>
              <w:smallCaps w:val="0"/>
              <w:noProof/>
              <w:sz w:val="24"/>
              <w:szCs w:val="24"/>
            </w:rPr>
            <w:fldChar w:fldCharType="end"/>
          </w:r>
        </w:p>
        <w:p w14:paraId="593B9506" w14:textId="55608E41"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Deemed Not Of Interest – No Absolute Information</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_Toc286437137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111</w:t>
          </w:r>
          <w:r w:rsidRPr="00ED7C8D">
            <w:rPr>
              <w:rFonts w:ascii="Arial" w:hAnsi="Arial"/>
              <w:smallCaps w:val="0"/>
              <w:noProof/>
              <w:sz w:val="24"/>
              <w:szCs w:val="24"/>
            </w:rPr>
            <w:fldChar w:fldCharType="end"/>
          </w:r>
        </w:p>
        <w:p w14:paraId="5DD0ECA2" w14:textId="6A93A1D2"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Deemed Not Of Interest – More Than 10 Outcomes Reported</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_Toc286437138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122</w:t>
          </w:r>
          <w:r w:rsidRPr="00ED7C8D">
            <w:rPr>
              <w:rFonts w:ascii="Arial" w:hAnsi="Arial"/>
              <w:smallCaps w:val="0"/>
              <w:noProof/>
              <w:sz w:val="24"/>
              <w:szCs w:val="24"/>
            </w:rPr>
            <w:fldChar w:fldCharType="end"/>
          </w:r>
        </w:p>
        <w:p w14:paraId="3312DA72" w14:textId="098057CB"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Deemed Not Of Interest – Not Suitable</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_Toc286437139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130</w:t>
          </w:r>
          <w:r w:rsidRPr="00ED7C8D">
            <w:rPr>
              <w:rFonts w:ascii="Arial" w:hAnsi="Arial"/>
              <w:smallCaps w:val="0"/>
              <w:noProof/>
              <w:sz w:val="24"/>
              <w:szCs w:val="24"/>
            </w:rPr>
            <w:fldChar w:fldCharType="end"/>
          </w:r>
        </w:p>
        <w:p w14:paraId="755307D9" w14:textId="69ED0162"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Deemed Not Of Interest – PDF Not Available</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_Toc286437140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152</w:t>
          </w:r>
          <w:r w:rsidRPr="00ED7C8D">
            <w:rPr>
              <w:rFonts w:ascii="Arial" w:hAnsi="Arial"/>
              <w:smallCaps w:val="0"/>
              <w:noProof/>
              <w:sz w:val="24"/>
              <w:szCs w:val="24"/>
            </w:rPr>
            <w:fldChar w:fldCharType="end"/>
          </w:r>
        </w:p>
        <w:p w14:paraId="0D611821" w14:textId="0B237C9B"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Articles From Feasibility Study</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_Toc286437141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158</w:t>
          </w:r>
          <w:r w:rsidRPr="00ED7C8D">
            <w:rPr>
              <w:rFonts w:ascii="Arial" w:hAnsi="Arial"/>
              <w:smallCaps w:val="0"/>
              <w:noProof/>
              <w:sz w:val="24"/>
              <w:szCs w:val="24"/>
            </w:rPr>
            <w:fldChar w:fldCharType="end"/>
          </w:r>
        </w:p>
        <w:p w14:paraId="60E76D0C" w14:textId="387700BA"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Appendix 1</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_Toc286437142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164</w:t>
          </w:r>
          <w:r w:rsidRPr="00ED7C8D">
            <w:rPr>
              <w:rFonts w:ascii="Arial" w:hAnsi="Arial"/>
              <w:caps w:val="0"/>
              <w:noProof/>
              <w:sz w:val="24"/>
              <w:szCs w:val="24"/>
            </w:rPr>
            <w:fldChar w:fldCharType="end"/>
          </w:r>
        </w:p>
        <w:p w14:paraId="294F5501" w14:textId="564B91AE"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PLUS System Logic And Inclusion Criteria</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_Toc286437143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164</w:t>
          </w:r>
          <w:r w:rsidRPr="00ED7C8D">
            <w:rPr>
              <w:rFonts w:ascii="Arial" w:hAnsi="Arial"/>
              <w:smallCaps w:val="0"/>
              <w:noProof/>
              <w:sz w:val="24"/>
              <w:szCs w:val="24"/>
            </w:rPr>
            <w:fldChar w:fldCharType="end"/>
          </w:r>
        </w:p>
        <w:p w14:paraId="637CD390" w14:textId="2590E5F0"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Appendix 2</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_Toc286437144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166</w:t>
          </w:r>
          <w:r w:rsidRPr="00ED7C8D">
            <w:rPr>
              <w:rFonts w:ascii="Arial" w:hAnsi="Arial"/>
              <w:caps w:val="0"/>
              <w:noProof/>
              <w:sz w:val="24"/>
              <w:szCs w:val="24"/>
            </w:rPr>
            <w:fldChar w:fldCharType="end"/>
          </w:r>
        </w:p>
        <w:p w14:paraId="46CD311A" w14:textId="41184E2E"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Development Of Feasibility Data Extraction Process</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_Toc286437145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166</w:t>
          </w:r>
          <w:r w:rsidRPr="00ED7C8D">
            <w:rPr>
              <w:rFonts w:ascii="Arial" w:hAnsi="Arial"/>
              <w:smallCaps w:val="0"/>
              <w:noProof/>
              <w:sz w:val="24"/>
              <w:szCs w:val="24"/>
            </w:rPr>
            <w:fldChar w:fldCharType="end"/>
          </w:r>
        </w:p>
        <w:p w14:paraId="48E17A9A" w14:textId="78893EB3"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Appendix 3</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_Toc286437146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174</w:t>
          </w:r>
          <w:r w:rsidRPr="00ED7C8D">
            <w:rPr>
              <w:rFonts w:ascii="Arial" w:hAnsi="Arial"/>
              <w:caps w:val="0"/>
              <w:noProof/>
              <w:sz w:val="24"/>
              <w:szCs w:val="24"/>
            </w:rPr>
            <w:fldChar w:fldCharType="end"/>
          </w:r>
        </w:p>
        <w:p w14:paraId="0D293CB7" w14:textId="366F677A"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Field Descriptions For Feasibility Study</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_Toc286437147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174</w:t>
          </w:r>
          <w:r w:rsidRPr="00ED7C8D">
            <w:rPr>
              <w:rFonts w:ascii="Arial" w:hAnsi="Arial"/>
              <w:smallCaps w:val="0"/>
              <w:noProof/>
              <w:sz w:val="24"/>
              <w:szCs w:val="24"/>
            </w:rPr>
            <w:fldChar w:fldCharType="end"/>
          </w:r>
        </w:p>
        <w:p w14:paraId="020AF8FF" w14:textId="5678593C" w:rsidR="0014113C" w:rsidRPr="00ED7C8D" w:rsidRDefault="0014113C">
          <w:pPr>
            <w:pStyle w:val="TOC1"/>
            <w:tabs>
              <w:tab w:val="right" w:pos="8630"/>
            </w:tabs>
            <w:rPr>
              <w:rFonts w:ascii="Arial" w:eastAsiaTheme="minorEastAsia" w:hAnsi="Arial" w:cstheme="minorBidi"/>
              <w:b w:val="0"/>
              <w:caps w:val="0"/>
              <w:noProof/>
              <w:sz w:val="24"/>
              <w:szCs w:val="24"/>
              <w:u w:val="none"/>
              <w:bdr w:val="none" w:sz="0" w:space="0" w:color="auto"/>
              <w:lang w:val="en-CA" w:eastAsia="ja-JP"/>
            </w:rPr>
          </w:pPr>
          <w:r w:rsidRPr="00ED7C8D">
            <w:rPr>
              <w:rFonts w:ascii="Arial" w:hAnsi="Arial" w:cs="Arial"/>
              <w:caps w:val="0"/>
              <w:noProof/>
              <w:sz w:val="24"/>
              <w:szCs w:val="24"/>
            </w:rPr>
            <w:t>Appendix 4</w:t>
          </w:r>
          <w:r w:rsidRPr="00ED7C8D">
            <w:rPr>
              <w:rFonts w:ascii="Arial" w:hAnsi="Arial"/>
              <w:caps w:val="0"/>
              <w:noProof/>
              <w:sz w:val="24"/>
              <w:szCs w:val="24"/>
            </w:rPr>
            <w:tab/>
          </w:r>
          <w:r w:rsidRPr="00ED7C8D">
            <w:rPr>
              <w:rFonts w:ascii="Arial" w:hAnsi="Arial"/>
              <w:caps w:val="0"/>
              <w:noProof/>
              <w:sz w:val="24"/>
              <w:szCs w:val="24"/>
            </w:rPr>
            <w:fldChar w:fldCharType="begin"/>
          </w:r>
          <w:r w:rsidRPr="00ED7C8D">
            <w:rPr>
              <w:rFonts w:ascii="Arial" w:hAnsi="Arial"/>
              <w:caps w:val="0"/>
              <w:noProof/>
              <w:sz w:val="24"/>
              <w:szCs w:val="24"/>
            </w:rPr>
            <w:instrText xml:space="preserve"> PAGEREF _Toc286437148 \h </w:instrText>
          </w:r>
          <w:r w:rsidRPr="00ED7C8D">
            <w:rPr>
              <w:rFonts w:ascii="Arial" w:hAnsi="Arial"/>
              <w:caps w:val="0"/>
              <w:noProof/>
              <w:sz w:val="24"/>
              <w:szCs w:val="24"/>
            </w:rPr>
          </w:r>
          <w:r w:rsidRPr="00ED7C8D">
            <w:rPr>
              <w:rFonts w:ascii="Arial" w:hAnsi="Arial"/>
              <w:caps w:val="0"/>
              <w:noProof/>
              <w:sz w:val="24"/>
              <w:szCs w:val="24"/>
            </w:rPr>
            <w:fldChar w:fldCharType="separate"/>
          </w:r>
          <w:r w:rsidR="005965AF">
            <w:rPr>
              <w:rFonts w:ascii="Arial" w:hAnsi="Arial"/>
              <w:caps w:val="0"/>
              <w:noProof/>
              <w:sz w:val="24"/>
              <w:szCs w:val="24"/>
            </w:rPr>
            <w:t>177</w:t>
          </w:r>
          <w:r w:rsidRPr="00ED7C8D">
            <w:rPr>
              <w:rFonts w:ascii="Arial" w:hAnsi="Arial"/>
              <w:caps w:val="0"/>
              <w:noProof/>
              <w:sz w:val="24"/>
              <w:szCs w:val="24"/>
            </w:rPr>
            <w:fldChar w:fldCharType="end"/>
          </w:r>
        </w:p>
        <w:p w14:paraId="79FF112B" w14:textId="06108A02" w:rsidR="0014113C" w:rsidRPr="00ED7C8D" w:rsidRDefault="0014113C">
          <w:pPr>
            <w:pStyle w:val="TOC3"/>
            <w:tabs>
              <w:tab w:val="right" w:pos="8630"/>
            </w:tabs>
            <w:rPr>
              <w:rFonts w:ascii="Arial" w:eastAsiaTheme="minorEastAsia" w:hAnsi="Arial" w:cstheme="minorBidi"/>
              <w:smallCaps w:val="0"/>
              <w:noProof/>
              <w:sz w:val="24"/>
              <w:szCs w:val="24"/>
              <w:bdr w:val="none" w:sz="0" w:space="0" w:color="auto"/>
              <w:lang w:val="en-CA" w:eastAsia="ja-JP"/>
            </w:rPr>
          </w:pPr>
          <w:r w:rsidRPr="00ED7C8D">
            <w:rPr>
              <w:rFonts w:ascii="Arial" w:hAnsi="Arial" w:cs="Arial"/>
              <w:smallCaps w:val="0"/>
              <w:noProof/>
              <w:sz w:val="24"/>
              <w:szCs w:val="24"/>
            </w:rPr>
            <w:t>Sample Extraction Using Macprognosis</w:t>
          </w:r>
          <w:r w:rsidRPr="00ED7C8D">
            <w:rPr>
              <w:rFonts w:ascii="Arial" w:hAnsi="Arial"/>
              <w:smallCaps w:val="0"/>
              <w:noProof/>
              <w:sz w:val="24"/>
              <w:szCs w:val="24"/>
            </w:rPr>
            <w:tab/>
          </w:r>
          <w:r w:rsidRPr="00ED7C8D">
            <w:rPr>
              <w:rFonts w:ascii="Arial" w:hAnsi="Arial"/>
              <w:smallCaps w:val="0"/>
              <w:noProof/>
              <w:sz w:val="24"/>
              <w:szCs w:val="24"/>
            </w:rPr>
            <w:fldChar w:fldCharType="begin"/>
          </w:r>
          <w:r w:rsidRPr="00ED7C8D">
            <w:rPr>
              <w:rFonts w:ascii="Arial" w:hAnsi="Arial"/>
              <w:smallCaps w:val="0"/>
              <w:noProof/>
              <w:sz w:val="24"/>
              <w:szCs w:val="24"/>
            </w:rPr>
            <w:instrText xml:space="preserve"> PAGEREF _Toc286437149 \h </w:instrText>
          </w:r>
          <w:r w:rsidRPr="00ED7C8D">
            <w:rPr>
              <w:rFonts w:ascii="Arial" w:hAnsi="Arial"/>
              <w:smallCaps w:val="0"/>
              <w:noProof/>
              <w:sz w:val="24"/>
              <w:szCs w:val="24"/>
            </w:rPr>
          </w:r>
          <w:r w:rsidRPr="00ED7C8D">
            <w:rPr>
              <w:rFonts w:ascii="Arial" w:hAnsi="Arial"/>
              <w:smallCaps w:val="0"/>
              <w:noProof/>
              <w:sz w:val="24"/>
              <w:szCs w:val="24"/>
            </w:rPr>
            <w:fldChar w:fldCharType="separate"/>
          </w:r>
          <w:r w:rsidR="005965AF">
            <w:rPr>
              <w:rFonts w:ascii="Arial" w:hAnsi="Arial"/>
              <w:smallCaps w:val="0"/>
              <w:noProof/>
              <w:sz w:val="24"/>
              <w:szCs w:val="24"/>
            </w:rPr>
            <w:t>177</w:t>
          </w:r>
          <w:r w:rsidRPr="00ED7C8D">
            <w:rPr>
              <w:rFonts w:ascii="Arial" w:hAnsi="Arial"/>
              <w:smallCaps w:val="0"/>
              <w:noProof/>
              <w:sz w:val="24"/>
              <w:szCs w:val="24"/>
            </w:rPr>
            <w:fldChar w:fldCharType="end"/>
          </w:r>
        </w:p>
        <w:p w14:paraId="4A781828" w14:textId="353F16D4" w:rsidR="003818BB" w:rsidRPr="009E57CF" w:rsidRDefault="00B01DBC" w:rsidP="009E57CF">
          <w:pPr>
            <w:rPr>
              <w:rFonts w:ascii="Arial" w:hAnsi="Arial" w:cs="Arial"/>
            </w:rPr>
          </w:pPr>
          <w:r w:rsidRPr="0014113C">
            <w:rPr>
              <w:rFonts w:ascii="Arial" w:hAnsi="Arial" w:cs="Arial"/>
              <w:b/>
              <w:bCs/>
              <w:noProof/>
            </w:rPr>
            <w:fldChar w:fldCharType="end"/>
          </w:r>
        </w:p>
      </w:sdtContent>
    </w:sdt>
    <w:bookmarkStart w:id="3" w:name="_Toc271280669" w:displacedByCustomXml="prev"/>
    <w:p w14:paraId="52004E74" w14:textId="77777777" w:rsidR="00CE7704" w:rsidRDefault="00CE7704" w:rsidP="009E57CF">
      <w:pPr>
        <w:pStyle w:val="Heading1"/>
        <w:spacing w:line="360" w:lineRule="auto"/>
        <w:rPr>
          <w:rFonts w:ascii="Arial" w:hAnsi="Arial" w:cs="Arial"/>
        </w:rPr>
      </w:pPr>
      <w:bookmarkStart w:id="4" w:name="_Toc286437106"/>
    </w:p>
    <w:p w14:paraId="70CE94F9" w14:textId="77777777" w:rsidR="00CE7704" w:rsidRDefault="00CE7704" w:rsidP="009E57CF">
      <w:pPr>
        <w:pStyle w:val="Heading1"/>
        <w:spacing w:line="360" w:lineRule="auto"/>
        <w:rPr>
          <w:rFonts w:ascii="Arial" w:hAnsi="Arial" w:cs="Arial"/>
        </w:rPr>
      </w:pPr>
    </w:p>
    <w:p w14:paraId="403616AF" w14:textId="77777777" w:rsidR="00CE7704" w:rsidRDefault="00CE7704" w:rsidP="009E57CF">
      <w:pPr>
        <w:pStyle w:val="Heading1"/>
        <w:spacing w:line="360" w:lineRule="auto"/>
        <w:rPr>
          <w:rFonts w:ascii="Arial" w:hAnsi="Arial" w:cs="Arial"/>
        </w:rPr>
      </w:pPr>
    </w:p>
    <w:p w14:paraId="761105B9" w14:textId="77777777" w:rsidR="00CE7704" w:rsidRDefault="00CE7704" w:rsidP="009E57CF">
      <w:pPr>
        <w:pStyle w:val="Heading1"/>
        <w:spacing w:line="360" w:lineRule="auto"/>
        <w:rPr>
          <w:rFonts w:ascii="Arial" w:hAnsi="Arial" w:cs="Arial"/>
        </w:rPr>
      </w:pPr>
    </w:p>
    <w:p w14:paraId="070EC276" w14:textId="77777777" w:rsidR="00CE7704" w:rsidRDefault="00CE7704" w:rsidP="009E57CF">
      <w:pPr>
        <w:pStyle w:val="Heading1"/>
        <w:spacing w:line="360" w:lineRule="auto"/>
        <w:rPr>
          <w:rFonts w:ascii="Arial" w:hAnsi="Arial" w:cs="Arial"/>
        </w:rPr>
      </w:pPr>
    </w:p>
    <w:p w14:paraId="5C46D586" w14:textId="77777777" w:rsidR="00CE7704" w:rsidRDefault="00CE7704" w:rsidP="00ED7C8D"/>
    <w:p w14:paraId="247A5969" w14:textId="77777777" w:rsidR="00CE7704" w:rsidRDefault="00CE7704" w:rsidP="00ED7C8D"/>
    <w:p w14:paraId="04C4E1EC" w14:textId="77777777" w:rsidR="00CE7704" w:rsidRPr="00ED7C8D" w:rsidRDefault="00CE7704" w:rsidP="00ED7C8D"/>
    <w:p w14:paraId="63D110D0" w14:textId="505B8AB9" w:rsidR="002C221C" w:rsidRPr="009E57CF" w:rsidRDefault="002C221C" w:rsidP="009E57CF">
      <w:pPr>
        <w:pStyle w:val="Heading1"/>
        <w:spacing w:line="360" w:lineRule="auto"/>
        <w:rPr>
          <w:rFonts w:ascii="Arial" w:hAnsi="Arial" w:cs="Arial"/>
        </w:rPr>
      </w:pPr>
      <w:r w:rsidRPr="009E57CF">
        <w:rPr>
          <w:rFonts w:ascii="Arial" w:hAnsi="Arial" w:cs="Arial"/>
        </w:rPr>
        <w:t>List of Illustrations, Charts and Diagrams</w:t>
      </w:r>
      <w:bookmarkEnd w:id="4"/>
      <w:bookmarkEnd w:id="3"/>
    </w:p>
    <w:bookmarkStart w:id="5" w:name="_Toc271280670"/>
    <w:p w14:paraId="586903B2" w14:textId="1A98FC48" w:rsidR="00637DDF" w:rsidRPr="00ED7C8D" w:rsidRDefault="00CC7E17">
      <w:pPr>
        <w:pStyle w:val="TableofFigures"/>
        <w:tabs>
          <w:tab w:val="right" w:leader="dot" w:pos="8630"/>
        </w:tabs>
        <w:rPr>
          <w:rFonts w:ascii="Arial" w:eastAsiaTheme="minorEastAsia" w:hAnsi="Arial" w:cstheme="minorBidi"/>
          <w:caps w:val="0"/>
          <w:noProof/>
          <w:sz w:val="24"/>
          <w:szCs w:val="24"/>
          <w:bdr w:val="none" w:sz="0" w:space="0" w:color="auto"/>
          <w:lang w:val="en-CA" w:eastAsia="ja-JP"/>
        </w:rPr>
      </w:pPr>
      <w:r w:rsidRPr="0014113C">
        <w:rPr>
          <w:rFonts w:ascii="Arial" w:hAnsi="Arial" w:cs="Arial"/>
          <w:caps w:val="0"/>
          <w:sz w:val="24"/>
          <w:szCs w:val="24"/>
        </w:rPr>
        <w:fldChar w:fldCharType="begin"/>
      </w:r>
      <w:r w:rsidRPr="00637DDF">
        <w:rPr>
          <w:rFonts w:ascii="Arial" w:hAnsi="Arial" w:cs="Arial"/>
          <w:caps w:val="0"/>
          <w:sz w:val="24"/>
          <w:szCs w:val="24"/>
        </w:rPr>
        <w:instrText xml:space="preserve"> TOC \c "Figure" </w:instrText>
      </w:r>
      <w:r w:rsidRPr="0014113C">
        <w:rPr>
          <w:rFonts w:ascii="Arial" w:hAnsi="Arial" w:cs="Arial"/>
          <w:caps w:val="0"/>
          <w:sz w:val="24"/>
          <w:szCs w:val="24"/>
        </w:rPr>
        <w:fldChar w:fldCharType="separate"/>
      </w:r>
      <w:r w:rsidR="00637DDF" w:rsidRPr="00ED7C8D">
        <w:rPr>
          <w:rFonts w:ascii="Arial" w:hAnsi="Arial" w:cs="Arial"/>
          <w:caps w:val="0"/>
          <w:noProof/>
          <w:sz w:val="24"/>
          <w:szCs w:val="24"/>
        </w:rPr>
        <w:t>Figure 1: Feasibility Testing Database Schema</w:t>
      </w:r>
      <w:r w:rsidR="00637DDF" w:rsidRPr="00ED7C8D">
        <w:rPr>
          <w:rFonts w:ascii="Arial" w:hAnsi="Arial"/>
          <w:caps w:val="0"/>
          <w:noProof/>
          <w:sz w:val="24"/>
          <w:szCs w:val="24"/>
        </w:rPr>
        <w:tab/>
      </w:r>
      <w:r w:rsidR="00637DDF" w:rsidRPr="00ED7C8D">
        <w:rPr>
          <w:rFonts w:ascii="Arial" w:hAnsi="Arial"/>
          <w:noProof/>
          <w:sz w:val="24"/>
          <w:szCs w:val="24"/>
        </w:rPr>
        <w:fldChar w:fldCharType="begin"/>
      </w:r>
      <w:r w:rsidR="00637DDF" w:rsidRPr="00ED7C8D">
        <w:rPr>
          <w:rFonts w:ascii="Arial" w:hAnsi="Arial"/>
          <w:noProof/>
          <w:sz w:val="24"/>
          <w:szCs w:val="24"/>
        </w:rPr>
        <w:instrText xml:space="preserve"> PAGEREF _Toc286417153 \h </w:instrText>
      </w:r>
      <w:r w:rsidR="00637DDF" w:rsidRPr="00ED7C8D">
        <w:rPr>
          <w:rFonts w:ascii="Arial" w:hAnsi="Arial"/>
          <w:noProof/>
          <w:sz w:val="24"/>
          <w:szCs w:val="24"/>
        </w:rPr>
      </w:r>
      <w:r w:rsidR="00637DDF" w:rsidRPr="00ED7C8D">
        <w:rPr>
          <w:rFonts w:ascii="Arial" w:hAnsi="Arial"/>
          <w:noProof/>
          <w:sz w:val="24"/>
          <w:szCs w:val="24"/>
        </w:rPr>
        <w:fldChar w:fldCharType="separate"/>
      </w:r>
      <w:r w:rsidR="00E817BA">
        <w:rPr>
          <w:rFonts w:ascii="Arial" w:hAnsi="Arial"/>
          <w:noProof/>
          <w:sz w:val="24"/>
          <w:szCs w:val="24"/>
        </w:rPr>
        <w:t>15</w:t>
      </w:r>
      <w:r w:rsidR="00637DDF" w:rsidRPr="00ED7C8D">
        <w:rPr>
          <w:rFonts w:ascii="Arial" w:hAnsi="Arial"/>
          <w:noProof/>
          <w:sz w:val="24"/>
          <w:szCs w:val="24"/>
        </w:rPr>
        <w:fldChar w:fldCharType="end"/>
      </w:r>
    </w:p>
    <w:p w14:paraId="4FBFA751" w14:textId="59C8F778" w:rsidR="00637DDF" w:rsidRPr="00ED7C8D" w:rsidRDefault="00637DDF">
      <w:pPr>
        <w:pStyle w:val="TableofFigures"/>
        <w:tabs>
          <w:tab w:val="right" w:leader="dot" w:pos="8630"/>
        </w:tabs>
        <w:rPr>
          <w:rFonts w:ascii="Arial" w:eastAsiaTheme="minorEastAsia" w:hAnsi="Arial" w:cstheme="minorBidi"/>
          <w:caps w:val="0"/>
          <w:noProof/>
          <w:sz w:val="24"/>
          <w:szCs w:val="24"/>
          <w:bdr w:val="none" w:sz="0" w:space="0" w:color="auto"/>
          <w:lang w:val="en-CA" w:eastAsia="ja-JP"/>
        </w:rPr>
      </w:pPr>
      <w:r w:rsidRPr="00ED7C8D">
        <w:rPr>
          <w:rFonts w:ascii="Arial" w:hAnsi="Arial" w:cs="Arial"/>
          <w:caps w:val="0"/>
          <w:noProof/>
          <w:sz w:val="24"/>
          <w:szCs w:val="24"/>
        </w:rPr>
        <w:t xml:space="preserve">Figure 2: First Iteration Of </w:t>
      </w:r>
      <w:r w:rsidR="00EE02D4">
        <w:rPr>
          <w:rFonts w:ascii="Arial" w:hAnsi="Arial" w:cs="Arial"/>
          <w:caps w:val="0"/>
          <w:noProof/>
          <w:sz w:val="24"/>
          <w:szCs w:val="24"/>
        </w:rPr>
        <w:t>EForm-based</w:t>
      </w:r>
      <w:r w:rsidRPr="00ED7C8D">
        <w:rPr>
          <w:rFonts w:ascii="Arial" w:hAnsi="Arial" w:cs="Arial"/>
          <w:caps w:val="0"/>
          <w:noProof/>
          <w:sz w:val="24"/>
          <w:szCs w:val="24"/>
        </w:rPr>
        <w:t xml:space="preserve"> Database Schema</w:t>
      </w:r>
      <w:r w:rsidRPr="00ED7C8D">
        <w:rPr>
          <w:rFonts w:ascii="Arial" w:hAnsi="Arial"/>
          <w:caps w:val="0"/>
          <w:noProof/>
          <w:sz w:val="24"/>
          <w:szCs w:val="24"/>
        </w:rPr>
        <w:tab/>
      </w:r>
      <w:r w:rsidRPr="00ED7C8D">
        <w:rPr>
          <w:rFonts w:ascii="Arial" w:hAnsi="Arial"/>
          <w:noProof/>
          <w:sz w:val="24"/>
          <w:szCs w:val="24"/>
        </w:rPr>
        <w:fldChar w:fldCharType="begin"/>
      </w:r>
      <w:r w:rsidRPr="00ED7C8D">
        <w:rPr>
          <w:rFonts w:ascii="Arial" w:hAnsi="Arial"/>
          <w:noProof/>
          <w:sz w:val="24"/>
          <w:szCs w:val="24"/>
        </w:rPr>
        <w:instrText xml:space="preserve"> PAGEREF _Toc286417154 \h </w:instrText>
      </w:r>
      <w:r w:rsidRPr="00ED7C8D">
        <w:rPr>
          <w:rFonts w:ascii="Arial" w:hAnsi="Arial"/>
          <w:noProof/>
          <w:sz w:val="24"/>
          <w:szCs w:val="24"/>
        </w:rPr>
      </w:r>
      <w:r w:rsidRPr="00ED7C8D">
        <w:rPr>
          <w:rFonts w:ascii="Arial" w:hAnsi="Arial"/>
          <w:noProof/>
          <w:sz w:val="24"/>
          <w:szCs w:val="24"/>
        </w:rPr>
        <w:fldChar w:fldCharType="separate"/>
      </w:r>
      <w:r w:rsidR="00E817BA">
        <w:rPr>
          <w:rFonts w:ascii="Arial" w:hAnsi="Arial"/>
          <w:noProof/>
          <w:sz w:val="24"/>
          <w:szCs w:val="24"/>
        </w:rPr>
        <w:t>15</w:t>
      </w:r>
      <w:r w:rsidRPr="00ED7C8D">
        <w:rPr>
          <w:rFonts w:ascii="Arial" w:hAnsi="Arial"/>
          <w:noProof/>
          <w:sz w:val="24"/>
          <w:szCs w:val="24"/>
        </w:rPr>
        <w:fldChar w:fldCharType="end"/>
      </w:r>
    </w:p>
    <w:p w14:paraId="0682BE99" w14:textId="7F56A818" w:rsidR="00637DDF" w:rsidRPr="00ED7C8D" w:rsidRDefault="00637DDF">
      <w:pPr>
        <w:pStyle w:val="TableofFigures"/>
        <w:tabs>
          <w:tab w:val="right" w:leader="dot" w:pos="8630"/>
        </w:tabs>
        <w:rPr>
          <w:rFonts w:ascii="Arial" w:eastAsiaTheme="minorEastAsia" w:hAnsi="Arial" w:cstheme="minorBidi"/>
          <w:caps w:val="0"/>
          <w:noProof/>
          <w:sz w:val="24"/>
          <w:szCs w:val="24"/>
          <w:bdr w:val="none" w:sz="0" w:space="0" w:color="auto"/>
          <w:lang w:val="en-CA" w:eastAsia="ja-JP"/>
        </w:rPr>
      </w:pPr>
      <w:r w:rsidRPr="00ED7C8D">
        <w:rPr>
          <w:rFonts w:ascii="Arial" w:hAnsi="Arial" w:cs="Arial"/>
          <w:caps w:val="0"/>
          <w:noProof/>
          <w:sz w:val="24"/>
          <w:szCs w:val="24"/>
        </w:rPr>
        <w:t>Figure 3: Final Iteration Of Database Schema For Model With Annotated Changes</w:t>
      </w:r>
      <w:r w:rsidRPr="00ED7C8D">
        <w:rPr>
          <w:rFonts w:ascii="Arial" w:hAnsi="Arial"/>
          <w:caps w:val="0"/>
          <w:noProof/>
          <w:sz w:val="24"/>
          <w:szCs w:val="24"/>
        </w:rPr>
        <w:tab/>
      </w:r>
      <w:r w:rsidRPr="00ED7C8D">
        <w:rPr>
          <w:rFonts w:ascii="Arial" w:hAnsi="Arial"/>
          <w:noProof/>
          <w:sz w:val="24"/>
          <w:szCs w:val="24"/>
        </w:rPr>
        <w:fldChar w:fldCharType="begin"/>
      </w:r>
      <w:r w:rsidRPr="00ED7C8D">
        <w:rPr>
          <w:rFonts w:ascii="Arial" w:hAnsi="Arial"/>
          <w:noProof/>
          <w:sz w:val="24"/>
          <w:szCs w:val="24"/>
        </w:rPr>
        <w:instrText xml:space="preserve"> PAGEREF _Toc286417155 \h </w:instrText>
      </w:r>
      <w:r w:rsidRPr="00ED7C8D">
        <w:rPr>
          <w:rFonts w:ascii="Arial" w:hAnsi="Arial"/>
          <w:noProof/>
          <w:sz w:val="24"/>
          <w:szCs w:val="24"/>
        </w:rPr>
      </w:r>
      <w:r w:rsidRPr="00ED7C8D">
        <w:rPr>
          <w:rFonts w:ascii="Arial" w:hAnsi="Arial"/>
          <w:noProof/>
          <w:sz w:val="24"/>
          <w:szCs w:val="24"/>
        </w:rPr>
        <w:fldChar w:fldCharType="separate"/>
      </w:r>
      <w:r w:rsidR="00E817BA">
        <w:rPr>
          <w:rFonts w:ascii="Arial" w:hAnsi="Arial"/>
          <w:noProof/>
          <w:sz w:val="24"/>
          <w:szCs w:val="24"/>
        </w:rPr>
        <w:t>26</w:t>
      </w:r>
      <w:r w:rsidRPr="00ED7C8D">
        <w:rPr>
          <w:rFonts w:ascii="Arial" w:hAnsi="Arial"/>
          <w:noProof/>
          <w:sz w:val="24"/>
          <w:szCs w:val="24"/>
        </w:rPr>
        <w:fldChar w:fldCharType="end"/>
      </w:r>
    </w:p>
    <w:p w14:paraId="60D6A3D6" w14:textId="0580A083" w:rsidR="00637DDF" w:rsidRPr="00ED7C8D" w:rsidRDefault="00637DDF">
      <w:pPr>
        <w:pStyle w:val="TableofFigures"/>
        <w:tabs>
          <w:tab w:val="right" w:leader="dot" w:pos="8630"/>
        </w:tabs>
        <w:rPr>
          <w:rFonts w:ascii="Arial" w:eastAsiaTheme="minorEastAsia" w:hAnsi="Arial" w:cstheme="minorBidi"/>
          <w:caps w:val="0"/>
          <w:noProof/>
          <w:sz w:val="24"/>
          <w:szCs w:val="24"/>
          <w:bdr w:val="none" w:sz="0" w:space="0" w:color="auto"/>
          <w:lang w:val="en-CA" w:eastAsia="ja-JP"/>
        </w:rPr>
      </w:pPr>
      <w:r w:rsidRPr="00ED7C8D">
        <w:rPr>
          <w:rFonts w:ascii="Arial" w:hAnsi="Arial" w:cs="Arial"/>
          <w:caps w:val="0"/>
          <w:noProof/>
          <w:sz w:val="24"/>
          <w:szCs w:val="24"/>
        </w:rPr>
        <w:t>Figure 4: Annotated Screenshot Of The Macprognosis Interface Detailing Major Functions Of The Page</w:t>
      </w:r>
      <w:r w:rsidRPr="00ED7C8D">
        <w:rPr>
          <w:rFonts w:ascii="Arial" w:hAnsi="Arial"/>
          <w:caps w:val="0"/>
          <w:noProof/>
          <w:sz w:val="24"/>
          <w:szCs w:val="24"/>
        </w:rPr>
        <w:tab/>
      </w:r>
      <w:r w:rsidRPr="00ED7C8D">
        <w:rPr>
          <w:rFonts w:ascii="Arial" w:hAnsi="Arial"/>
          <w:noProof/>
          <w:sz w:val="24"/>
          <w:szCs w:val="24"/>
        </w:rPr>
        <w:fldChar w:fldCharType="begin"/>
      </w:r>
      <w:r w:rsidRPr="00ED7C8D">
        <w:rPr>
          <w:rFonts w:ascii="Arial" w:hAnsi="Arial"/>
          <w:noProof/>
          <w:sz w:val="24"/>
          <w:szCs w:val="24"/>
        </w:rPr>
        <w:instrText xml:space="preserve"> PAGEREF _Toc286417156 \h </w:instrText>
      </w:r>
      <w:r w:rsidRPr="00ED7C8D">
        <w:rPr>
          <w:rFonts w:ascii="Arial" w:hAnsi="Arial"/>
          <w:noProof/>
          <w:sz w:val="24"/>
          <w:szCs w:val="24"/>
        </w:rPr>
      </w:r>
      <w:r w:rsidRPr="00ED7C8D">
        <w:rPr>
          <w:rFonts w:ascii="Arial" w:hAnsi="Arial"/>
          <w:noProof/>
          <w:sz w:val="24"/>
          <w:szCs w:val="24"/>
        </w:rPr>
        <w:fldChar w:fldCharType="separate"/>
      </w:r>
      <w:r w:rsidR="00E817BA">
        <w:rPr>
          <w:rFonts w:ascii="Arial" w:hAnsi="Arial"/>
          <w:noProof/>
          <w:sz w:val="24"/>
          <w:szCs w:val="24"/>
        </w:rPr>
        <w:t>27</w:t>
      </w:r>
      <w:r w:rsidRPr="00ED7C8D">
        <w:rPr>
          <w:rFonts w:ascii="Arial" w:hAnsi="Arial"/>
          <w:noProof/>
          <w:sz w:val="24"/>
          <w:szCs w:val="24"/>
        </w:rPr>
        <w:fldChar w:fldCharType="end"/>
      </w:r>
    </w:p>
    <w:p w14:paraId="255821AF" w14:textId="1A1BE859" w:rsidR="00637DDF" w:rsidRPr="00ED7C8D" w:rsidRDefault="00637DDF">
      <w:pPr>
        <w:pStyle w:val="TableofFigures"/>
        <w:tabs>
          <w:tab w:val="right" w:leader="dot" w:pos="8630"/>
        </w:tabs>
        <w:rPr>
          <w:rFonts w:ascii="Arial" w:eastAsiaTheme="minorEastAsia" w:hAnsi="Arial" w:cstheme="minorBidi"/>
          <w:caps w:val="0"/>
          <w:noProof/>
          <w:sz w:val="24"/>
          <w:szCs w:val="24"/>
          <w:bdr w:val="none" w:sz="0" w:space="0" w:color="auto"/>
          <w:lang w:val="en-CA" w:eastAsia="ja-JP"/>
        </w:rPr>
      </w:pPr>
      <w:r w:rsidRPr="00ED7C8D">
        <w:rPr>
          <w:rFonts w:ascii="Arial" w:hAnsi="Arial" w:cs="Arial"/>
          <w:caps w:val="0"/>
          <w:noProof/>
          <w:sz w:val="24"/>
          <w:szCs w:val="24"/>
        </w:rPr>
        <w:t>Figure 5: Macprognosis Snomed Tool</w:t>
      </w:r>
      <w:r w:rsidRPr="00ED7C8D">
        <w:rPr>
          <w:rFonts w:ascii="Arial" w:hAnsi="Arial"/>
          <w:caps w:val="0"/>
          <w:noProof/>
          <w:sz w:val="24"/>
          <w:szCs w:val="24"/>
        </w:rPr>
        <w:tab/>
      </w:r>
      <w:r w:rsidRPr="00ED7C8D">
        <w:rPr>
          <w:rFonts w:ascii="Arial" w:hAnsi="Arial"/>
          <w:noProof/>
          <w:sz w:val="24"/>
          <w:szCs w:val="24"/>
        </w:rPr>
        <w:fldChar w:fldCharType="begin"/>
      </w:r>
      <w:r w:rsidRPr="00ED7C8D">
        <w:rPr>
          <w:rFonts w:ascii="Arial" w:hAnsi="Arial"/>
          <w:noProof/>
          <w:sz w:val="24"/>
          <w:szCs w:val="24"/>
        </w:rPr>
        <w:instrText xml:space="preserve"> PAGEREF _Toc286417157 \h </w:instrText>
      </w:r>
      <w:r w:rsidRPr="00ED7C8D">
        <w:rPr>
          <w:rFonts w:ascii="Arial" w:hAnsi="Arial"/>
          <w:noProof/>
          <w:sz w:val="24"/>
          <w:szCs w:val="24"/>
        </w:rPr>
      </w:r>
      <w:r w:rsidRPr="00ED7C8D">
        <w:rPr>
          <w:rFonts w:ascii="Arial" w:hAnsi="Arial"/>
          <w:noProof/>
          <w:sz w:val="24"/>
          <w:szCs w:val="24"/>
        </w:rPr>
        <w:fldChar w:fldCharType="separate"/>
      </w:r>
      <w:r w:rsidR="00E817BA">
        <w:rPr>
          <w:rFonts w:ascii="Arial" w:hAnsi="Arial"/>
          <w:noProof/>
          <w:sz w:val="24"/>
          <w:szCs w:val="24"/>
        </w:rPr>
        <w:t>27</w:t>
      </w:r>
      <w:r w:rsidRPr="00ED7C8D">
        <w:rPr>
          <w:rFonts w:ascii="Arial" w:hAnsi="Arial"/>
          <w:noProof/>
          <w:sz w:val="24"/>
          <w:szCs w:val="24"/>
        </w:rPr>
        <w:fldChar w:fldCharType="end"/>
      </w:r>
    </w:p>
    <w:p w14:paraId="4111015A" w14:textId="1FCAC67B" w:rsidR="00637DDF" w:rsidRPr="00ED7C8D" w:rsidRDefault="00637DDF">
      <w:pPr>
        <w:pStyle w:val="TableofFigures"/>
        <w:tabs>
          <w:tab w:val="right" w:leader="dot" w:pos="8630"/>
        </w:tabs>
        <w:rPr>
          <w:rFonts w:ascii="Arial" w:eastAsiaTheme="minorEastAsia" w:hAnsi="Arial" w:cstheme="minorBidi"/>
          <w:caps w:val="0"/>
          <w:noProof/>
          <w:sz w:val="24"/>
          <w:szCs w:val="24"/>
          <w:bdr w:val="none" w:sz="0" w:space="0" w:color="auto"/>
          <w:lang w:val="en-CA" w:eastAsia="ja-JP"/>
        </w:rPr>
      </w:pPr>
      <w:r w:rsidRPr="00ED7C8D">
        <w:rPr>
          <w:rFonts w:ascii="Arial" w:hAnsi="Arial" w:cs="Arial"/>
          <w:caps w:val="0"/>
          <w:noProof/>
          <w:sz w:val="24"/>
          <w:szCs w:val="24"/>
        </w:rPr>
        <w:t>Figure 6: Macprognosis Search Results For Snomed Tool</w:t>
      </w:r>
      <w:r w:rsidRPr="00ED7C8D">
        <w:rPr>
          <w:rFonts w:ascii="Arial" w:hAnsi="Arial"/>
          <w:caps w:val="0"/>
          <w:noProof/>
          <w:sz w:val="24"/>
          <w:szCs w:val="24"/>
        </w:rPr>
        <w:tab/>
      </w:r>
      <w:r w:rsidRPr="00ED7C8D">
        <w:rPr>
          <w:rFonts w:ascii="Arial" w:hAnsi="Arial"/>
          <w:noProof/>
          <w:sz w:val="24"/>
          <w:szCs w:val="24"/>
        </w:rPr>
        <w:fldChar w:fldCharType="begin"/>
      </w:r>
      <w:r w:rsidRPr="00ED7C8D">
        <w:rPr>
          <w:rFonts w:ascii="Arial" w:hAnsi="Arial"/>
          <w:noProof/>
          <w:sz w:val="24"/>
          <w:szCs w:val="24"/>
        </w:rPr>
        <w:instrText xml:space="preserve"> PAGEREF _Toc286417158 \h </w:instrText>
      </w:r>
      <w:r w:rsidRPr="00ED7C8D">
        <w:rPr>
          <w:rFonts w:ascii="Arial" w:hAnsi="Arial"/>
          <w:noProof/>
          <w:sz w:val="24"/>
          <w:szCs w:val="24"/>
        </w:rPr>
      </w:r>
      <w:r w:rsidRPr="00ED7C8D">
        <w:rPr>
          <w:rFonts w:ascii="Arial" w:hAnsi="Arial"/>
          <w:noProof/>
          <w:sz w:val="24"/>
          <w:szCs w:val="24"/>
        </w:rPr>
        <w:fldChar w:fldCharType="separate"/>
      </w:r>
      <w:r w:rsidR="00E817BA">
        <w:rPr>
          <w:rFonts w:ascii="Arial" w:hAnsi="Arial"/>
          <w:noProof/>
          <w:sz w:val="24"/>
          <w:szCs w:val="24"/>
        </w:rPr>
        <w:t>28</w:t>
      </w:r>
      <w:r w:rsidRPr="00ED7C8D">
        <w:rPr>
          <w:rFonts w:ascii="Arial" w:hAnsi="Arial"/>
          <w:noProof/>
          <w:sz w:val="24"/>
          <w:szCs w:val="24"/>
        </w:rPr>
        <w:fldChar w:fldCharType="end"/>
      </w:r>
    </w:p>
    <w:p w14:paraId="446DBE2D" w14:textId="343E9AD9" w:rsidR="00637DDF" w:rsidRPr="00ED7C8D" w:rsidRDefault="00637DDF">
      <w:pPr>
        <w:pStyle w:val="TableofFigures"/>
        <w:tabs>
          <w:tab w:val="right" w:leader="dot" w:pos="8630"/>
        </w:tabs>
        <w:rPr>
          <w:rFonts w:ascii="Arial" w:eastAsiaTheme="minorEastAsia" w:hAnsi="Arial" w:cstheme="minorBidi"/>
          <w:caps w:val="0"/>
          <w:noProof/>
          <w:sz w:val="24"/>
          <w:szCs w:val="24"/>
          <w:bdr w:val="none" w:sz="0" w:space="0" w:color="auto"/>
          <w:lang w:val="en-CA" w:eastAsia="ja-JP"/>
        </w:rPr>
      </w:pPr>
      <w:r w:rsidRPr="00ED7C8D">
        <w:rPr>
          <w:rFonts w:ascii="Arial" w:hAnsi="Arial" w:cs="Arial"/>
          <w:caps w:val="0"/>
          <w:noProof/>
          <w:sz w:val="24"/>
          <w:szCs w:val="24"/>
        </w:rPr>
        <w:t>Figure 7: Edit Article Page</w:t>
      </w:r>
      <w:r w:rsidRPr="00ED7C8D">
        <w:rPr>
          <w:rFonts w:ascii="Arial" w:hAnsi="Arial"/>
          <w:caps w:val="0"/>
          <w:noProof/>
          <w:sz w:val="24"/>
          <w:szCs w:val="24"/>
        </w:rPr>
        <w:tab/>
      </w:r>
      <w:r w:rsidRPr="00ED7C8D">
        <w:rPr>
          <w:rFonts w:ascii="Arial" w:hAnsi="Arial"/>
          <w:noProof/>
          <w:sz w:val="24"/>
          <w:szCs w:val="24"/>
        </w:rPr>
        <w:fldChar w:fldCharType="begin"/>
      </w:r>
      <w:r w:rsidRPr="00ED7C8D">
        <w:rPr>
          <w:rFonts w:ascii="Arial" w:hAnsi="Arial"/>
          <w:noProof/>
          <w:sz w:val="24"/>
          <w:szCs w:val="24"/>
        </w:rPr>
        <w:instrText xml:space="preserve"> PAGEREF _Toc286417159 \h </w:instrText>
      </w:r>
      <w:r w:rsidRPr="00ED7C8D">
        <w:rPr>
          <w:rFonts w:ascii="Arial" w:hAnsi="Arial"/>
          <w:noProof/>
          <w:sz w:val="24"/>
          <w:szCs w:val="24"/>
        </w:rPr>
      </w:r>
      <w:r w:rsidRPr="00ED7C8D">
        <w:rPr>
          <w:rFonts w:ascii="Arial" w:hAnsi="Arial"/>
          <w:noProof/>
          <w:sz w:val="24"/>
          <w:szCs w:val="24"/>
        </w:rPr>
        <w:fldChar w:fldCharType="separate"/>
      </w:r>
      <w:r w:rsidR="00E817BA">
        <w:rPr>
          <w:rFonts w:ascii="Arial" w:hAnsi="Arial"/>
          <w:noProof/>
          <w:sz w:val="24"/>
          <w:szCs w:val="24"/>
        </w:rPr>
        <w:t>29</w:t>
      </w:r>
      <w:r w:rsidRPr="00ED7C8D">
        <w:rPr>
          <w:rFonts w:ascii="Arial" w:hAnsi="Arial"/>
          <w:noProof/>
          <w:sz w:val="24"/>
          <w:szCs w:val="24"/>
        </w:rPr>
        <w:fldChar w:fldCharType="end"/>
      </w:r>
    </w:p>
    <w:p w14:paraId="41258E14" w14:textId="62E28D08" w:rsidR="00637DDF" w:rsidRPr="00ED7C8D" w:rsidRDefault="00637DDF">
      <w:pPr>
        <w:pStyle w:val="TableofFigures"/>
        <w:tabs>
          <w:tab w:val="right" w:leader="dot" w:pos="8630"/>
        </w:tabs>
        <w:rPr>
          <w:rFonts w:ascii="Arial" w:eastAsiaTheme="minorEastAsia" w:hAnsi="Arial" w:cstheme="minorBidi"/>
          <w:caps w:val="0"/>
          <w:noProof/>
          <w:sz w:val="24"/>
          <w:szCs w:val="24"/>
          <w:bdr w:val="none" w:sz="0" w:space="0" w:color="auto"/>
          <w:lang w:val="en-CA" w:eastAsia="ja-JP"/>
        </w:rPr>
      </w:pPr>
      <w:r w:rsidRPr="00ED7C8D">
        <w:rPr>
          <w:rFonts w:ascii="Arial" w:hAnsi="Arial" w:cs="Arial"/>
          <w:caps w:val="0"/>
          <w:noProof/>
          <w:sz w:val="24"/>
          <w:szCs w:val="24"/>
        </w:rPr>
        <w:t>Figure 8: Article Data As Represented By Baseline Risk Lines Sorted By Medical Discipline</w:t>
      </w:r>
      <w:r w:rsidRPr="00ED7C8D">
        <w:rPr>
          <w:rFonts w:ascii="Arial" w:hAnsi="Arial"/>
          <w:caps w:val="0"/>
          <w:noProof/>
          <w:sz w:val="24"/>
          <w:szCs w:val="24"/>
        </w:rPr>
        <w:tab/>
      </w:r>
      <w:r w:rsidRPr="00ED7C8D">
        <w:rPr>
          <w:rFonts w:ascii="Arial" w:hAnsi="Arial"/>
          <w:noProof/>
          <w:sz w:val="24"/>
          <w:szCs w:val="24"/>
        </w:rPr>
        <w:fldChar w:fldCharType="begin"/>
      </w:r>
      <w:r w:rsidRPr="00ED7C8D">
        <w:rPr>
          <w:rFonts w:ascii="Arial" w:hAnsi="Arial"/>
          <w:noProof/>
          <w:sz w:val="24"/>
          <w:szCs w:val="24"/>
        </w:rPr>
        <w:instrText xml:space="preserve"> PAGEREF _Toc286417160 \h </w:instrText>
      </w:r>
      <w:r w:rsidRPr="00ED7C8D">
        <w:rPr>
          <w:rFonts w:ascii="Arial" w:hAnsi="Arial"/>
          <w:noProof/>
          <w:sz w:val="24"/>
          <w:szCs w:val="24"/>
        </w:rPr>
      </w:r>
      <w:r w:rsidRPr="00ED7C8D">
        <w:rPr>
          <w:rFonts w:ascii="Arial" w:hAnsi="Arial"/>
          <w:noProof/>
          <w:sz w:val="24"/>
          <w:szCs w:val="24"/>
        </w:rPr>
        <w:fldChar w:fldCharType="separate"/>
      </w:r>
      <w:r w:rsidR="00E817BA">
        <w:rPr>
          <w:rFonts w:ascii="Arial" w:hAnsi="Arial"/>
          <w:noProof/>
          <w:sz w:val="24"/>
          <w:szCs w:val="24"/>
        </w:rPr>
        <w:t>40</w:t>
      </w:r>
      <w:r w:rsidRPr="00ED7C8D">
        <w:rPr>
          <w:rFonts w:ascii="Arial" w:hAnsi="Arial"/>
          <w:noProof/>
          <w:sz w:val="24"/>
          <w:szCs w:val="24"/>
        </w:rPr>
        <w:fldChar w:fldCharType="end"/>
      </w:r>
    </w:p>
    <w:p w14:paraId="634B615F" w14:textId="65E59C26" w:rsidR="00423183" w:rsidRPr="00ED7C8D" w:rsidRDefault="00CC7E17" w:rsidP="00ED7C8D">
      <w:pPr>
        <w:pStyle w:val="Heading2"/>
        <w:spacing w:line="360" w:lineRule="auto"/>
        <w:ind w:left="426" w:hanging="426"/>
        <w:rPr>
          <w:rFonts w:ascii="Arial" w:hAnsi="Arial" w:cs="Arial"/>
          <w:noProof/>
          <w:sz w:val="24"/>
          <w:szCs w:val="24"/>
          <w:u w:val="single"/>
        </w:rPr>
      </w:pPr>
      <w:r w:rsidRPr="0014113C">
        <w:rPr>
          <w:rFonts w:ascii="Arial" w:eastAsia="Arial Unicode MS" w:hAnsi="Arial" w:cs="Arial"/>
          <w:b w:val="0"/>
          <w:bCs w:val="0"/>
          <w:sz w:val="24"/>
          <w:szCs w:val="24"/>
          <w:lang w:val="en-US"/>
        </w:rPr>
        <w:fldChar w:fldCharType="end"/>
      </w:r>
      <w:r w:rsidR="007A0BE8" w:rsidRPr="00ED7C8D">
        <w:rPr>
          <w:rFonts w:ascii="Arial" w:eastAsia="Arial Unicode MS" w:hAnsi="Arial" w:cs="Arial"/>
          <w:bCs w:val="0"/>
          <w:sz w:val="24"/>
          <w:szCs w:val="24"/>
          <w:u w:val="single"/>
          <w:lang w:val="en-US"/>
        </w:rPr>
        <w:t>Appendix 2</w:t>
      </w:r>
      <w:r w:rsidR="00423183" w:rsidRPr="009E57CF">
        <w:rPr>
          <w:rFonts w:ascii="Arial" w:eastAsia="Arial Unicode MS" w:hAnsi="Arial" w:cs="Arial"/>
          <w:sz w:val="24"/>
          <w:szCs w:val="24"/>
          <w:u w:val="single"/>
          <w:lang w:val="en-US"/>
        </w:rPr>
        <w:fldChar w:fldCharType="begin"/>
      </w:r>
      <w:r w:rsidR="00423183" w:rsidRPr="00ED7C8D">
        <w:rPr>
          <w:rFonts w:ascii="Arial" w:eastAsia="Arial Unicode MS" w:hAnsi="Arial" w:cs="Arial"/>
          <w:sz w:val="24"/>
          <w:szCs w:val="24"/>
          <w:u w:val="single"/>
          <w:lang w:val="en-US"/>
        </w:rPr>
        <w:instrText xml:space="preserve"> TOC \c "APPENDIX 2 FIGURE" </w:instrText>
      </w:r>
      <w:r w:rsidR="00423183" w:rsidRPr="009E57CF">
        <w:rPr>
          <w:rFonts w:ascii="Arial" w:eastAsia="Arial Unicode MS" w:hAnsi="Arial" w:cs="Arial"/>
          <w:sz w:val="24"/>
          <w:szCs w:val="24"/>
          <w:u w:val="single"/>
          <w:lang w:val="en-US"/>
        </w:rPr>
        <w:fldChar w:fldCharType="separate"/>
      </w:r>
    </w:p>
    <w:p w14:paraId="5DE37751" w14:textId="6D8D7A1B" w:rsidR="00423183" w:rsidRPr="00CC7E17" w:rsidRDefault="005A6210" w:rsidP="00ED7C8D">
      <w:pPr>
        <w:pStyle w:val="TableofFigures"/>
        <w:tabs>
          <w:tab w:val="right" w:pos="8630"/>
        </w:tabs>
        <w:spacing w:line="360" w:lineRule="auto"/>
        <w:ind w:left="426" w:hanging="426"/>
        <w:rPr>
          <w:rFonts w:ascii="Arial" w:eastAsiaTheme="minorEastAsia" w:hAnsi="Arial" w:cs="Arial"/>
          <w:caps w:val="0"/>
          <w:noProof/>
          <w:sz w:val="24"/>
          <w:szCs w:val="24"/>
          <w:bdr w:val="none" w:sz="0" w:space="0" w:color="auto"/>
          <w:lang w:val="en-CA" w:eastAsia="ja-JP"/>
        </w:rPr>
      </w:pPr>
      <w:r w:rsidRPr="009E57CF">
        <w:rPr>
          <w:rFonts w:ascii="Arial" w:hAnsi="Arial" w:cs="Arial"/>
          <w:caps w:val="0"/>
          <w:noProof/>
          <w:sz w:val="24"/>
          <w:szCs w:val="24"/>
        </w:rPr>
        <w:t>Appendix 2 Figure 1: Preliminary Database Schema As Shown On Microsoft Access</w:t>
      </w:r>
      <w:r w:rsidR="007A0BE8">
        <w:rPr>
          <w:rFonts w:ascii="Arial" w:hAnsi="Arial" w:cs="Arial"/>
          <w:caps w:val="0"/>
          <w:noProof/>
          <w:sz w:val="24"/>
          <w:szCs w:val="24"/>
        </w:rPr>
        <w:t>……………………………………………………………………………</w:t>
      </w:r>
      <w:r w:rsidRPr="009E57CF">
        <w:rPr>
          <w:rFonts w:ascii="Arial" w:hAnsi="Arial" w:cs="Arial"/>
          <w:caps w:val="0"/>
          <w:noProof/>
          <w:sz w:val="24"/>
          <w:szCs w:val="24"/>
        </w:rPr>
        <w:tab/>
      </w:r>
      <w:r w:rsidR="00423183" w:rsidRPr="009E57CF">
        <w:rPr>
          <w:rFonts w:ascii="Arial" w:hAnsi="Arial" w:cs="Arial"/>
          <w:noProof/>
          <w:sz w:val="24"/>
          <w:szCs w:val="24"/>
        </w:rPr>
        <w:fldChar w:fldCharType="begin"/>
      </w:r>
      <w:r w:rsidR="00423183" w:rsidRPr="009E57CF">
        <w:rPr>
          <w:rFonts w:ascii="Arial" w:hAnsi="Arial" w:cs="Arial"/>
          <w:noProof/>
          <w:sz w:val="24"/>
          <w:szCs w:val="24"/>
        </w:rPr>
        <w:instrText xml:space="preserve"> PAGEREF _Toc271786697 \h </w:instrText>
      </w:r>
      <w:r w:rsidR="00423183" w:rsidRPr="009E57CF">
        <w:rPr>
          <w:rFonts w:ascii="Arial" w:hAnsi="Arial" w:cs="Arial"/>
          <w:noProof/>
          <w:sz w:val="24"/>
          <w:szCs w:val="24"/>
        </w:rPr>
      </w:r>
      <w:r w:rsidR="00423183" w:rsidRPr="009E57CF">
        <w:rPr>
          <w:rFonts w:ascii="Arial" w:hAnsi="Arial" w:cs="Arial"/>
          <w:noProof/>
          <w:sz w:val="24"/>
          <w:szCs w:val="24"/>
        </w:rPr>
        <w:fldChar w:fldCharType="separate"/>
      </w:r>
      <w:r w:rsidR="00E817BA">
        <w:rPr>
          <w:rFonts w:ascii="Arial" w:hAnsi="Arial" w:cs="Arial"/>
          <w:noProof/>
          <w:sz w:val="24"/>
          <w:szCs w:val="24"/>
        </w:rPr>
        <w:t>170</w:t>
      </w:r>
      <w:r w:rsidR="00423183" w:rsidRPr="009E57CF">
        <w:rPr>
          <w:rFonts w:ascii="Arial" w:hAnsi="Arial" w:cs="Arial"/>
          <w:noProof/>
          <w:sz w:val="24"/>
          <w:szCs w:val="24"/>
        </w:rPr>
        <w:fldChar w:fldCharType="end"/>
      </w:r>
    </w:p>
    <w:p w14:paraId="7A65374A" w14:textId="67924309" w:rsidR="00423183" w:rsidRPr="00CC7E17" w:rsidRDefault="005A6210" w:rsidP="00ED7C8D">
      <w:pPr>
        <w:pStyle w:val="TableofFigures"/>
        <w:tabs>
          <w:tab w:val="right" w:pos="8630"/>
        </w:tabs>
        <w:spacing w:line="360" w:lineRule="auto"/>
        <w:ind w:left="426" w:hanging="426"/>
        <w:rPr>
          <w:rFonts w:ascii="Arial" w:eastAsiaTheme="minorEastAsia" w:hAnsi="Arial" w:cs="Arial"/>
          <w:caps w:val="0"/>
          <w:noProof/>
          <w:sz w:val="24"/>
          <w:szCs w:val="24"/>
          <w:bdr w:val="none" w:sz="0" w:space="0" w:color="auto"/>
          <w:lang w:val="en-CA" w:eastAsia="ja-JP"/>
        </w:rPr>
      </w:pPr>
      <w:r w:rsidRPr="009E57CF">
        <w:rPr>
          <w:rFonts w:ascii="Arial" w:hAnsi="Arial" w:cs="Arial"/>
          <w:caps w:val="0"/>
          <w:noProof/>
          <w:sz w:val="24"/>
          <w:szCs w:val="24"/>
        </w:rPr>
        <w:t>Appendix 2 Figure 2: An Example Of An Extraction Form Filled Out For An Article Comprising The Feasibility Set</w:t>
      </w:r>
      <w:r w:rsidR="007A0BE8">
        <w:rPr>
          <w:rFonts w:ascii="Arial" w:hAnsi="Arial" w:cs="Arial"/>
          <w:caps w:val="0"/>
          <w:noProof/>
          <w:sz w:val="24"/>
          <w:szCs w:val="24"/>
        </w:rPr>
        <w:t>………………………………………………..</w:t>
      </w:r>
      <w:r w:rsidRPr="009E57CF">
        <w:rPr>
          <w:rFonts w:ascii="Arial" w:hAnsi="Arial" w:cs="Arial"/>
          <w:caps w:val="0"/>
          <w:noProof/>
          <w:sz w:val="24"/>
          <w:szCs w:val="24"/>
        </w:rPr>
        <w:tab/>
      </w:r>
      <w:r w:rsidR="00423183" w:rsidRPr="009E57CF">
        <w:rPr>
          <w:rFonts w:ascii="Arial" w:hAnsi="Arial" w:cs="Arial"/>
          <w:noProof/>
          <w:sz w:val="24"/>
          <w:szCs w:val="24"/>
        </w:rPr>
        <w:fldChar w:fldCharType="begin"/>
      </w:r>
      <w:r w:rsidR="00423183" w:rsidRPr="009E57CF">
        <w:rPr>
          <w:rFonts w:ascii="Arial" w:hAnsi="Arial" w:cs="Arial"/>
          <w:noProof/>
          <w:sz w:val="24"/>
          <w:szCs w:val="24"/>
        </w:rPr>
        <w:instrText xml:space="preserve"> PAGEREF _Toc271786698 \h </w:instrText>
      </w:r>
      <w:r w:rsidR="00423183" w:rsidRPr="009E57CF">
        <w:rPr>
          <w:rFonts w:ascii="Arial" w:hAnsi="Arial" w:cs="Arial"/>
          <w:noProof/>
          <w:sz w:val="24"/>
          <w:szCs w:val="24"/>
        </w:rPr>
      </w:r>
      <w:r w:rsidR="00423183" w:rsidRPr="009E57CF">
        <w:rPr>
          <w:rFonts w:ascii="Arial" w:hAnsi="Arial" w:cs="Arial"/>
          <w:noProof/>
          <w:sz w:val="24"/>
          <w:szCs w:val="24"/>
        </w:rPr>
        <w:fldChar w:fldCharType="separate"/>
      </w:r>
      <w:r w:rsidR="00E817BA">
        <w:rPr>
          <w:rFonts w:ascii="Arial" w:hAnsi="Arial" w:cs="Arial"/>
          <w:noProof/>
          <w:sz w:val="24"/>
          <w:szCs w:val="24"/>
        </w:rPr>
        <w:t>174</w:t>
      </w:r>
      <w:r w:rsidR="00423183" w:rsidRPr="009E57CF">
        <w:rPr>
          <w:rFonts w:ascii="Arial" w:hAnsi="Arial" w:cs="Arial"/>
          <w:noProof/>
          <w:sz w:val="24"/>
          <w:szCs w:val="24"/>
        </w:rPr>
        <w:fldChar w:fldCharType="end"/>
      </w:r>
    </w:p>
    <w:p w14:paraId="00B73790" w14:textId="34A45145" w:rsidR="00423183" w:rsidRPr="00ED7C8D" w:rsidRDefault="00423183" w:rsidP="00ED7C8D">
      <w:pPr>
        <w:pStyle w:val="Heading2"/>
        <w:spacing w:line="360" w:lineRule="auto"/>
        <w:ind w:left="426" w:hanging="426"/>
        <w:rPr>
          <w:rFonts w:ascii="Arial" w:hAnsi="Arial" w:cs="Arial"/>
          <w:noProof/>
          <w:sz w:val="24"/>
          <w:szCs w:val="24"/>
          <w:u w:val="single"/>
        </w:rPr>
      </w:pPr>
      <w:r w:rsidRPr="009E57CF">
        <w:rPr>
          <w:rFonts w:ascii="Arial" w:eastAsia="Arial Unicode MS" w:hAnsi="Arial" w:cs="Arial"/>
          <w:b w:val="0"/>
          <w:sz w:val="24"/>
          <w:szCs w:val="24"/>
          <w:lang w:val="en-US"/>
        </w:rPr>
        <w:fldChar w:fldCharType="end"/>
      </w:r>
      <w:r w:rsidR="007A0BE8" w:rsidRPr="00ED7C8D">
        <w:rPr>
          <w:rFonts w:ascii="Arial" w:eastAsia="Arial Unicode MS" w:hAnsi="Arial" w:cs="Arial"/>
          <w:sz w:val="24"/>
          <w:szCs w:val="24"/>
          <w:u w:val="single"/>
          <w:lang w:val="en-US"/>
        </w:rPr>
        <w:t>Appendix 4</w:t>
      </w:r>
      <w:r w:rsidRPr="009E57CF">
        <w:rPr>
          <w:rFonts w:ascii="Arial" w:eastAsia="Arial Unicode MS" w:hAnsi="Arial" w:cs="Arial"/>
          <w:sz w:val="24"/>
          <w:szCs w:val="24"/>
          <w:u w:val="single"/>
          <w:lang w:val="en-US"/>
        </w:rPr>
        <w:fldChar w:fldCharType="begin"/>
      </w:r>
      <w:r w:rsidRPr="00ED7C8D">
        <w:rPr>
          <w:rFonts w:ascii="Arial" w:eastAsia="Arial Unicode MS" w:hAnsi="Arial" w:cs="Arial"/>
          <w:sz w:val="24"/>
          <w:szCs w:val="24"/>
          <w:u w:val="single"/>
          <w:lang w:val="en-US"/>
        </w:rPr>
        <w:instrText xml:space="preserve"> TOC \c "APPENDIX 4 FIGURE" </w:instrText>
      </w:r>
      <w:r w:rsidRPr="009E57CF">
        <w:rPr>
          <w:rFonts w:ascii="Arial" w:eastAsia="Arial Unicode MS" w:hAnsi="Arial" w:cs="Arial"/>
          <w:sz w:val="24"/>
          <w:szCs w:val="24"/>
          <w:u w:val="single"/>
          <w:lang w:val="en-US"/>
        </w:rPr>
        <w:fldChar w:fldCharType="separate"/>
      </w:r>
    </w:p>
    <w:p w14:paraId="0FDB3501" w14:textId="71229964" w:rsidR="00423183" w:rsidRPr="00CC7E17" w:rsidRDefault="002A6855" w:rsidP="00ED7C8D">
      <w:pPr>
        <w:pStyle w:val="TableofFigures"/>
        <w:tabs>
          <w:tab w:val="right" w:pos="8630"/>
        </w:tabs>
        <w:spacing w:line="360" w:lineRule="auto"/>
        <w:ind w:left="426" w:hanging="426"/>
        <w:rPr>
          <w:rFonts w:ascii="Arial" w:eastAsiaTheme="minorEastAsia" w:hAnsi="Arial" w:cs="Arial"/>
          <w:caps w:val="0"/>
          <w:noProof/>
          <w:sz w:val="24"/>
          <w:szCs w:val="24"/>
          <w:bdr w:val="none" w:sz="0" w:space="0" w:color="auto"/>
          <w:lang w:val="en-CA" w:eastAsia="ja-JP"/>
        </w:rPr>
      </w:pPr>
      <w:r w:rsidRPr="009E57CF">
        <w:rPr>
          <w:rFonts w:ascii="Arial" w:hAnsi="Arial" w:cs="Arial"/>
          <w:caps w:val="0"/>
          <w:noProof/>
          <w:sz w:val="24"/>
          <w:szCs w:val="24"/>
        </w:rPr>
        <w:t>Appendix 4 Figure 1: SNOMED</w:t>
      </w:r>
      <w:r w:rsidR="005A6210" w:rsidRPr="009E57CF">
        <w:rPr>
          <w:rFonts w:ascii="Arial" w:hAnsi="Arial" w:cs="Arial"/>
          <w:caps w:val="0"/>
          <w:noProof/>
          <w:sz w:val="24"/>
          <w:szCs w:val="24"/>
        </w:rPr>
        <w:t xml:space="preserve"> Tool Perioperative Branch</w:t>
      </w:r>
      <w:r w:rsidR="007A0BE8">
        <w:rPr>
          <w:rFonts w:ascii="Arial" w:hAnsi="Arial" w:cs="Arial"/>
          <w:caps w:val="0"/>
          <w:noProof/>
          <w:sz w:val="24"/>
          <w:szCs w:val="24"/>
        </w:rPr>
        <w:t>…………………...</w:t>
      </w:r>
      <w:r w:rsidR="005A6210" w:rsidRPr="009E57CF">
        <w:rPr>
          <w:rFonts w:ascii="Arial" w:hAnsi="Arial" w:cs="Arial"/>
          <w:caps w:val="0"/>
          <w:noProof/>
          <w:sz w:val="24"/>
          <w:szCs w:val="24"/>
        </w:rPr>
        <w:tab/>
      </w:r>
      <w:r w:rsidR="00423183" w:rsidRPr="009E57CF">
        <w:rPr>
          <w:rFonts w:ascii="Arial" w:hAnsi="Arial" w:cs="Arial"/>
          <w:noProof/>
          <w:sz w:val="24"/>
          <w:szCs w:val="24"/>
        </w:rPr>
        <w:fldChar w:fldCharType="begin"/>
      </w:r>
      <w:r w:rsidR="00423183" w:rsidRPr="009E57CF">
        <w:rPr>
          <w:rFonts w:ascii="Arial" w:hAnsi="Arial" w:cs="Arial"/>
          <w:noProof/>
          <w:sz w:val="24"/>
          <w:szCs w:val="24"/>
        </w:rPr>
        <w:instrText xml:space="preserve"> PAGEREF _Toc271786927 \h </w:instrText>
      </w:r>
      <w:r w:rsidR="00423183" w:rsidRPr="009E57CF">
        <w:rPr>
          <w:rFonts w:ascii="Arial" w:hAnsi="Arial" w:cs="Arial"/>
          <w:noProof/>
          <w:sz w:val="24"/>
          <w:szCs w:val="24"/>
        </w:rPr>
      </w:r>
      <w:r w:rsidR="00423183" w:rsidRPr="009E57CF">
        <w:rPr>
          <w:rFonts w:ascii="Arial" w:hAnsi="Arial" w:cs="Arial"/>
          <w:noProof/>
          <w:sz w:val="24"/>
          <w:szCs w:val="24"/>
        </w:rPr>
        <w:fldChar w:fldCharType="separate"/>
      </w:r>
      <w:r w:rsidR="00E817BA">
        <w:rPr>
          <w:rFonts w:ascii="Arial" w:hAnsi="Arial" w:cs="Arial"/>
          <w:noProof/>
          <w:sz w:val="24"/>
          <w:szCs w:val="24"/>
        </w:rPr>
        <w:t>181</w:t>
      </w:r>
      <w:r w:rsidR="00423183" w:rsidRPr="009E57CF">
        <w:rPr>
          <w:rFonts w:ascii="Arial" w:hAnsi="Arial" w:cs="Arial"/>
          <w:noProof/>
          <w:sz w:val="24"/>
          <w:szCs w:val="24"/>
        </w:rPr>
        <w:fldChar w:fldCharType="end"/>
      </w:r>
    </w:p>
    <w:p w14:paraId="678D28DA" w14:textId="57638B76" w:rsidR="00423183" w:rsidRPr="00CC7E17" w:rsidRDefault="005A6210" w:rsidP="00ED7C8D">
      <w:pPr>
        <w:pStyle w:val="TableofFigures"/>
        <w:tabs>
          <w:tab w:val="right" w:pos="8630"/>
        </w:tabs>
        <w:spacing w:line="360" w:lineRule="auto"/>
        <w:ind w:left="426" w:hanging="426"/>
        <w:rPr>
          <w:rFonts w:ascii="Arial" w:eastAsiaTheme="minorEastAsia" w:hAnsi="Arial" w:cs="Arial"/>
          <w:caps w:val="0"/>
          <w:noProof/>
          <w:sz w:val="24"/>
          <w:szCs w:val="24"/>
          <w:bdr w:val="none" w:sz="0" w:space="0" w:color="auto"/>
          <w:lang w:val="en-CA" w:eastAsia="ja-JP"/>
        </w:rPr>
      </w:pPr>
      <w:r w:rsidRPr="009E57CF">
        <w:rPr>
          <w:rFonts w:ascii="Arial" w:hAnsi="Arial" w:cs="Arial"/>
          <w:caps w:val="0"/>
          <w:noProof/>
          <w:sz w:val="24"/>
          <w:szCs w:val="24"/>
        </w:rPr>
        <w:t>Appendix 4 Figure 2: Extractor Interface Following Input Of One Line Of Data</w:t>
      </w:r>
      <w:r w:rsidRPr="009E57CF">
        <w:rPr>
          <w:rFonts w:ascii="Arial" w:hAnsi="Arial" w:cs="Arial"/>
          <w:caps w:val="0"/>
          <w:noProof/>
          <w:sz w:val="24"/>
          <w:szCs w:val="24"/>
        </w:rPr>
        <w:tab/>
      </w:r>
      <w:r w:rsidR="00423183" w:rsidRPr="009E57CF">
        <w:rPr>
          <w:rFonts w:ascii="Arial" w:hAnsi="Arial" w:cs="Arial"/>
          <w:noProof/>
          <w:sz w:val="24"/>
          <w:szCs w:val="24"/>
        </w:rPr>
        <w:fldChar w:fldCharType="begin"/>
      </w:r>
      <w:r w:rsidR="00423183" w:rsidRPr="009E57CF">
        <w:rPr>
          <w:rFonts w:ascii="Arial" w:hAnsi="Arial" w:cs="Arial"/>
          <w:noProof/>
          <w:sz w:val="24"/>
          <w:szCs w:val="24"/>
        </w:rPr>
        <w:instrText xml:space="preserve"> PAGEREF _Toc271786928 \h </w:instrText>
      </w:r>
      <w:r w:rsidR="00423183" w:rsidRPr="009E57CF">
        <w:rPr>
          <w:rFonts w:ascii="Arial" w:hAnsi="Arial" w:cs="Arial"/>
          <w:noProof/>
          <w:sz w:val="24"/>
          <w:szCs w:val="24"/>
        </w:rPr>
      </w:r>
      <w:r w:rsidR="00423183" w:rsidRPr="009E57CF">
        <w:rPr>
          <w:rFonts w:ascii="Arial" w:hAnsi="Arial" w:cs="Arial"/>
          <w:noProof/>
          <w:sz w:val="24"/>
          <w:szCs w:val="24"/>
        </w:rPr>
        <w:fldChar w:fldCharType="separate"/>
      </w:r>
      <w:r w:rsidR="00E817BA">
        <w:rPr>
          <w:rFonts w:ascii="Arial" w:hAnsi="Arial" w:cs="Arial"/>
          <w:noProof/>
          <w:sz w:val="24"/>
          <w:szCs w:val="24"/>
        </w:rPr>
        <w:t>182</w:t>
      </w:r>
      <w:r w:rsidR="00423183" w:rsidRPr="009E57CF">
        <w:rPr>
          <w:rFonts w:ascii="Arial" w:hAnsi="Arial" w:cs="Arial"/>
          <w:noProof/>
          <w:sz w:val="24"/>
          <w:szCs w:val="24"/>
        </w:rPr>
        <w:fldChar w:fldCharType="end"/>
      </w:r>
    </w:p>
    <w:p w14:paraId="2D650F19" w14:textId="20EA0AB5" w:rsidR="00423183" w:rsidRPr="00CC7E17" w:rsidRDefault="005A6210" w:rsidP="00ED7C8D">
      <w:pPr>
        <w:pStyle w:val="TableofFigures"/>
        <w:tabs>
          <w:tab w:val="right" w:pos="8630"/>
        </w:tabs>
        <w:spacing w:line="360" w:lineRule="auto"/>
        <w:ind w:left="426" w:hanging="426"/>
        <w:rPr>
          <w:rFonts w:ascii="Arial" w:eastAsiaTheme="minorEastAsia" w:hAnsi="Arial" w:cs="Arial"/>
          <w:caps w:val="0"/>
          <w:noProof/>
          <w:sz w:val="24"/>
          <w:szCs w:val="24"/>
          <w:bdr w:val="none" w:sz="0" w:space="0" w:color="auto"/>
          <w:lang w:val="en-CA" w:eastAsia="ja-JP"/>
        </w:rPr>
      </w:pPr>
      <w:r w:rsidRPr="009E57CF">
        <w:rPr>
          <w:rFonts w:ascii="Arial" w:hAnsi="Arial" w:cs="Arial"/>
          <w:caps w:val="0"/>
          <w:noProof/>
          <w:sz w:val="24"/>
          <w:szCs w:val="24"/>
        </w:rPr>
        <w:t>Appendix 4 Figure 3: View Articles Page Following Input Of One Line Of Data</w:t>
      </w:r>
      <w:r w:rsidRPr="009E57CF">
        <w:rPr>
          <w:rFonts w:ascii="Arial" w:hAnsi="Arial" w:cs="Arial"/>
          <w:caps w:val="0"/>
          <w:noProof/>
          <w:sz w:val="24"/>
          <w:szCs w:val="24"/>
        </w:rPr>
        <w:tab/>
      </w:r>
      <w:r w:rsidR="00423183" w:rsidRPr="009E57CF">
        <w:rPr>
          <w:rFonts w:ascii="Arial" w:hAnsi="Arial" w:cs="Arial"/>
          <w:noProof/>
          <w:sz w:val="24"/>
          <w:szCs w:val="24"/>
        </w:rPr>
        <w:fldChar w:fldCharType="begin"/>
      </w:r>
      <w:r w:rsidR="00423183" w:rsidRPr="009E57CF">
        <w:rPr>
          <w:rFonts w:ascii="Arial" w:hAnsi="Arial" w:cs="Arial"/>
          <w:noProof/>
          <w:sz w:val="24"/>
          <w:szCs w:val="24"/>
        </w:rPr>
        <w:instrText xml:space="preserve"> PAGEREF _Toc271786929 \h </w:instrText>
      </w:r>
      <w:r w:rsidR="00423183" w:rsidRPr="009E57CF">
        <w:rPr>
          <w:rFonts w:ascii="Arial" w:hAnsi="Arial" w:cs="Arial"/>
          <w:noProof/>
          <w:sz w:val="24"/>
          <w:szCs w:val="24"/>
        </w:rPr>
      </w:r>
      <w:r w:rsidR="00423183" w:rsidRPr="009E57CF">
        <w:rPr>
          <w:rFonts w:ascii="Arial" w:hAnsi="Arial" w:cs="Arial"/>
          <w:noProof/>
          <w:sz w:val="24"/>
          <w:szCs w:val="24"/>
        </w:rPr>
        <w:fldChar w:fldCharType="separate"/>
      </w:r>
      <w:r w:rsidR="00E817BA">
        <w:rPr>
          <w:rFonts w:ascii="Arial" w:hAnsi="Arial" w:cs="Arial"/>
          <w:noProof/>
          <w:sz w:val="24"/>
          <w:szCs w:val="24"/>
        </w:rPr>
        <w:t>182</w:t>
      </w:r>
      <w:r w:rsidR="00423183" w:rsidRPr="009E57CF">
        <w:rPr>
          <w:rFonts w:ascii="Arial" w:hAnsi="Arial" w:cs="Arial"/>
          <w:noProof/>
          <w:sz w:val="24"/>
          <w:szCs w:val="24"/>
        </w:rPr>
        <w:fldChar w:fldCharType="end"/>
      </w:r>
    </w:p>
    <w:p w14:paraId="52343DCB" w14:textId="428A28FB" w:rsidR="00CC7E17" w:rsidRPr="00CC7E17" w:rsidRDefault="00423183" w:rsidP="007A0BE8">
      <w:pPr>
        <w:pStyle w:val="Heading2"/>
        <w:spacing w:line="360" w:lineRule="auto"/>
        <w:ind w:left="426" w:hanging="426"/>
        <w:rPr>
          <w:rFonts w:ascii="Arial" w:eastAsia="Arial Unicode MS" w:hAnsi="Arial" w:cs="Arial"/>
          <w:lang w:val="en-US"/>
        </w:rPr>
      </w:pPr>
      <w:r w:rsidRPr="009E57CF">
        <w:rPr>
          <w:rFonts w:ascii="Arial" w:eastAsia="Arial Unicode MS" w:hAnsi="Arial" w:cs="Arial"/>
          <w:sz w:val="24"/>
          <w:szCs w:val="24"/>
        </w:rPr>
        <w:fldChar w:fldCharType="end"/>
      </w:r>
    </w:p>
    <w:p w14:paraId="56770118" w14:textId="4952F714" w:rsidR="002C221C" w:rsidRPr="009E57CF" w:rsidRDefault="002C221C" w:rsidP="009E57CF">
      <w:pPr>
        <w:pStyle w:val="Heading1"/>
        <w:spacing w:line="360" w:lineRule="auto"/>
        <w:rPr>
          <w:rFonts w:ascii="Arial" w:hAnsi="Arial" w:cs="Arial"/>
        </w:rPr>
      </w:pPr>
      <w:bookmarkStart w:id="6" w:name="_Toc286437107"/>
      <w:r w:rsidRPr="009E57CF">
        <w:rPr>
          <w:rFonts w:ascii="Arial" w:hAnsi="Arial" w:cs="Arial"/>
        </w:rPr>
        <w:t>List of Tables</w:t>
      </w:r>
      <w:bookmarkEnd w:id="5"/>
      <w:bookmarkEnd w:id="6"/>
    </w:p>
    <w:p w14:paraId="1CADD1A0" w14:textId="6341C873" w:rsidR="00CE7704" w:rsidRPr="00ED7C8D" w:rsidRDefault="00CC7E17">
      <w:pPr>
        <w:pStyle w:val="TableofFigures"/>
        <w:tabs>
          <w:tab w:val="right" w:leader="dot" w:pos="8630"/>
        </w:tabs>
        <w:rPr>
          <w:rFonts w:ascii="Arial" w:eastAsiaTheme="minorEastAsia" w:hAnsi="Arial" w:cs="Arial"/>
          <w:caps w:val="0"/>
          <w:noProof/>
          <w:sz w:val="24"/>
          <w:szCs w:val="24"/>
          <w:bdr w:val="none" w:sz="0" w:space="0" w:color="auto"/>
          <w:lang w:val="en-CA" w:eastAsia="ja-JP"/>
        </w:rPr>
      </w:pPr>
      <w:r w:rsidRPr="00C2560F">
        <w:rPr>
          <w:rFonts w:ascii="Arial" w:eastAsia="Arial" w:hAnsi="Arial" w:cs="Arial"/>
          <w:caps w:val="0"/>
          <w:sz w:val="24"/>
          <w:szCs w:val="24"/>
        </w:rPr>
        <w:fldChar w:fldCharType="begin"/>
      </w:r>
      <w:r w:rsidRPr="00C2560F">
        <w:rPr>
          <w:rFonts w:ascii="Arial" w:eastAsia="Arial" w:hAnsi="Arial" w:cs="Arial"/>
          <w:caps w:val="0"/>
          <w:sz w:val="24"/>
          <w:szCs w:val="24"/>
        </w:rPr>
        <w:instrText xml:space="preserve"> TOC \c "Table" </w:instrText>
      </w:r>
      <w:r w:rsidRPr="00C2560F">
        <w:rPr>
          <w:rFonts w:ascii="Arial" w:eastAsia="Arial" w:hAnsi="Arial" w:cs="Arial"/>
          <w:caps w:val="0"/>
          <w:sz w:val="24"/>
          <w:szCs w:val="24"/>
        </w:rPr>
        <w:fldChar w:fldCharType="separate"/>
      </w:r>
      <w:r w:rsidR="00CE7704" w:rsidRPr="00ED7C8D">
        <w:rPr>
          <w:rFonts w:ascii="Arial" w:hAnsi="Arial" w:cs="Arial"/>
          <w:caps w:val="0"/>
          <w:noProof/>
          <w:sz w:val="24"/>
          <w:szCs w:val="24"/>
        </w:rPr>
        <w:t xml:space="preserve">Table 1: Field Description For First Iteration Database Schema For </w:t>
      </w:r>
      <w:r w:rsidR="004959B9">
        <w:rPr>
          <w:rFonts w:ascii="Arial" w:hAnsi="Arial" w:cs="Arial"/>
          <w:caps w:val="0"/>
          <w:noProof/>
          <w:sz w:val="24"/>
          <w:szCs w:val="24"/>
        </w:rPr>
        <w:t>EForm-based</w:t>
      </w:r>
      <w:r w:rsidR="00CE7704" w:rsidRPr="00ED7C8D">
        <w:rPr>
          <w:rFonts w:ascii="Arial" w:hAnsi="Arial" w:cs="Arial"/>
          <w:caps w:val="0"/>
          <w:noProof/>
          <w:sz w:val="24"/>
          <w:szCs w:val="24"/>
        </w:rPr>
        <w:t xml:space="preserve"> Model</w:t>
      </w:r>
      <w:r w:rsidR="00CE7704" w:rsidRPr="00ED7C8D">
        <w:rPr>
          <w:rFonts w:ascii="Arial" w:hAnsi="Arial" w:cs="Arial"/>
          <w:caps w:val="0"/>
          <w:noProof/>
          <w:sz w:val="24"/>
          <w:szCs w:val="24"/>
        </w:rPr>
        <w:tab/>
      </w:r>
      <w:r w:rsidR="00CE7704" w:rsidRPr="00ED7C8D">
        <w:rPr>
          <w:rFonts w:ascii="Arial" w:hAnsi="Arial" w:cs="Arial"/>
          <w:noProof/>
          <w:sz w:val="24"/>
          <w:szCs w:val="24"/>
        </w:rPr>
        <w:fldChar w:fldCharType="begin"/>
      </w:r>
      <w:r w:rsidR="00CE7704" w:rsidRPr="00ED7C8D">
        <w:rPr>
          <w:rFonts w:ascii="Arial" w:hAnsi="Arial" w:cs="Arial"/>
          <w:noProof/>
          <w:sz w:val="24"/>
          <w:szCs w:val="24"/>
        </w:rPr>
        <w:instrText xml:space="preserve"> PAGEREF _Toc290901850 \h </w:instrText>
      </w:r>
      <w:r w:rsidR="00CE7704" w:rsidRPr="00ED7C8D">
        <w:rPr>
          <w:rFonts w:ascii="Arial" w:hAnsi="Arial" w:cs="Arial"/>
          <w:noProof/>
          <w:sz w:val="24"/>
          <w:szCs w:val="24"/>
        </w:rPr>
      </w:r>
      <w:r w:rsidR="00CE7704" w:rsidRPr="00ED7C8D">
        <w:rPr>
          <w:rFonts w:ascii="Arial" w:hAnsi="Arial" w:cs="Arial"/>
          <w:noProof/>
          <w:sz w:val="24"/>
          <w:szCs w:val="24"/>
        </w:rPr>
        <w:fldChar w:fldCharType="separate"/>
      </w:r>
      <w:r w:rsidR="00E817BA">
        <w:rPr>
          <w:rFonts w:ascii="Arial" w:hAnsi="Arial" w:cs="Arial"/>
          <w:noProof/>
          <w:sz w:val="24"/>
          <w:szCs w:val="24"/>
        </w:rPr>
        <w:t>16</w:t>
      </w:r>
      <w:r w:rsidR="00CE7704" w:rsidRPr="00ED7C8D">
        <w:rPr>
          <w:rFonts w:ascii="Arial" w:hAnsi="Arial" w:cs="Arial"/>
          <w:noProof/>
          <w:sz w:val="24"/>
          <w:szCs w:val="24"/>
        </w:rPr>
        <w:fldChar w:fldCharType="end"/>
      </w:r>
    </w:p>
    <w:p w14:paraId="534F956E" w14:textId="26A15DC9" w:rsidR="00CE7704" w:rsidRPr="00ED7C8D" w:rsidRDefault="00CE7704">
      <w:pPr>
        <w:pStyle w:val="TableofFigures"/>
        <w:tabs>
          <w:tab w:val="right" w:leader="dot" w:pos="8630"/>
        </w:tabs>
        <w:rPr>
          <w:rFonts w:ascii="Arial" w:eastAsiaTheme="minorEastAsia" w:hAnsi="Arial" w:cs="Arial"/>
          <w:caps w:val="0"/>
          <w:noProof/>
          <w:sz w:val="24"/>
          <w:szCs w:val="24"/>
          <w:bdr w:val="none" w:sz="0" w:space="0" w:color="auto"/>
          <w:lang w:val="en-CA" w:eastAsia="ja-JP"/>
        </w:rPr>
      </w:pPr>
      <w:r w:rsidRPr="00ED7C8D">
        <w:rPr>
          <w:rFonts w:ascii="Arial" w:hAnsi="Arial" w:cs="Arial"/>
          <w:caps w:val="0"/>
          <w:noProof/>
          <w:sz w:val="24"/>
          <w:szCs w:val="24"/>
        </w:rPr>
        <w:t>Table 2: Articles Flagged Not Of Interest</w:t>
      </w:r>
      <w:r w:rsidRPr="00ED7C8D">
        <w:rPr>
          <w:rFonts w:ascii="Arial" w:hAnsi="Arial" w:cs="Arial"/>
          <w:caps w:val="0"/>
          <w:noProof/>
          <w:sz w:val="24"/>
          <w:szCs w:val="24"/>
        </w:rPr>
        <w:tab/>
      </w:r>
      <w:r w:rsidRPr="00ED7C8D">
        <w:rPr>
          <w:rFonts w:ascii="Arial" w:hAnsi="Arial" w:cs="Arial"/>
          <w:noProof/>
          <w:sz w:val="24"/>
          <w:szCs w:val="24"/>
        </w:rPr>
        <w:fldChar w:fldCharType="begin"/>
      </w:r>
      <w:r w:rsidRPr="00ED7C8D">
        <w:rPr>
          <w:rFonts w:ascii="Arial" w:hAnsi="Arial" w:cs="Arial"/>
          <w:noProof/>
          <w:sz w:val="24"/>
          <w:szCs w:val="24"/>
        </w:rPr>
        <w:instrText xml:space="preserve"> PAGEREF _Toc290901851 \h </w:instrText>
      </w:r>
      <w:r w:rsidRPr="00ED7C8D">
        <w:rPr>
          <w:rFonts w:ascii="Arial" w:hAnsi="Arial" w:cs="Arial"/>
          <w:noProof/>
          <w:sz w:val="24"/>
          <w:szCs w:val="24"/>
        </w:rPr>
      </w:r>
      <w:r w:rsidRPr="00ED7C8D">
        <w:rPr>
          <w:rFonts w:ascii="Arial" w:hAnsi="Arial" w:cs="Arial"/>
          <w:noProof/>
          <w:sz w:val="24"/>
          <w:szCs w:val="24"/>
        </w:rPr>
        <w:fldChar w:fldCharType="separate"/>
      </w:r>
      <w:r w:rsidR="00E817BA">
        <w:rPr>
          <w:rFonts w:ascii="Arial" w:hAnsi="Arial" w:cs="Arial"/>
          <w:noProof/>
          <w:sz w:val="24"/>
          <w:szCs w:val="24"/>
        </w:rPr>
        <w:t>32</w:t>
      </w:r>
      <w:r w:rsidRPr="00ED7C8D">
        <w:rPr>
          <w:rFonts w:ascii="Arial" w:hAnsi="Arial" w:cs="Arial"/>
          <w:noProof/>
          <w:sz w:val="24"/>
          <w:szCs w:val="24"/>
        </w:rPr>
        <w:fldChar w:fldCharType="end"/>
      </w:r>
    </w:p>
    <w:p w14:paraId="2F24808B" w14:textId="5C98CA96" w:rsidR="00CE7704" w:rsidRPr="00ED7C8D" w:rsidRDefault="00CE7704">
      <w:pPr>
        <w:pStyle w:val="TableofFigures"/>
        <w:tabs>
          <w:tab w:val="right" w:leader="dot" w:pos="8630"/>
        </w:tabs>
        <w:rPr>
          <w:rFonts w:ascii="Arial" w:eastAsiaTheme="minorEastAsia" w:hAnsi="Arial" w:cs="Arial"/>
          <w:caps w:val="0"/>
          <w:noProof/>
          <w:sz w:val="24"/>
          <w:szCs w:val="24"/>
          <w:bdr w:val="none" w:sz="0" w:space="0" w:color="auto"/>
          <w:lang w:val="en-CA" w:eastAsia="ja-JP"/>
        </w:rPr>
      </w:pPr>
      <w:r w:rsidRPr="00ED7C8D">
        <w:rPr>
          <w:rFonts w:ascii="Arial" w:hAnsi="Arial" w:cs="Arial"/>
          <w:caps w:val="0"/>
          <w:noProof/>
          <w:sz w:val="24"/>
          <w:szCs w:val="24"/>
        </w:rPr>
        <w:t>Table 3: Time Required To Extract Baseline Information Utilizing Paper- Based Extraction Process</w:t>
      </w:r>
      <w:r w:rsidRPr="00ED7C8D">
        <w:rPr>
          <w:rFonts w:ascii="Arial" w:hAnsi="Arial" w:cs="Arial"/>
          <w:caps w:val="0"/>
          <w:noProof/>
          <w:sz w:val="24"/>
          <w:szCs w:val="24"/>
        </w:rPr>
        <w:tab/>
      </w:r>
      <w:r w:rsidRPr="00ED7C8D">
        <w:rPr>
          <w:rFonts w:ascii="Arial" w:hAnsi="Arial" w:cs="Arial"/>
          <w:noProof/>
          <w:sz w:val="24"/>
          <w:szCs w:val="24"/>
        </w:rPr>
        <w:fldChar w:fldCharType="begin"/>
      </w:r>
      <w:r w:rsidRPr="00ED7C8D">
        <w:rPr>
          <w:rFonts w:ascii="Arial" w:hAnsi="Arial" w:cs="Arial"/>
          <w:noProof/>
          <w:sz w:val="24"/>
          <w:szCs w:val="24"/>
        </w:rPr>
        <w:instrText xml:space="preserve"> PAGEREF _Toc290901852 \h </w:instrText>
      </w:r>
      <w:r w:rsidRPr="00ED7C8D">
        <w:rPr>
          <w:rFonts w:ascii="Arial" w:hAnsi="Arial" w:cs="Arial"/>
          <w:noProof/>
          <w:sz w:val="24"/>
          <w:szCs w:val="24"/>
        </w:rPr>
      </w:r>
      <w:r w:rsidRPr="00ED7C8D">
        <w:rPr>
          <w:rFonts w:ascii="Arial" w:hAnsi="Arial" w:cs="Arial"/>
          <w:noProof/>
          <w:sz w:val="24"/>
          <w:szCs w:val="24"/>
        </w:rPr>
        <w:fldChar w:fldCharType="separate"/>
      </w:r>
      <w:r w:rsidR="00E817BA">
        <w:rPr>
          <w:rFonts w:ascii="Arial" w:hAnsi="Arial" w:cs="Arial"/>
          <w:noProof/>
          <w:sz w:val="24"/>
          <w:szCs w:val="24"/>
        </w:rPr>
        <w:t>35</w:t>
      </w:r>
      <w:r w:rsidRPr="00ED7C8D">
        <w:rPr>
          <w:rFonts w:ascii="Arial" w:hAnsi="Arial" w:cs="Arial"/>
          <w:noProof/>
          <w:sz w:val="24"/>
          <w:szCs w:val="24"/>
        </w:rPr>
        <w:fldChar w:fldCharType="end"/>
      </w:r>
    </w:p>
    <w:p w14:paraId="26641756" w14:textId="6224C652" w:rsidR="00CE7704" w:rsidRPr="00ED7C8D" w:rsidRDefault="00CE7704">
      <w:pPr>
        <w:pStyle w:val="TableofFigures"/>
        <w:tabs>
          <w:tab w:val="right" w:leader="dot" w:pos="8630"/>
        </w:tabs>
        <w:rPr>
          <w:rFonts w:ascii="Arial" w:eastAsiaTheme="minorEastAsia" w:hAnsi="Arial" w:cs="Arial"/>
          <w:caps w:val="0"/>
          <w:noProof/>
          <w:sz w:val="24"/>
          <w:szCs w:val="24"/>
          <w:bdr w:val="none" w:sz="0" w:space="0" w:color="auto"/>
          <w:lang w:val="en-CA" w:eastAsia="ja-JP"/>
        </w:rPr>
      </w:pPr>
      <w:r w:rsidRPr="00ED7C8D">
        <w:rPr>
          <w:rFonts w:ascii="Arial" w:hAnsi="Arial" w:cs="Arial"/>
          <w:caps w:val="0"/>
          <w:noProof/>
          <w:sz w:val="24"/>
          <w:szCs w:val="24"/>
        </w:rPr>
        <w:t>Table 4: Time To Extract Articles Using Macprognosis</w:t>
      </w:r>
      <w:r w:rsidRPr="00ED7C8D">
        <w:rPr>
          <w:rFonts w:ascii="Arial" w:hAnsi="Arial" w:cs="Arial"/>
          <w:caps w:val="0"/>
          <w:noProof/>
          <w:sz w:val="24"/>
          <w:szCs w:val="24"/>
        </w:rPr>
        <w:tab/>
      </w:r>
      <w:r w:rsidRPr="00ED7C8D">
        <w:rPr>
          <w:rFonts w:ascii="Arial" w:hAnsi="Arial" w:cs="Arial"/>
          <w:noProof/>
          <w:sz w:val="24"/>
          <w:szCs w:val="24"/>
        </w:rPr>
        <w:fldChar w:fldCharType="begin"/>
      </w:r>
      <w:r w:rsidRPr="00ED7C8D">
        <w:rPr>
          <w:rFonts w:ascii="Arial" w:hAnsi="Arial" w:cs="Arial"/>
          <w:noProof/>
          <w:sz w:val="24"/>
          <w:szCs w:val="24"/>
        </w:rPr>
        <w:instrText xml:space="preserve"> PAGEREF _Toc290901853 \h </w:instrText>
      </w:r>
      <w:r w:rsidRPr="00ED7C8D">
        <w:rPr>
          <w:rFonts w:ascii="Arial" w:hAnsi="Arial" w:cs="Arial"/>
          <w:noProof/>
          <w:sz w:val="24"/>
          <w:szCs w:val="24"/>
        </w:rPr>
      </w:r>
      <w:r w:rsidRPr="00ED7C8D">
        <w:rPr>
          <w:rFonts w:ascii="Arial" w:hAnsi="Arial" w:cs="Arial"/>
          <w:noProof/>
          <w:sz w:val="24"/>
          <w:szCs w:val="24"/>
        </w:rPr>
        <w:fldChar w:fldCharType="separate"/>
      </w:r>
      <w:r w:rsidR="00E817BA">
        <w:rPr>
          <w:rFonts w:ascii="Arial" w:hAnsi="Arial" w:cs="Arial"/>
          <w:noProof/>
          <w:sz w:val="24"/>
          <w:szCs w:val="24"/>
        </w:rPr>
        <w:t>36</w:t>
      </w:r>
      <w:r w:rsidRPr="00ED7C8D">
        <w:rPr>
          <w:rFonts w:ascii="Arial" w:hAnsi="Arial" w:cs="Arial"/>
          <w:noProof/>
          <w:sz w:val="24"/>
          <w:szCs w:val="24"/>
        </w:rPr>
        <w:fldChar w:fldCharType="end"/>
      </w:r>
    </w:p>
    <w:p w14:paraId="68DFF29D" w14:textId="1F105E59" w:rsidR="00CE7704" w:rsidRPr="00ED7C8D" w:rsidRDefault="00CE7704">
      <w:pPr>
        <w:pStyle w:val="TableofFigures"/>
        <w:tabs>
          <w:tab w:val="right" w:leader="dot" w:pos="8630"/>
        </w:tabs>
        <w:rPr>
          <w:rFonts w:ascii="Arial" w:eastAsiaTheme="minorEastAsia" w:hAnsi="Arial" w:cs="Arial"/>
          <w:caps w:val="0"/>
          <w:noProof/>
          <w:sz w:val="24"/>
          <w:szCs w:val="24"/>
          <w:bdr w:val="none" w:sz="0" w:space="0" w:color="auto"/>
          <w:lang w:val="en-CA" w:eastAsia="ja-JP"/>
        </w:rPr>
      </w:pPr>
      <w:r w:rsidRPr="00ED7C8D">
        <w:rPr>
          <w:rFonts w:ascii="Arial" w:hAnsi="Arial" w:cs="Arial"/>
          <w:caps w:val="0"/>
          <w:noProof/>
          <w:sz w:val="24"/>
          <w:szCs w:val="24"/>
        </w:rPr>
        <w:t>Table 5: Number Of Lines Of Baseline Risk Extracted Per Medical Discipline</w:t>
      </w:r>
      <w:r w:rsidRPr="00ED7C8D">
        <w:rPr>
          <w:rFonts w:ascii="Arial" w:hAnsi="Arial" w:cs="Arial"/>
          <w:caps w:val="0"/>
          <w:noProof/>
          <w:sz w:val="24"/>
          <w:szCs w:val="24"/>
        </w:rPr>
        <w:tab/>
      </w:r>
      <w:r w:rsidRPr="00ED7C8D">
        <w:rPr>
          <w:rFonts w:ascii="Arial" w:hAnsi="Arial" w:cs="Arial"/>
          <w:noProof/>
          <w:sz w:val="24"/>
          <w:szCs w:val="24"/>
        </w:rPr>
        <w:fldChar w:fldCharType="begin"/>
      </w:r>
      <w:r w:rsidRPr="00ED7C8D">
        <w:rPr>
          <w:rFonts w:ascii="Arial" w:hAnsi="Arial" w:cs="Arial"/>
          <w:noProof/>
          <w:sz w:val="24"/>
          <w:szCs w:val="24"/>
        </w:rPr>
        <w:instrText xml:space="preserve"> PAGEREF _Toc290901854 \h </w:instrText>
      </w:r>
      <w:r w:rsidRPr="00ED7C8D">
        <w:rPr>
          <w:rFonts w:ascii="Arial" w:hAnsi="Arial" w:cs="Arial"/>
          <w:noProof/>
          <w:sz w:val="24"/>
          <w:szCs w:val="24"/>
        </w:rPr>
      </w:r>
      <w:r w:rsidRPr="00ED7C8D">
        <w:rPr>
          <w:rFonts w:ascii="Arial" w:hAnsi="Arial" w:cs="Arial"/>
          <w:noProof/>
          <w:sz w:val="24"/>
          <w:szCs w:val="24"/>
        </w:rPr>
        <w:fldChar w:fldCharType="separate"/>
      </w:r>
      <w:r w:rsidR="00E817BA">
        <w:rPr>
          <w:rFonts w:ascii="Arial" w:hAnsi="Arial" w:cs="Arial"/>
          <w:noProof/>
          <w:sz w:val="24"/>
          <w:szCs w:val="24"/>
        </w:rPr>
        <w:t>38</w:t>
      </w:r>
      <w:r w:rsidRPr="00ED7C8D">
        <w:rPr>
          <w:rFonts w:ascii="Arial" w:hAnsi="Arial" w:cs="Arial"/>
          <w:noProof/>
          <w:sz w:val="24"/>
          <w:szCs w:val="24"/>
        </w:rPr>
        <w:fldChar w:fldCharType="end"/>
      </w:r>
    </w:p>
    <w:p w14:paraId="20DC8A93" w14:textId="101BC6DF" w:rsidR="00423183" w:rsidRPr="00ED7C8D" w:rsidRDefault="00CC7E17" w:rsidP="0009624B">
      <w:pPr>
        <w:pStyle w:val="Body"/>
        <w:spacing w:before="160" w:line="360" w:lineRule="auto"/>
        <w:rPr>
          <w:rFonts w:ascii="Arial" w:hAnsi="Arial" w:cs="Arial"/>
          <w:b/>
          <w:noProof/>
          <w:u w:val="single"/>
        </w:rPr>
      </w:pPr>
      <w:r w:rsidRPr="00C2560F">
        <w:rPr>
          <w:rFonts w:ascii="Arial" w:eastAsia="Arial" w:hAnsi="Arial" w:cs="Arial"/>
          <w:sz w:val="24"/>
          <w:szCs w:val="24"/>
        </w:rPr>
        <w:fldChar w:fldCharType="end"/>
      </w:r>
      <w:r w:rsidR="00CE7704" w:rsidRPr="00ED7C8D">
        <w:rPr>
          <w:rFonts w:ascii="Arial" w:eastAsia="Arial" w:hAnsi="Arial" w:cs="Arial"/>
          <w:b/>
          <w:sz w:val="24"/>
          <w:szCs w:val="24"/>
          <w:u w:val="single"/>
        </w:rPr>
        <w:t>Appendix 2</w:t>
      </w:r>
      <w:r w:rsidR="00423183" w:rsidRPr="009E57CF">
        <w:rPr>
          <w:rFonts w:ascii="Arial" w:eastAsia="Arial" w:hAnsi="Arial" w:cs="Arial"/>
          <w:b/>
          <w:sz w:val="24"/>
          <w:szCs w:val="24"/>
          <w:u w:val="single"/>
        </w:rPr>
        <w:fldChar w:fldCharType="begin"/>
      </w:r>
      <w:r w:rsidR="00423183" w:rsidRPr="00ED7C8D">
        <w:rPr>
          <w:rFonts w:ascii="Arial" w:eastAsia="Arial" w:hAnsi="Arial" w:cs="Arial"/>
          <w:b/>
          <w:sz w:val="24"/>
          <w:szCs w:val="24"/>
          <w:u w:val="single"/>
        </w:rPr>
        <w:instrText xml:space="preserve"> TOC \c "APPENDIX 2 TABLE " </w:instrText>
      </w:r>
      <w:r w:rsidR="00423183" w:rsidRPr="009E57CF">
        <w:rPr>
          <w:rFonts w:ascii="Arial" w:eastAsia="Arial" w:hAnsi="Arial" w:cs="Arial"/>
          <w:b/>
          <w:sz w:val="24"/>
          <w:szCs w:val="24"/>
          <w:u w:val="single"/>
        </w:rPr>
        <w:fldChar w:fldCharType="separate"/>
      </w:r>
    </w:p>
    <w:p w14:paraId="47BCDE4D" w14:textId="577C6EEB" w:rsidR="00423183" w:rsidRPr="00CC7E17" w:rsidRDefault="005A6210" w:rsidP="0009624B">
      <w:pPr>
        <w:pStyle w:val="TableofFigures"/>
        <w:tabs>
          <w:tab w:val="right" w:pos="8630"/>
        </w:tabs>
        <w:spacing w:line="360" w:lineRule="auto"/>
        <w:rPr>
          <w:rFonts w:ascii="Arial" w:eastAsiaTheme="minorEastAsia" w:hAnsi="Arial" w:cs="Arial"/>
          <w:caps w:val="0"/>
          <w:noProof/>
          <w:sz w:val="24"/>
          <w:szCs w:val="24"/>
          <w:bdr w:val="none" w:sz="0" w:space="0" w:color="auto"/>
          <w:lang w:val="en-CA" w:eastAsia="ja-JP"/>
        </w:rPr>
      </w:pPr>
      <w:r w:rsidRPr="009E57CF">
        <w:rPr>
          <w:rFonts w:ascii="Arial" w:hAnsi="Arial" w:cs="Arial"/>
          <w:caps w:val="0"/>
          <w:noProof/>
          <w:sz w:val="24"/>
          <w:szCs w:val="24"/>
        </w:rPr>
        <w:t>Appendix 2 Table</w:t>
      </w:r>
      <w:r w:rsidR="00A50237">
        <w:rPr>
          <w:rFonts w:ascii="Arial" w:hAnsi="Arial" w:cs="Arial"/>
          <w:caps w:val="0"/>
          <w:noProof/>
          <w:sz w:val="24"/>
          <w:szCs w:val="24"/>
        </w:rPr>
        <w:t xml:space="preserve"> </w:t>
      </w:r>
      <w:r w:rsidRPr="009E57CF">
        <w:rPr>
          <w:rFonts w:ascii="Arial" w:hAnsi="Arial" w:cs="Arial"/>
          <w:caps w:val="0"/>
          <w:noProof/>
          <w:sz w:val="24"/>
          <w:szCs w:val="24"/>
        </w:rPr>
        <w:t>1: Number Of Prognosis Studies Per Year From 2005-2011 (Courtesy Of Dr Alfonso Iorio)</w:t>
      </w:r>
      <w:r w:rsidRPr="009E57CF">
        <w:rPr>
          <w:rFonts w:ascii="Arial" w:hAnsi="Arial" w:cs="Arial"/>
          <w:caps w:val="0"/>
          <w:noProof/>
          <w:sz w:val="24"/>
          <w:szCs w:val="24"/>
        </w:rPr>
        <w:tab/>
      </w:r>
      <w:r w:rsidR="00423183" w:rsidRPr="009E57CF">
        <w:rPr>
          <w:rFonts w:ascii="Arial" w:hAnsi="Arial" w:cs="Arial"/>
          <w:noProof/>
          <w:sz w:val="24"/>
          <w:szCs w:val="24"/>
        </w:rPr>
        <w:fldChar w:fldCharType="begin"/>
      </w:r>
      <w:r w:rsidR="00423183" w:rsidRPr="009E57CF">
        <w:rPr>
          <w:rFonts w:ascii="Arial" w:hAnsi="Arial" w:cs="Arial"/>
          <w:noProof/>
          <w:sz w:val="24"/>
          <w:szCs w:val="24"/>
        </w:rPr>
        <w:instrText xml:space="preserve"> PAGEREF _Toc271786980 \h </w:instrText>
      </w:r>
      <w:r w:rsidR="00423183" w:rsidRPr="009E57CF">
        <w:rPr>
          <w:rFonts w:ascii="Arial" w:hAnsi="Arial" w:cs="Arial"/>
          <w:noProof/>
          <w:sz w:val="24"/>
          <w:szCs w:val="24"/>
        </w:rPr>
      </w:r>
      <w:r w:rsidR="00423183" w:rsidRPr="009E57CF">
        <w:rPr>
          <w:rFonts w:ascii="Arial" w:hAnsi="Arial" w:cs="Arial"/>
          <w:noProof/>
          <w:sz w:val="24"/>
          <w:szCs w:val="24"/>
        </w:rPr>
        <w:fldChar w:fldCharType="separate"/>
      </w:r>
      <w:r w:rsidR="00E817BA">
        <w:rPr>
          <w:rFonts w:ascii="Arial" w:hAnsi="Arial" w:cs="Arial"/>
          <w:noProof/>
          <w:sz w:val="24"/>
          <w:szCs w:val="24"/>
        </w:rPr>
        <w:t>167</w:t>
      </w:r>
      <w:r w:rsidR="00423183" w:rsidRPr="009E57CF">
        <w:rPr>
          <w:rFonts w:ascii="Arial" w:hAnsi="Arial" w:cs="Arial"/>
          <w:noProof/>
          <w:sz w:val="24"/>
          <w:szCs w:val="24"/>
        </w:rPr>
        <w:fldChar w:fldCharType="end"/>
      </w:r>
    </w:p>
    <w:p w14:paraId="33A912F4" w14:textId="5BB810F3" w:rsidR="00423183" w:rsidRPr="00CC7E17" w:rsidRDefault="005A6210" w:rsidP="0009624B">
      <w:pPr>
        <w:pStyle w:val="TableofFigures"/>
        <w:tabs>
          <w:tab w:val="right" w:pos="8630"/>
        </w:tabs>
        <w:spacing w:line="360" w:lineRule="auto"/>
        <w:rPr>
          <w:rFonts w:ascii="Arial" w:eastAsiaTheme="minorEastAsia" w:hAnsi="Arial" w:cs="Arial"/>
          <w:caps w:val="0"/>
          <w:noProof/>
          <w:sz w:val="24"/>
          <w:szCs w:val="24"/>
          <w:bdr w:val="none" w:sz="0" w:space="0" w:color="auto"/>
          <w:lang w:val="en-CA" w:eastAsia="ja-JP"/>
        </w:rPr>
      </w:pPr>
      <w:r w:rsidRPr="009E57CF">
        <w:rPr>
          <w:rFonts w:ascii="Arial" w:hAnsi="Arial" w:cs="Arial"/>
          <w:caps w:val="0"/>
          <w:noProof/>
          <w:sz w:val="24"/>
          <w:szCs w:val="24"/>
        </w:rPr>
        <w:t>Appendix 2 Table</w:t>
      </w:r>
      <w:r w:rsidR="00A50237">
        <w:rPr>
          <w:rFonts w:ascii="Arial" w:hAnsi="Arial" w:cs="Arial"/>
          <w:caps w:val="0"/>
          <w:noProof/>
          <w:sz w:val="24"/>
          <w:szCs w:val="24"/>
        </w:rPr>
        <w:t xml:space="preserve"> </w:t>
      </w:r>
      <w:r w:rsidRPr="009E57CF">
        <w:rPr>
          <w:rFonts w:ascii="Arial" w:hAnsi="Arial" w:cs="Arial"/>
          <w:caps w:val="0"/>
          <w:noProof/>
          <w:sz w:val="24"/>
          <w:szCs w:val="24"/>
        </w:rPr>
        <w:t>2: Number Of Articles Per Discipline In The Plus Database As Of 2011 (Courtesy Of Dr Alfonso Iorio)</w:t>
      </w:r>
      <w:r w:rsidRPr="00CC7E17">
        <w:rPr>
          <w:rFonts w:ascii="Arial" w:hAnsi="Arial" w:cs="Arial"/>
          <w:caps w:val="0"/>
          <w:noProof/>
        </w:rPr>
        <w:tab/>
      </w:r>
      <w:r w:rsidR="00423183" w:rsidRPr="009E57CF">
        <w:rPr>
          <w:rFonts w:ascii="Arial" w:hAnsi="Arial" w:cs="Arial"/>
          <w:noProof/>
          <w:sz w:val="24"/>
          <w:szCs w:val="24"/>
        </w:rPr>
        <w:fldChar w:fldCharType="begin"/>
      </w:r>
      <w:r w:rsidR="00423183" w:rsidRPr="009E57CF">
        <w:rPr>
          <w:rFonts w:ascii="Arial" w:hAnsi="Arial" w:cs="Arial"/>
          <w:noProof/>
          <w:sz w:val="24"/>
          <w:szCs w:val="24"/>
        </w:rPr>
        <w:instrText xml:space="preserve"> PAGEREF _Toc271786981 \h </w:instrText>
      </w:r>
      <w:r w:rsidR="00423183" w:rsidRPr="009E57CF">
        <w:rPr>
          <w:rFonts w:ascii="Arial" w:hAnsi="Arial" w:cs="Arial"/>
          <w:noProof/>
          <w:sz w:val="24"/>
          <w:szCs w:val="24"/>
        </w:rPr>
      </w:r>
      <w:r w:rsidR="00423183" w:rsidRPr="009E57CF">
        <w:rPr>
          <w:rFonts w:ascii="Arial" w:hAnsi="Arial" w:cs="Arial"/>
          <w:noProof/>
          <w:sz w:val="24"/>
          <w:szCs w:val="24"/>
        </w:rPr>
        <w:fldChar w:fldCharType="separate"/>
      </w:r>
      <w:r w:rsidR="00E817BA">
        <w:rPr>
          <w:rFonts w:ascii="Arial" w:hAnsi="Arial" w:cs="Arial"/>
          <w:noProof/>
          <w:sz w:val="24"/>
          <w:szCs w:val="24"/>
        </w:rPr>
        <w:t>168</w:t>
      </w:r>
      <w:r w:rsidR="00423183" w:rsidRPr="009E57CF">
        <w:rPr>
          <w:rFonts w:ascii="Arial" w:hAnsi="Arial" w:cs="Arial"/>
          <w:noProof/>
          <w:sz w:val="24"/>
          <w:szCs w:val="24"/>
        </w:rPr>
        <w:fldChar w:fldCharType="end"/>
      </w:r>
    </w:p>
    <w:p w14:paraId="455AD9BF" w14:textId="5F60516C" w:rsidR="002C221C" w:rsidRDefault="00423183" w:rsidP="00ED7C8D">
      <w:pPr>
        <w:pStyle w:val="Heading1"/>
      </w:pPr>
      <w:r w:rsidRPr="009E57CF">
        <w:rPr>
          <w:rFonts w:ascii="Arial" w:eastAsia="Arial" w:hAnsi="Arial" w:cs="Arial"/>
          <w:color w:val="000000"/>
          <w:sz w:val="22"/>
          <w:szCs w:val="22"/>
          <w:lang w:val="en-CA"/>
        </w:rPr>
        <w:fldChar w:fldCharType="end"/>
      </w:r>
      <w:bookmarkStart w:id="7" w:name="_Toc271280671"/>
      <w:bookmarkStart w:id="8" w:name="_Toc286437108"/>
      <w:r w:rsidR="002C221C" w:rsidRPr="00ED7C8D">
        <w:t>List of Abbreviations and Symbols</w:t>
      </w:r>
      <w:bookmarkEnd w:id="7"/>
      <w:bookmarkEnd w:id="8"/>
      <w:r w:rsidR="002C221C" w:rsidRPr="00ED7C8D">
        <w:t xml:space="preserve"> </w:t>
      </w:r>
    </w:p>
    <w:p w14:paraId="2BE0CFDD" w14:textId="77777777" w:rsidR="00E87B49" w:rsidRPr="00ED7C8D" w:rsidRDefault="00E87B49" w:rsidP="00ED7C8D"/>
    <w:p w14:paraId="49605B1D" w14:textId="16D8BF7C" w:rsidR="002C221C" w:rsidRPr="00CC7E17" w:rsidRDefault="00AA5748"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BRiskeT</w:t>
      </w:r>
      <w:r w:rsidR="002C221C" w:rsidRPr="00CC7E17">
        <w:rPr>
          <w:rFonts w:ascii="Arial" w:eastAsia="Arial" w:hAnsi="Arial" w:cs="Arial"/>
          <w:b/>
          <w:sz w:val="24"/>
          <w:szCs w:val="24"/>
        </w:rPr>
        <w:t>:</w:t>
      </w:r>
      <w:r w:rsidR="002C221C" w:rsidRPr="00CC7E17">
        <w:rPr>
          <w:rFonts w:ascii="Arial" w:eastAsia="Arial" w:hAnsi="Arial" w:cs="Arial"/>
          <w:sz w:val="24"/>
          <w:szCs w:val="24"/>
        </w:rPr>
        <w:t xml:space="preserve"> Baseline Risk eTool</w:t>
      </w:r>
    </w:p>
    <w:p w14:paraId="011AD74B" w14:textId="77777777" w:rsidR="005A6210" w:rsidRPr="00CC7E17" w:rsidRDefault="005A6210"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CAP:</w:t>
      </w:r>
      <w:r w:rsidRPr="00CC7E17">
        <w:rPr>
          <w:rFonts w:ascii="Arial" w:eastAsia="Arial" w:hAnsi="Arial" w:cs="Arial"/>
          <w:sz w:val="24"/>
          <w:szCs w:val="24"/>
        </w:rPr>
        <w:t xml:space="preserve"> McMaster University’s Critical Appraisal Process </w:t>
      </w:r>
    </w:p>
    <w:p w14:paraId="1C60DC06" w14:textId="77777777" w:rsidR="005A6210" w:rsidRPr="00CC7E17" w:rsidRDefault="005A6210"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CI:</w:t>
      </w:r>
      <w:r w:rsidRPr="00CC7E17">
        <w:rPr>
          <w:rFonts w:ascii="Arial" w:eastAsia="Arial" w:hAnsi="Arial" w:cs="Arial"/>
          <w:sz w:val="24"/>
          <w:szCs w:val="24"/>
        </w:rPr>
        <w:t xml:space="preserve"> Confidence Interval </w:t>
      </w:r>
    </w:p>
    <w:p w14:paraId="76E4CAE4" w14:textId="77777777" w:rsidR="005A6210" w:rsidRPr="00CC7E17" w:rsidRDefault="005A6210"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CPGs:</w:t>
      </w:r>
      <w:r w:rsidRPr="00CC7E17">
        <w:rPr>
          <w:rFonts w:ascii="Arial" w:eastAsia="Arial" w:hAnsi="Arial" w:cs="Arial"/>
          <w:sz w:val="24"/>
          <w:szCs w:val="24"/>
        </w:rPr>
        <w:t xml:space="preserve"> Clinical Practice Guidelines</w:t>
      </w:r>
    </w:p>
    <w:p w14:paraId="0D741A89" w14:textId="7EA012B8" w:rsidR="00C11346" w:rsidRDefault="00C11346" w:rsidP="0009624B">
      <w:pPr>
        <w:pStyle w:val="Default"/>
        <w:spacing w:after="240" w:line="360" w:lineRule="auto"/>
        <w:rPr>
          <w:rFonts w:ascii="Arial" w:eastAsia="Arial" w:hAnsi="Arial" w:cs="Arial"/>
          <w:sz w:val="24"/>
          <w:szCs w:val="24"/>
        </w:rPr>
      </w:pPr>
      <w:r w:rsidRPr="00ED7C8D">
        <w:rPr>
          <w:rFonts w:ascii="Arial" w:eastAsia="Arial" w:hAnsi="Arial" w:cs="Arial"/>
          <w:b/>
          <w:sz w:val="24"/>
          <w:szCs w:val="24"/>
        </w:rPr>
        <w:t>CT:</w:t>
      </w:r>
      <w:r w:rsidRPr="00CC7E17">
        <w:rPr>
          <w:rFonts w:ascii="Arial" w:eastAsia="Arial" w:hAnsi="Arial" w:cs="Arial"/>
          <w:sz w:val="24"/>
          <w:szCs w:val="24"/>
        </w:rPr>
        <w:t xml:space="preserve"> Computed Tomography</w:t>
      </w:r>
    </w:p>
    <w:p w14:paraId="17DD104E" w14:textId="74B9719C" w:rsidR="00E260FD" w:rsidRPr="00ED7C8D" w:rsidRDefault="00E260FD" w:rsidP="0009624B">
      <w:pPr>
        <w:pStyle w:val="Default"/>
        <w:spacing w:after="240" w:line="360" w:lineRule="auto"/>
        <w:rPr>
          <w:rFonts w:ascii="Arial" w:eastAsia="Arial" w:hAnsi="Arial" w:cs="Arial"/>
          <w:sz w:val="24"/>
          <w:szCs w:val="24"/>
        </w:rPr>
      </w:pPr>
      <w:r>
        <w:rPr>
          <w:rFonts w:ascii="Arial" w:eastAsia="Arial" w:hAnsi="Arial" w:cs="Arial"/>
          <w:b/>
          <w:sz w:val="24"/>
          <w:szCs w:val="24"/>
        </w:rPr>
        <w:t xml:space="preserve">FP: </w:t>
      </w:r>
      <w:r>
        <w:rPr>
          <w:rFonts w:ascii="Arial" w:eastAsia="Arial" w:hAnsi="Arial" w:cs="Arial"/>
          <w:sz w:val="24"/>
          <w:szCs w:val="24"/>
        </w:rPr>
        <w:t>Family Practice</w:t>
      </w:r>
    </w:p>
    <w:p w14:paraId="07234628" w14:textId="09485B72" w:rsidR="00E260FD" w:rsidRPr="00ED7C8D" w:rsidRDefault="00E260FD" w:rsidP="0009624B">
      <w:pPr>
        <w:pStyle w:val="Default"/>
        <w:spacing w:after="240" w:line="360" w:lineRule="auto"/>
        <w:rPr>
          <w:rFonts w:ascii="Arial" w:eastAsia="Arial" w:hAnsi="Arial" w:cs="Arial"/>
          <w:b/>
          <w:sz w:val="24"/>
          <w:szCs w:val="24"/>
        </w:rPr>
      </w:pPr>
      <w:r w:rsidRPr="00ED7C8D">
        <w:rPr>
          <w:rFonts w:ascii="Arial" w:eastAsia="Arial" w:hAnsi="Arial" w:cs="Arial"/>
          <w:b/>
          <w:sz w:val="24"/>
          <w:szCs w:val="24"/>
        </w:rPr>
        <w:t>GP:</w:t>
      </w:r>
      <w:r>
        <w:rPr>
          <w:rFonts w:ascii="Arial" w:eastAsia="Arial" w:hAnsi="Arial" w:cs="Arial"/>
          <w:b/>
          <w:sz w:val="24"/>
          <w:szCs w:val="24"/>
        </w:rPr>
        <w:t xml:space="preserve"> </w:t>
      </w:r>
      <w:r w:rsidRPr="00ED7C8D">
        <w:rPr>
          <w:rFonts w:ascii="Arial" w:eastAsia="Arial" w:hAnsi="Arial" w:cs="Arial"/>
          <w:sz w:val="24"/>
          <w:szCs w:val="24"/>
        </w:rPr>
        <w:t>General Practice</w:t>
      </w:r>
    </w:p>
    <w:p w14:paraId="5D1C9C85" w14:textId="77777777" w:rsidR="005A6210" w:rsidRPr="00CC7E17" w:rsidRDefault="005A6210"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HiRU:</w:t>
      </w:r>
      <w:r w:rsidRPr="00CC7E17">
        <w:rPr>
          <w:rFonts w:ascii="Arial" w:eastAsia="Arial" w:hAnsi="Arial" w:cs="Arial"/>
          <w:sz w:val="24"/>
          <w:szCs w:val="24"/>
        </w:rPr>
        <w:t xml:space="preserve"> McMaster University’s Health Information Research Unit </w:t>
      </w:r>
    </w:p>
    <w:p w14:paraId="26B73523" w14:textId="77777777" w:rsidR="005A6210" w:rsidRPr="00CC7E17" w:rsidRDefault="005A6210"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HR:</w:t>
      </w:r>
      <w:r w:rsidRPr="00CC7E17">
        <w:rPr>
          <w:rFonts w:ascii="Arial" w:eastAsia="Arial" w:hAnsi="Arial" w:cs="Arial"/>
          <w:sz w:val="24"/>
          <w:szCs w:val="24"/>
        </w:rPr>
        <w:t xml:space="preserve"> Hazard Ratio</w:t>
      </w:r>
    </w:p>
    <w:p w14:paraId="137A2DCD" w14:textId="77777777" w:rsidR="005A6210" w:rsidRPr="00CC7E17" w:rsidRDefault="005A6210"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LB:</w:t>
      </w:r>
      <w:r w:rsidRPr="00CC7E17">
        <w:rPr>
          <w:rFonts w:ascii="Arial" w:eastAsia="Arial" w:hAnsi="Arial" w:cs="Arial"/>
          <w:sz w:val="24"/>
          <w:szCs w:val="24"/>
        </w:rPr>
        <w:t xml:space="preserve"> Lower Bound </w:t>
      </w:r>
    </w:p>
    <w:p w14:paraId="62767EA1" w14:textId="2DCAD662" w:rsidR="005A6210" w:rsidRPr="00CC7E17" w:rsidRDefault="005A6210"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MORE:</w:t>
      </w:r>
      <w:r w:rsidRPr="00CC7E17">
        <w:rPr>
          <w:rFonts w:ascii="Arial" w:eastAsia="Arial" w:hAnsi="Arial" w:cs="Arial"/>
          <w:sz w:val="24"/>
          <w:szCs w:val="24"/>
        </w:rPr>
        <w:t xml:space="preserve"> McMaster University’s McMaster Online Rating of Evidence</w:t>
      </w:r>
    </w:p>
    <w:p w14:paraId="5E1ACF8D" w14:textId="5BA6FDDF" w:rsidR="00C11346" w:rsidRPr="00CC7E17" w:rsidRDefault="00C11346" w:rsidP="0009624B">
      <w:pPr>
        <w:pStyle w:val="Default"/>
        <w:spacing w:after="240" w:line="360" w:lineRule="auto"/>
        <w:rPr>
          <w:rFonts w:ascii="Arial" w:eastAsia="Arial" w:hAnsi="Arial" w:cs="Arial"/>
          <w:sz w:val="24"/>
          <w:szCs w:val="24"/>
        </w:rPr>
      </w:pPr>
      <w:r w:rsidRPr="00ED7C8D">
        <w:rPr>
          <w:rFonts w:ascii="Arial" w:eastAsia="Arial" w:hAnsi="Arial" w:cs="Arial"/>
          <w:b/>
          <w:sz w:val="24"/>
          <w:szCs w:val="24"/>
        </w:rPr>
        <w:t>MRI</w:t>
      </w:r>
      <w:r w:rsidRPr="00CC7E17">
        <w:rPr>
          <w:rFonts w:ascii="Arial" w:eastAsia="Arial" w:hAnsi="Arial" w:cs="Arial"/>
          <w:sz w:val="24"/>
          <w:szCs w:val="24"/>
        </w:rPr>
        <w:t>: Magnetic Resonance Imaging</w:t>
      </w:r>
    </w:p>
    <w:p w14:paraId="0F29A17B" w14:textId="08232775" w:rsidR="005A6210" w:rsidRPr="00CC7E17" w:rsidRDefault="005A6210"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OR:</w:t>
      </w:r>
      <w:r w:rsidRPr="00CC7E17">
        <w:rPr>
          <w:rFonts w:ascii="Arial" w:eastAsia="Arial" w:hAnsi="Arial" w:cs="Arial"/>
          <w:sz w:val="24"/>
          <w:szCs w:val="24"/>
        </w:rPr>
        <w:t xml:space="preserve"> Odds Ratio</w:t>
      </w:r>
    </w:p>
    <w:p w14:paraId="6B3FF59B" w14:textId="5214B9C1" w:rsidR="002C221C" w:rsidRPr="00CC7E17" w:rsidRDefault="002C221C"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PLUS:</w:t>
      </w:r>
      <w:r w:rsidRPr="00CC7E17">
        <w:rPr>
          <w:rFonts w:ascii="Arial" w:eastAsia="Arial" w:hAnsi="Arial" w:cs="Arial"/>
          <w:sz w:val="24"/>
          <w:szCs w:val="24"/>
        </w:rPr>
        <w:t xml:space="preserve"> McMaster Univers</w:t>
      </w:r>
      <w:r w:rsidR="002A6855" w:rsidRPr="00CC7E17">
        <w:rPr>
          <w:rFonts w:ascii="Arial" w:eastAsia="Arial" w:hAnsi="Arial" w:cs="Arial"/>
          <w:sz w:val="24"/>
          <w:szCs w:val="24"/>
        </w:rPr>
        <w:t>i</w:t>
      </w:r>
      <w:r w:rsidRPr="00CC7E17">
        <w:rPr>
          <w:rFonts w:ascii="Arial" w:eastAsia="Arial" w:hAnsi="Arial" w:cs="Arial"/>
          <w:sz w:val="24"/>
          <w:szCs w:val="24"/>
        </w:rPr>
        <w:t>ty’s Premium LiteratUre Service</w:t>
      </w:r>
    </w:p>
    <w:p w14:paraId="0F17ECB0" w14:textId="77777777" w:rsidR="002C221C" w:rsidRPr="00CC7E17" w:rsidRDefault="002C221C" w:rsidP="0009624B">
      <w:pPr>
        <w:pStyle w:val="Default"/>
        <w:spacing w:after="240" w:line="360" w:lineRule="auto"/>
        <w:rPr>
          <w:rFonts w:ascii="Arial" w:eastAsia="Arial" w:hAnsi="Arial" w:cs="Arial"/>
          <w:sz w:val="24"/>
          <w:szCs w:val="24"/>
        </w:rPr>
      </w:pPr>
      <w:r w:rsidRPr="00CC7E17">
        <w:rPr>
          <w:rFonts w:ascii="Arial" w:eastAsia="Arial" w:hAnsi="Arial" w:cs="Arial"/>
          <w:b/>
          <w:sz w:val="24"/>
          <w:szCs w:val="24"/>
        </w:rPr>
        <w:t>RCT:</w:t>
      </w:r>
      <w:r w:rsidRPr="00CC7E17">
        <w:rPr>
          <w:rFonts w:ascii="Arial" w:eastAsia="Arial" w:hAnsi="Arial" w:cs="Arial"/>
          <w:sz w:val="24"/>
          <w:szCs w:val="24"/>
        </w:rPr>
        <w:t xml:space="preserve"> Randomized Control Trial </w:t>
      </w:r>
    </w:p>
    <w:p w14:paraId="2EF24227" w14:textId="77777777" w:rsidR="00E87B49" w:rsidRDefault="002C221C" w:rsidP="00C2560F">
      <w:pPr>
        <w:pStyle w:val="Default"/>
        <w:spacing w:after="240" w:line="360" w:lineRule="auto"/>
        <w:rPr>
          <w:rFonts w:ascii="Arial" w:eastAsia="Arial" w:hAnsi="Arial" w:cs="Arial"/>
          <w:sz w:val="24"/>
          <w:szCs w:val="24"/>
        </w:rPr>
      </w:pPr>
      <w:r w:rsidRPr="00CC7E17">
        <w:rPr>
          <w:rFonts w:ascii="Arial" w:eastAsia="Arial" w:hAnsi="Arial" w:cs="Arial"/>
          <w:b/>
          <w:sz w:val="24"/>
          <w:szCs w:val="24"/>
        </w:rPr>
        <w:t>RR:</w:t>
      </w:r>
      <w:r w:rsidRPr="00CC7E17">
        <w:rPr>
          <w:rFonts w:ascii="Arial" w:eastAsia="Arial" w:hAnsi="Arial" w:cs="Arial"/>
          <w:sz w:val="24"/>
          <w:szCs w:val="24"/>
        </w:rPr>
        <w:t xml:space="preserve"> Relative Risk </w:t>
      </w:r>
    </w:p>
    <w:p w14:paraId="12609FF3" w14:textId="1EE0A26B" w:rsidR="00E87B49" w:rsidRPr="00C2560F" w:rsidRDefault="00E87B49" w:rsidP="00C2560F">
      <w:pPr>
        <w:pStyle w:val="Default"/>
        <w:spacing w:after="240" w:line="360" w:lineRule="auto"/>
        <w:rPr>
          <w:rFonts w:ascii="Arial" w:eastAsia="Arial" w:hAnsi="Arial" w:cs="Arial"/>
          <w:sz w:val="24"/>
          <w:szCs w:val="24"/>
        </w:rPr>
      </w:pPr>
      <w:r w:rsidRPr="00ED7C8D">
        <w:rPr>
          <w:rFonts w:ascii="Arial" w:eastAsia="Arial" w:hAnsi="Arial" w:cs="Arial"/>
          <w:b/>
          <w:sz w:val="24"/>
          <w:szCs w:val="24"/>
        </w:rPr>
        <w:t>SNOMED:</w:t>
      </w:r>
      <w:r>
        <w:rPr>
          <w:rFonts w:ascii="Arial" w:eastAsia="Arial" w:hAnsi="Arial" w:cs="Arial"/>
          <w:sz w:val="24"/>
          <w:szCs w:val="24"/>
        </w:rPr>
        <w:t xml:space="preserve"> </w:t>
      </w:r>
      <w:r w:rsidRPr="00E87B49">
        <w:rPr>
          <w:rFonts w:ascii="Arial" w:eastAsia="Times New Roman" w:hAnsi="Arial" w:cs="Arial"/>
          <w:color w:val="222222"/>
          <w:bdr w:val="none" w:sz="0" w:space="0" w:color="auto"/>
          <w:shd w:val="clear" w:color="auto" w:fill="FFFFFF"/>
        </w:rPr>
        <w:t>Systematized Nomenclature of Medicine</w:t>
      </w:r>
    </w:p>
    <w:p w14:paraId="1B9A1255" w14:textId="77777777" w:rsidR="002C221C" w:rsidRPr="00CC7E17" w:rsidRDefault="002C221C" w:rsidP="00ED7C8D">
      <w:pPr>
        <w:pStyle w:val="Default"/>
        <w:spacing w:after="240" w:line="480" w:lineRule="auto"/>
        <w:rPr>
          <w:rFonts w:ascii="Arial" w:eastAsia="Arial" w:hAnsi="Arial" w:cs="Arial"/>
          <w:sz w:val="24"/>
          <w:szCs w:val="24"/>
        </w:rPr>
      </w:pPr>
      <w:r w:rsidRPr="00CC7E17">
        <w:rPr>
          <w:rFonts w:ascii="Arial" w:eastAsia="Arial" w:hAnsi="Arial" w:cs="Arial"/>
          <w:b/>
          <w:sz w:val="24"/>
          <w:szCs w:val="24"/>
        </w:rPr>
        <w:t>UB:</w:t>
      </w:r>
      <w:r w:rsidRPr="00CC7E17">
        <w:rPr>
          <w:rFonts w:ascii="Arial" w:eastAsia="Arial" w:hAnsi="Arial" w:cs="Arial"/>
          <w:sz w:val="24"/>
          <w:szCs w:val="24"/>
        </w:rPr>
        <w:t xml:space="preserve"> Upper Bound</w:t>
      </w:r>
    </w:p>
    <w:p w14:paraId="14317B9D" w14:textId="77777777" w:rsidR="002C221C" w:rsidRPr="00CC7E17" w:rsidRDefault="002C221C" w:rsidP="0009624B">
      <w:pPr>
        <w:pStyle w:val="Default"/>
        <w:spacing w:after="240" w:line="360" w:lineRule="auto"/>
        <w:rPr>
          <w:rFonts w:ascii="Arial" w:eastAsia="Arial" w:hAnsi="Arial" w:cs="Arial"/>
          <w:sz w:val="24"/>
          <w:szCs w:val="24"/>
        </w:rPr>
      </w:pPr>
    </w:p>
    <w:p w14:paraId="495FDFEC" w14:textId="77777777" w:rsidR="002C221C" w:rsidRPr="00CC7E17" w:rsidRDefault="002C221C" w:rsidP="0009624B">
      <w:pPr>
        <w:pStyle w:val="Default"/>
        <w:spacing w:after="240" w:line="360" w:lineRule="auto"/>
        <w:rPr>
          <w:rFonts w:ascii="Arial" w:eastAsia="Arial" w:hAnsi="Arial" w:cs="Arial"/>
          <w:sz w:val="24"/>
          <w:szCs w:val="24"/>
        </w:rPr>
      </w:pPr>
    </w:p>
    <w:p w14:paraId="7E1E3450" w14:textId="77777777" w:rsidR="002C221C" w:rsidRPr="00CC7E17" w:rsidRDefault="002C221C" w:rsidP="0009624B">
      <w:pPr>
        <w:pStyle w:val="Default"/>
        <w:spacing w:after="240" w:line="360" w:lineRule="auto"/>
        <w:rPr>
          <w:rFonts w:ascii="Arial" w:eastAsia="Arial" w:hAnsi="Arial" w:cs="Arial"/>
          <w:sz w:val="24"/>
          <w:szCs w:val="24"/>
        </w:rPr>
      </w:pPr>
    </w:p>
    <w:p w14:paraId="67C9E5D5" w14:textId="77777777" w:rsidR="002C221C" w:rsidRPr="00CC7E17" w:rsidRDefault="002C221C" w:rsidP="0009624B">
      <w:pPr>
        <w:pStyle w:val="Default"/>
        <w:spacing w:after="240" w:line="360" w:lineRule="auto"/>
        <w:rPr>
          <w:rFonts w:ascii="Arial" w:eastAsia="Arial" w:hAnsi="Arial" w:cs="Arial"/>
          <w:sz w:val="24"/>
          <w:szCs w:val="24"/>
        </w:rPr>
      </w:pPr>
    </w:p>
    <w:p w14:paraId="4783177C" w14:textId="77777777" w:rsidR="002C221C" w:rsidRPr="00CC7E17" w:rsidRDefault="002C221C" w:rsidP="0009624B">
      <w:pPr>
        <w:pStyle w:val="Default"/>
        <w:spacing w:after="240" w:line="360" w:lineRule="auto"/>
        <w:rPr>
          <w:rFonts w:ascii="Arial" w:eastAsia="Arial" w:hAnsi="Arial" w:cs="Arial"/>
          <w:sz w:val="24"/>
          <w:szCs w:val="24"/>
        </w:rPr>
      </w:pPr>
    </w:p>
    <w:p w14:paraId="0B28DA99" w14:textId="77777777" w:rsidR="002C221C" w:rsidRPr="00CC7E17" w:rsidRDefault="002C221C" w:rsidP="0009624B">
      <w:pPr>
        <w:pStyle w:val="Default"/>
        <w:spacing w:after="240" w:line="360" w:lineRule="auto"/>
        <w:rPr>
          <w:rFonts w:ascii="Arial" w:eastAsia="Arial" w:hAnsi="Arial" w:cs="Arial"/>
          <w:sz w:val="24"/>
          <w:szCs w:val="24"/>
        </w:rPr>
      </w:pPr>
    </w:p>
    <w:p w14:paraId="549AE4B9" w14:textId="77777777" w:rsidR="002C221C" w:rsidRPr="00CC7E17" w:rsidRDefault="002C221C" w:rsidP="0009624B">
      <w:pPr>
        <w:pStyle w:val="Body"/>
        <w:spacing w:before="160" w:line="360" w:lineRule="auto"/>
        <w:rPr>
          <w:rFonts w:ascii="Arial" w:eastAsia="Arial" w:hAnsi="Arial" w:cs="Arial"/>
          <w:sz w:val="24"/>
          <w:szCs w:val="24"/>
        </w:rPr>
      </w:pPr>
    </w:p>
    <w:p w14:paraId="5A1AA77B" w14:textId="77777777" w:rsidR="004226F0" w:rsidRPr="009E57CF" w:rsidRDefault="004226F0" w:rsidP="009E57CF">
      <w:pPr>
        <w:rPr>
          <w:rFonts w:ascii="Arial" w:hAnsi="Arial" w:cs="Arial"/>
        </w:rPr>
      </w:pPr>
    </w:p>
    <w:p w14:paraId="61D7114E" w14:textId="77777777" w:rsidR="002C221C" w:rsidRPr="00CC7E17" w:rsidRDefault="002C221C" w:rsidP="0009624B">
      <w:pPr>
        <w:pStyle w:val="Heading1"/>
        <w:spacing w:line="360" w:lineRule="auto"/>
        <w:rPr>
          <w:rFonts w:ascii="Arial" w:hAnsi="Arial" w:cs="Arial"/>
        </w:rPr>
      </w:pPr>
      <w:bookmarkStart w:id="9" w:name="_Toc286437109"/>
      <w:r w:rsidRPr="00CC7E17">
        <w:rPr>
          <w:rFonts w:ascii="Arial" w:hAnsi="Arial" w:cs="Arial"/>
        </w:rPr>
        <w:t>Declaration of Academic Achievement</w:t>
      </w:r>
      <w:bookmarkEnd w:id="9"/>
    </w:p>
    <w:p w14:paraId="12BFD84C" w14:textId="3B20C8F2" w:rsidR="002C221C" w:rsidRPr="00CC7E17" w:rsidRDefault="00E3166A" w:rsidP="0009624B">
      <w:pPr>
        <w:pStyle w:val="Body"/>
        <w:spacing w:before="160" w:line="360" w:lineRule="auto"/>
        <w:ind w:left="240"/>
        <w:rPr>
          <w:rFonts w:ascii="Arial" w:eastAsia="Arial" w:hAnsi="Arial" w:cs="Arial"/>
          <w:sz w:val="29"/>
          <w:szCs w:val="29"/>
        </w:rPr>
      </w:pPr>
      <w:r w:rsidRPr="00CC7E17">
        <w:rPr>
          <w:rFonts w:ascii="Arial" w:hAnsi="Arial" w:cs="Arial"/>
          <w:sz w:val="24"/>
          <w:szCs w:val="24"/>
          <w:lang w:val="en-US"/>
        </w:rPr>
        <w:t>The</w:t>
      </w:r>
      <w:r w:rsidR="00E0406D" w:rsidRPr="00CC7E17">
        <w:rPr>
          <w:rFonts w:ascii="Arial" w:hAnsi="Arial" w:cs="Arial"/>
          <w:sz w:val="24"/>
          <w:szCs w:val="24"/>
          <w:lang w:val="en-US"/>
        </w:rPr>
        <w:t xml:space="preserve"> concept behind the</w:t>
      </w:r>
      <w:r w:rsidRPr="00CC7E17">
        <w:rPr>
          <w:rFonts w:ascii="Arial" w:hAnsi="Arial" w:cs="Arial"/>
          <w:sz w:val="24"/>
          <w:szCs w:val="24"/>
          <w:lang w:val="en-US"/>
        </w:rPr>
        <w:t xml:space="preserve"> BRiskeT </w:t>
      </w:r>
      <w:r w:rsidR="00E0406D" w:rsidRPr="00CC7E17">
        <w:rPr>
          <w:rFonts w:ascii="Arial" w:hAnsi="Arial" w:cs="Arial"/>
          <w:sz w:val="24"/>
          <w:szCs w:val="24"/>
          <w:lang w:val="en-US"/>
        </w:rPr>
        <w:t>tool</w:t>
      </w:r>
      <w:r w:rsidRPr="00CC7E17">
        <w:rPr>
          <w:rFonts w:ascii="Arial" w:hAnsi="Arial" w:cs="Arial"/>
          <w:sz w:val="24"/>
          <w:szCs w:val="24"/>
          <w:lang w:val="en-US"/>
        </w:rPr>
        <w:t xml:space="preserve"> is unique. I</w:t>
      </w:r>
      <w:r w:rsidR="002C221C" w:rsidRPr="00CC7E17">
        <w:rPr>
          <w:rFonts w:ascii="Arial" w:hAnsi="Arial" w:cs="Arial"/>
          <w:sz w:val="24"/>
          <w:szCs w:val="24"/>
          <w:lang w:val="en-US"/>
        </w:rPr>
        <w:t>f</w:t>
      </w:r>
      <w:r w:rsidR="00A50237">
        <w:rPr>
          <w:rFonts w:ascii="Arial" w:hAnsi="Arial" w:cs="Arial"/>
          <w:sz w:val="24"/>
          <w:szCs w:val="24"/>
          <w:lang w:val="en-US"/>
        </w:rPr>
        <w:t xml:space="preserve"> </w:t>
      </w:r>
      <w:r w:rsidR="002C221C" w:rsidRPr="00CC7E17">
        <w:rPr>
          <w:rFonts w:ascii="Arial" w:hAnsi="Arial" w:cs="Arial"/>
          <w:sz w:val="24"/>
          <w:szCs w:val="24"/>
          <w:lang w:val="en-US"/>
        </w:rPr>
        <w:t>successful, a multitude of users</w:t>
      </w:r>
      <w:r w:rsidR="00940322" w:rsidRPr="00CC7E17">
        <w:rPr>
          <w:rFonts w:ascii="Arial" w:hAnsi="Arial" w:cs="Arial"/>
          <w:sz w:val="24"/>
          <w:szCs w:val="24"/>
          <w:lang w:val="en-US"/>
        </w:rPr>
        <w:t xml:space="preserve"> seeking prognostic information on diseases and conditions</w:t>
      </w:r>
      <w:r w:rsidR="002C221C" w:rsidRPr="00CC7E17">
        <w:rPr>
          <w:rFonts w:ascii="Arial" w:hAnsi="Arial" w:cs="Arial"/>
          <w:sz w:val="24"/>
          <w:szCs w:val="24"/>
          <w:lang w:val="en-US"/>
        </w:rPr>
        <w:t xml:space="preserve"> may stand to benefit from having a large proportion of extracted data from the best articles in one place rather than spread across several journals. This thesis stands as a testament to the effect of technology on research and medical literature as the use of the new online </w:t>
      </w:r>
      <w:r w:rsidR="00AA5748" w:rsidRPr="00CC7E17">
        <w:rPr>
          <w:rFonts w:ascii="Arial" w:hAnsi="Arial" w:cs="Arial"/>
          <w:sz w:val="24"/>
          <w:szCs w:val="24"/>
          <w:lang w:val="en-US"/>
        </w:rPr>
        <w:t>extractor interface</w:t>
      </w:r>
      <w:r w:rsidR="00A50237">
        <w:rPr>
          <w:rFonts w:ascii="Arial" w:hAnsi="Arial" w:cs="Arial"/>
          <w:sz w:val="24"/>
          <w:szCs w:val="24"/>
          <w:lang w:val="en-US"/>
        </w:rPr>
        <w:t xml:space="preserve"> </w:t>
      </w:r>
      <w:r w:rsidR="002C221C" w:rsidRPr="00CC7E17">
        <w:rPr>
          <w:rFonts w:ascii="Arial" w:hAnsi="Arial" w:cs="Arial"/>
          <w:sz w:val="24"/>
          <w:szCs w:val="24"/>
          <w:lang w:val="en-US"/>
        </w:rPr>
        <w:t xml:space="preserve">not only sped up the process of data extraction, but </w:t>
      </w:r>
      <w:r w:rsidR="00C51D04" w:rsidRPr="00CC7E17">
        <w:rPr>
          <w:rFonts w:ascii="Arial" w:hAnsi="Arial" w:cs="Arial"/>
          <w:sz w:val="24"/>
          <w:szCs w:val="24"/>
          <w:lang w:val="en-US"/>
        </w:rPr>
        <w:t xml:space="preserve">will </w:t>
      </w:r>
      <w:r w:rsidR="002C221C" w:rsidRPr="00CC7E17">
        <w:rPr>
          <w:rFonts w:ascii="Arial" w:hAnsi="Arial" w:cs="Arial"/>
          <w:sz w:val="24"/>
          <w:szCs w:val="24"/>
          <w:lang w:val="en-US"/>
        </w:rPr>
        <w:t xml:space="preserve">also </w:t>
      </w:r>
      <w:r w:rsidR="00940322" w:rsidRPr="00CC7E17">
        <w:rPr>
          <w:rFonts w:ascii="Arial" w:hAnsi="Arial" w:cs="Arial"/>
          <w:sz w:val="24"/>
          <w:szCs w:val="24"/>
          <w:lang w:val="en-US"/>
        </w:rPr>
        <w:t>significantly increase</w:t>
      </w:r>
      <w:r w:rsidR="002C221C" w:rsidRPr="00CC7E17">
        <w:rPr>
          <w:rFonts w:ascii="Arial" w:hAnsi="Arial" w:cs="Arial"/>
          <w:sz w:val="24"/>
          <w:szCs w:val="24"/>
          <w:lang w:val="en-US"/>
        </w:rPr>
        <w:t xml:space="preserve"> the proportion of articles </w:t>
      </w:r>
      <w:r w:rsidR="00940322" w:rsidRPr="00CC7E17">
        <w:rPr>
          <w:rFonts w:ascii="Arial" w:hAnsi="Arial" w:cs="Arial"/>
          <w:sz w:val="24"/>
          <w:szCs w:val="24"/>
          <w:lang w:val="en-US"/>
        </w:rPr>
        <w:t>from which</w:t>
      </w:r>
      <w:r w:rsidR="002C221C" w:rsidRPr="00CC7E17">
        <w:rPr>
          <w:rFonts w:ascii="Arial" w:hAnsi="Arial" w:cs="Arial"/>
          <w:sz w:val="24"/>
          <w:szCs w:val="24"/>
          <w:lang w:val="en-US"/>
        </w:rPr>
        <w:t xml:space="preserve"> data </w:t>
      </w:r>
      <w:r w:rsidR="009E57CF">
        <w:rPr>
          <w:rFonts w:ascii="Arial" w:hAnsi="Arial" w:cs="Arial"/>
          <w:sz w:val="24"/>
          <w:szCs w:val="24"/>
          <w:lang w:val="en-US"/>
        </w:rPr>
        <w:t>are</w:t>
      </w:r>
      <w:r w:rsidR="002C221C" w:rsidRPr="00CC7E17">
        <w:rPr>
          <w:rFonts w:ascii="Arial" w:hAnsi="Arial" w:cs="Arial"/>
          <w:sz w:val="24"/>
          <w:szCs w:val="24"/>
          <w:lang w:val="en-US"/>
        </w:rPr>
        <w:t xml:space="preserve"> successfully extracted</w:t>
      </w:r>
      <w:r w:rsidR="00C51D04" w:rsidRPr="00CC7E17">
        <w:rPr>
          <w:rFonts w:ascii="Arial" w:hAnsi="Arial" w:cs="Arial"/>
          <w:sz w:val="24"/>
          <w:szCs w:val="24"/>
          <w:lang w:val="en-US"/>
        </w:rPr>
        <w:t xml:space="preserve"> with minor alterations in the future</w:t>
      </w:r>
      <w:r w:rsidR="002C221C" w:rsidRPr="00CC7E17">
        <w:rPr>
          <w:rFonts w:ascii="Arial" w:hAnsi="Arial" w:cs="Arial"/>
          <w:sz w:val="24"/>
          <w:szCs w:val="24"/>
          <w:lang w:val="en-US"/>
        </w:rPr>
        <w:t>.</w:t>
      </w:r>
    </w:p>
    <w:p w14:paraId="64D991DB" w14:textId="77777777" w:rsidR="002C221C" w:rsidRPr="00CC7E17" w:rsidRDefault="002C221C" w:rsidP="0009624B">
      <w:pPr>
        <w:spacing w:line="360" w:lineRule="auto"/>
        <w:rPr>
          <w:rFonts w:ascii="Arial" w:hAnsi="Arial" w:cs="Arial"/>
        </w:rPr>
      </w:pPr>
    </w:p>
    <w:p w14:paraId="09BD6BE2" w14:textId="77777777" w:rsidR="002C221C" w:rsidRPr="00CC7E17" w:rsidRDefault="002C221C" w:rsidP="0009624B">
      <w:pPr>
        <w:spacing w:line="360" w:lineRule="auto"/>
        <w:rPr>
          <w:rFonts w:ascii="Arial" w:hAnsi="Arial" w:cs="Arial"/>
        </w:rPr>
      </w:pPr>
    </w:p>
    <w:p w14:paraId="42E0711A" w14:textId="77777777" w:rsidR="002C221C" w:rsidRPr="00CC7E17" w:rsidRDefault="002C221C" w:rsidP="0009624B">
      <w:pPr>
        <w:spacing w:line="360" w:lineRule="auto"/>
        <w:rPr>
          <w:rFonts w:ascii="Arial" w:hAnsi="Arial" w:cs="Arial"/>
        </w:rPr>
      </w:pPr>
    </w:p>
    <w:p w14:paraId="2BD60FA7" w14:textId="77777777" w:rsidR="0051366B" w:rsidRPr="00CC7E17" w:rsidRDefault="0051366B" w:rsidP="0009624B">
      <w:pPr>
        <w:spacing w:line="360" w:lineRule="auto"/>
        <w:rPr>
          <w:rFonts w:ascii="Arial" w:hAnsi="Arial" w:cs="Arial"/>
        </w:rPr>
        <w:sectPr w:rsidR="0051366B" w:rsidRPr="00CC7E17" w:rsidSect="005856AA">
          <w:headerReference w:type="default" r:id="rId11"/>
          <w:footerReference w:type="default" r:id="rId12"/>
          <w:pgSz w:w="12240" w:h="15840"/>
          <w:pgMar w:top="1440" w:right="1800" w:bottom="1440" w:left="1800" w:header="708" w:footer="708" w:gutter="0"/>
          <w:pgNumType w:fmt="lowerRoman" w:start="1"/>
          <w:cols w:space="708"/>
          <w:docGrid w:linePitch="360"/>
        </w:sectPr>
      </w:pPr>
    </w:p>
    <w:p w14:paraId="7AACA8C7" w14:textId="77777777" w:rsidR="002C221C" w:rsidRPr="00CC7E17" w:rsidRDefault="002C221C" w:rsidP="0009624B">
      <w:pPr>
        <w:pStyle w:val="Heading1"/>
        <w:spacing w:line="360" w:lineRule="auto"/>
        <w:rPr>
          <w:rFonts w:ascii="Arial" w:hAnsi="Arial" w:cs="Arial"/>
        </w:rPr>
      </w:pPr>
      <w:bookmarkStart w:id="10" w:name="_Toc286437110"/>
      <w:r w:rsidRPr="00CC7E17">
        <w:rPr>
          <w:rFonts w:ascii="Arial" w:hAnsi="Arial" w:cs="Arial"/>
        </w:rPr>
        <w:t>Abstract</w:t>
      </w:r>
      <w:bookmarkEnd w:id="10"/>
      <w:r w:rsidRPr="00CC7E17">
        <w:rPr>
          <w:rFonts w:ascii="Arial" w:hAnsi="Arial" w:cs="Arial"/>
        </w:rPr>
        <w:t xml:space="preserve"> </w:t>
      </w:r>
    </w:p>
    <w:p w14:paraId="4CD3C2F8" w14:textId="77777777" w:rsidR="002C221C" w:rsidRPr="00CC7E17" w:rsidRDefault="002C221C" w:rsidP="0009624B">
      <w:pPr>
        <w:pStyle w:val="Body"/>
        <w:spacing w:line="360" w:lineRule="auto"/>
        <w:rPr>
          <w:rFonts w:ascii="Arial" w:hAnsi="Arial" w:cs="Arial"/>
        </w:rPr>
      </w:pPr>
    </w:p>
    <w:p w14:paraId="522023DD" w14:textId="5CF16033" w:rsidR="00D07A18" w:rsidRPr="00CC7E17" w:rsidRDefault="002C221C" w:rsidP="0009624B">
      <w:pPr>
        <w:pStyle w:val="Default"/>
        <w:spacing w:after="240" w:line="360" w:lineRule="auto"/>
        <w:rPr>
          <w:rFonts w:ascii="Arial" w:hAnsi="Arial" w:cs="Arial"/>
          <w:sz w:val="24"/>
          <w:szCs w:val="24"/>
          <w:lang w:val="en-US"/>
        </w:rPr>
      </w:pPr>
      <w:r w:rsidRPr="00CC7E17">
        <w:rPr>
          <w:rFonts w:ascii="Arial" w:hAnsi="Arial" w:cs="Arial"/>
          <w:sz w:val="24"/>
          <w:szCs w:val="24"/>
          <w:lang w:val="en-US"/>
        </w:rPr>
        <w:t xml:space="preserve">This thesis was undertaken </w:t>
      </w:r>
      <w:r w:rsidR="00D07A18" w:rsidRPr="00CC7E17">
        <w:rPr>
          <w:rFonts w:ascii="Arial" w:hAnsi="Arial" w:cs="Arial"/>
          <w:sz w:val="24"/>
          <w:szCs w:val="24"/>
          <w:lang w:val="en-US"/>
        </w:rPr>
        <w:t xml:space="preserve">to </w:t>
      </w:r>
      <w:r w:rsidR="00DC7B46" w:rsidRPr="00CC7E17">
        <w:rPr>
          <w:rFonts w:ascii="Arial" w:hAnsi="Arial" w:cs="Arial"/>
          <w:sz w:val="24"/>
          <w:szCs w:val="24"/>
          <w:lang w:val="en-US"/>
        </w:rPr>
        <w:t xml:space="preserve">investigate </w:t>
      </w:r>
      <w:r w:rsidR="009C01DE" w:rsidRPr="00CC7E17">
        <w:rPr>
          <w:rFonts w:ascii="Arial" w:hAnsi="Arial" w:cs="Arial"/>
          <w:sz w:val="24"/>
          <w:szCs w:val="24"/>
          <w:lang w:val="en-US"/>
        </w:rPr>
        <w:t>if a</w:t>
      </w:r>
      <w:r w:rsidR="005E66BF">
        <w:rPr>
          <w:rFonts w:ascii="Arial" w:hAnsi="Arial" w:cs="Arial"/>
          <w:sz w:val="24"/>
          <w:szCs w:val="24"/>
          <w:lang w:val="en-US"/>
        </w:rPr>
        <w:t>n</w:t>
      </w:r>
      <w:r w:rsidR="009C01DE" w:rsidRPr="00CC7E17">
        <w:rPr>
          <w:rFonts w:ascii="Arial" w:hAnsi="Arial" w:cs="Arial"/>
          <w:sz w:val="24"/>
          <w:szCs w:val="24"/>
          <w:lang w:val="en-US"/>
        </w:rPr>
        <w:t xml:space="preserve"> </w:t>
      </w:r>
      <w:r w:rsidR="00E37181">
        <w:rPr>
          <w:rFonts w:ascii="Arial" w:hAnsi="Arial" w:cs="Arial"/>
          <w:sz w:val="24"/>
          <w:szCs w:val="24"/>
          <w:lang w:val="en-US"/>
        </w:rPr>
        <w:t>eForm-based</w:t>
      </w:r>
      <w:r w:rsidR="009C01DE" w:rsidRPr="00CC7E17">
        <w:rPr>
          <w:rFonts w:ascii="Arial" w:hAnsi="Arial" w:cs="Arial"/>
          <w:sz w:val="24"/>
          <w:szCs w:val="24"/>
          <w:lang w:val="en-US"/>
        </w:rPr>
        <w:t xml:space="preserve"> extractor interface would </w:t>
      </w:r>
      <w:r w:rsidRPr="00CC7E17">
        <w:rPr>
          <w:rFonts w:ascii="Arial" w:hAnsi="Arial" w:cs="Arial"/>
          <w:sz w:val="24"/>
          <w:szCs w:val="24"/>
          <w:lang w:val="en-US"/>
        </w:rPr>
        <w:t xml:space="preserve">improve the efficiency of the baseline risk extraction process for </w:t>
      </w:r>
      <w:r w:rsidR="00AA5748" w:rsidRPr="00CC7E17">
        <w:rPr>
          <w:rFonts w:ascii="Arial" w:hAnsi="Arial" w:cs="Arial"/>
          <w:sz w:val="24"/>
          <w:szCs w:val="24"/>
          <w:lang w:val="en-US"/>
        </w:rPr>
        <w:t>BRiskeT</w:t>
      </w:r>
      <w:r w:rsidRPr="00CC7E17">
        <w:rPr>
          <w:rFonts w:ascii="Arial" w:hAnsi="Arial" w:cs="Arial"/>
          <w:sz w:val="24"/>
          <w:szCs w:val="24"/>
          <w:lang w:val="en-US"/>
        </w:rPr>
        <w:t xml:space="preserve"> (Baseline Risk e-Tool). The </w:t>
      </w:r>
      <w:r w:rsidR="00AA5748" w:rsidRPr="00CC7E17">
        <w:rPr>
          <w:rFonts w:ascii="Arial" w:hAnsi="Arial" w:cs="Arial"/>
          <w:sz w:val="24"/>
          <w:szCs w:val="24"/>
          <w:lang w:val="da-DK"/>
        </w:rPr>
        <w:t>BRiskeT</w:t>
      </w:r>
      <w:r w:rsidRPr="00CC7E17">
        <w:rPr>
          <w:rFonts w:ascii="Arial" w:hAnsi="Arial" w:cs="Arial"/>
          <w:sz w:val="24"/>
          <w:szCs w:val="24"/>
          <w:lang w:val="en-US"/>
        </w:rPr>
        <w:t xml:space="preserve"> database will contain the extracted </w:t>
      </w:r>
      <w:r w:rsidR="00A35608" w:rsidRPr="00CC7E17">
        <w:rPr>
          <w:rFonts w:ascii="Arial" w:hAnsi="Arial" w:cs="Arial"/>
          <w:sz w:val="24"/>
          <w:szCs w:val="24"/>
          <w:lang w:val="en-US"/>
        </w:rPr>
        <w:t xml:space="preserve">baseline risk data </w:t>
      </w:r>
      <w:r w:rsidRPr="00CC7E17">
        <w:rPr>
          <w:rFonts w:ascii="Arial" w:hAnsi="Arial" w:cs="Arial"/>
          <w:sz w:val="24"/>
          <w:szCs w:val="24"/>
          <w:lang w:val="en-US"/>
        </w:rPr>
        <w:t xml:space="preserve">from top prognostic research articles. </w:t>
      </w:r>
      <w:r w:rsidR="00AA5748" w:rsidRPr="00CC7E17">
        <w:rPr>
          <w:rFonts w:ascii="Arial" w:hAnsi="Arial" w:cs="Arial"/>
          <w:sz w:val="24"/>
          <w:szCs w:val="24"/>
          <w:lang w:val="en-US"/>
        </w:rPr>
        <w:t>BRiskeT</w:t>
      </w:r>
      <w:r w:rsidRPr="00CC7E17">
        <w:rPr>
          <w:rFonts w:ascii="Arial" w:hAnsi="Arial" w:cs="Arial"/>
          <w:sz w:val="24"/>
          <w:szCs w:val="24"/>
          <w:lang w:val="en-US"/>
        </w:rPr>
        <w:t xml:space="preserve"> utilizes McMaster University’s PLUS (Premium Literature Service) database to thoroughly vet articles prior to their inclusion in </w:t>
      </w:r>
      <w:r w:rsidR="00AA5748" w:rsidRPr="00CC7E17">
        <w:rPr>
          <w:rFonts w:ascii="Arial" w:hAnsi="Arial" w:cs="Arial"/>
          <w:sz w:val="24"/>
          <w:szCs w:val="24"/>
          <w:lang w:val="en-US"/>
        </w:rPr>
        <w:t>BRiskeT</w:t>
      </w:r>
      <w:r w:rsidRPr="00CC7E17">
        <w:rPr>
          <w:rFonts w:ascii="Arial" w:hAnsi="Arial" w:cs="Arial"/>
          <w:sz w:val="24"/>
          <w:szCs w:val="24"/>
          <w:lang w:val="en-US"/>
        </w:rPr>
        <w:t xml:space="preserve">. </w:t>
      </w:r>
      <w:r w:rsidR="009D6437" w:rsidRPr="00CC7E17">
        <w:rPr>
          <w:rFonts w:ascii="Arial" w:hAnsi="Arial" w:cs="Arial"/>
          <w:sz w:val="24"/>
          <w:szCs w:val="24"/>
          <w:lang w:val="en-US"/>
        </w:rPr>
        <w:t xml:space="preserve">The articles that have met inclusion criteria are then passed into the </w:t>
      </w:r>
      <w:r w:rsidR="00AA5748" w:rsidRPr="00CC7E17">
        <w:rPr>
          <w:rFonts w:ascii="Arial" w:hAnsi="Arial" w:cs="Arial"/>
          <w:sz w:val="24"/>
          <w:szCs w:val="24"/>
          <w:lang w:val="en-US"/>
        </w:rPr>
        <w:t>extractor interface</w:t>
      </w:r>
      <w:r w:rsidR="00A50237">
        <w:rPr>
          <w:rFonts w:ascii="Arial" w:hAnsi="Arial" w:cs="Arial"/>
          <w:sz w:val="24"/>
          <w:szCs w:val="24"/>
          <w:lang w:val="en-US"/>
        </w:rPr>
        <w:t xml:space="preserve"> </w:t>
      </w:r>
      <w:r w:rsidR="009D6437" w:rsidRPr="00CC7E17">
        <w:rPr>
          <w:rFonts w:ascii="Arial" w:hAnsi="Arial" w:cs="Arial"/>
          <w:sz w:val="24"/>
          <w:szCs w:val="24"/>
          <w:lang w:val="en-US"/>
        </w:rPr>
        <w:t xml:space="preserve">that was developed for the purpose of this thesis, which has been called MacPrognosis. </w:t>
      </w:r>
      <w:r w:rsidR="004425D1" w:rsidRPr="00CC7E17">
        <w:rPr>
          <w:rFonts w:ascii="Arial" w:hAnsi="Arial" w:cs="Arial"/>
          <w:sz w:val="24"/>
          <w:szCs w:val="24"/>
          <w:lang w:val="en-US"/>
        </w:rPr>
        <w:t>MacPrognosis displays these articles to a data extractor who fills out an electronic form which gives an overview of the baseline risk information</w:t>
      </w:r>
      <w:r w:rsidR="00D07A18" w:rsidRPr="00CC7E17">
        <w:rPr>
          <w:rFonts w:ascii="Arial" w:hAnsi="Arial" w:cs="Arial"/>
          <w:sz w:val="24"/>
          <w:szCs w:val="24"/>
          <w:lang w:val="en-US"/>
        </w:rPr>
        <w:t xml:space="preserve"> in an article</w:t>
      </w:r>
      <w:r w:rsidR="004425D1" w:rsidRPr="00CC7E17">
        <w:rPr>
          <w:rFonts w:ascii="Arial" w:hAnsi="Arial" w:cs="Arial"/>
          <w:sz w:val="24"/>
          <w:szCs w:val="24"/>
          <w:lang w:val="en-US"/>
        </w:rPr>
        <w:t>. Th</w:t>
      </w:r>
      <w:r w:rsidR="00DC7B46" w:rsidRPr="00CC7E17">
        <w:rPr>
          <w:rFonts w:ascii="Arial" w:hAnsi="Arial" w:cs="Arial"/>
          <w:sz w:val="24"/>
          <w:szCs w:val="24"/>
          <w:lang w:val="en-US"/>
        </w:rPr>
        <w:t>e baseline risk</w:t>
      </w:r>
      <w:r w:rsidR="004425D1" w:rsidRPr="00CC7E17">
        <w:rPr>
          <w:rFonts w:ascii="Arial" w:hAnsi="Arial" w:cs="Arial"/>
          <w:sz w:val="24"/>
          <w:szCs w:val="24"/>
          <w:lang w:val="en-US"/>
        </w:rPr>
        <w:t xml:space="preserve"> information is subsequently saved to the </w:t>
      </w:r>
      <w:r w:rsidR="00AA5748" w:rsidRPr="00CC7E17">
        <w:rPr>
          <w:rFonts w:ascii="Arial" w:hAnsi="Arial" w:cs="Arial"/>
          <w:sz w:val="24"/>
          <w:szCs w:val="24"/>
          <w:lang w:val="en-US"/>
        </w:rPr>
        <w:t>BRiskeT</w:t>
      </w:r>
      <w:r w:rsidR="004425D1" w:rsidRPr="00CC7E17">
        <w:rPr>
          <w:rFonts w:ascii="Arial" w:hAnsi="Arial" w:cs="Arial"/>
          <w:sz w:val="24"/>
          <w:szCs w:val="24"/>
          <w:lang w:val="en-US"/>
        </w:rPr>
        <w:t xml:space="preserve"> database, which can then be queried according to the end user’s needs.</w:t>
      </w:r>
      <w:r w:rsidR="00D07A18" w:rsidRPr="00CC7E17">
        <w:rPr>
          <w:rFonts w:ascii="Arial" w:hAnsi="Arial" w:cs="Arial"/>
          <w:sz w:val="24"/>
          <w:szCs w:val="24"/>
          <w:lang w:val="en-US"/>
        </w:rPr>
        <w:t xml:space="preserve"> </w:t>
      </w:r>
    </w:p>
    <w:p w14:paraId="4DE0DBCA" w14:textId="33046D21" w:rsidR="002C221C" w:rsidRPr="00CC7E17" w:rsidRDefault="00DC0BA7" w:rsidP="00FD0DBA">
      <w:pPr>
        <w:pStyle w:val="Default"/>
        <w:tabs>
          <w:tab w:val="left" w:pos="4678"/>
        </w:tabs>
        <w:spacing w:after="240" w:line="360" w:lineRule="auto"/>
        <w:rPr>
          <w:rFonts w:ascii="Arial" w:hAnsi="Arial" w:cs="Arial"/>
          <w:sz w:val="24"/>
          <w:szCs w:val="24"/>
          <w:lang w:val="en-US"/>
        </w:rPr>
      </w:pPr>
      <w:r w:rsidRPr="00CC7E17">
        <w:rPr>
          <w:rFonts w:ascii="Arial" w:hAnsi="Arial" w:cs="Arial"/>
          <w:sz w:val="24"/>
          <w:szCs w:val="24"/>
          <w:lang w:val="en-US"/>
        </w:rPr>
        <w:t>One of the goals in</w:t>
      </w:r>
      <w:r w:rsidR="00D07A18" w:rsidRPr="00CC7E17">
        <w:rPr>
          <w:rFonts w:ascii="Arial" w:hAnsi="Arial" w:cs="Arial"/>
          <w:sz w:val="24"/>
          <w:szCs w:val="24"/>
          <w:lang w:val="en-US"/>
        </w:rPr>
        <w:t xml:space="preserve"> switching from a paper-based</w:t>
      </w:r>
      <w:r w:rsidRPr="00CC7E17">
        <w:rPr>
          <w:rFonts w:ascii="Arial" w:hAnsi="Arial" w:cs="Arial"/>
          <w:sz w:val="24"/>
          <w:szCs w:val="24"/>
          <w:lang w:val="en-US"/>
        </w:rPr>
        <w:t xml:space="preserve"> extraction system to a</w:t>
      </w:r>
      <w:r w:rsidR="005E66BF">
        <w:rPr>
          <w:rFonts w:ascii="Arial" w:hAnsi="Arial" w:cs="Arial"/>
          <w:sz w:val="24"/>
          <w:szCs w:val="24"/>
          <w:lang w:val="en-US"/>
        </w:rPr>
        <w:t>n</w:t>
      </w:r>
      <w:r w:rsidRPr="00CC7E17">
        <w:rPr>
          <w:rFonts w:ascii="Arial" w:hAnsi="Arial" w:cs="Arial"/>
          <w:sz w:val="24"/>
          <w:szCs w:val="24"/>
          <w:lang w:val="en-US"/>
        </w:rPr>
        <w:t xml:space="preserve"> </w:t>
      </w:r>
      <w:r w:rsidR="00E37181">
        <w:rPr>
          <w:rFonts w:ascii="Arial" w:hAnsi="Arial" w:cs="Arial"/>
          <w:sz w:val="24"/>
          <w:szCs w:val="24"/>
          <w:lang w:val="en-US"/>
        </w:rPr>
        <w:t>eForm-based</w:t>
      </w:r>
      <w:r w:rsidR="00D07A18" w:rsidRPr="00CC7E17">
        <w:rPr>
          <w:rFonts w:ascii="Arial" w:hAnsi="Arial" w:cs="Arial"/>
          <w:sz w:val="24"/>
          <w:szCs w:val="24"/>
          <w:lang w:val="en-US"/>
        </w:rPr>
        <w:t xml:space="preserve"> system </w:t>
      </w:r>
      <w:r w:rsidR="00A35608" w:rsidRPr="00CC7E17">
        <w:rPr>
          <w:rFonts w:ascii="Arial" w:hAnsi="Arial" w:cs="Arial"/>
          <w:sz w:val="24"/>
          <w:szCs w:val="24"/>
          <w:lang w:val="en-US"/>
        </w:rPr>
        <w:t>was to save time in the extraction process</w:t>
      </w:r>
      <w:r w:rsidR="00FD0DBA">
        <w:rPr>
          <w:rFonts w:ascii="Arial" w:hAnsi="Arial" w:cs="Arial"/>
          <w:sz w:val="24"/>
          <w:szCs w:val="24"/>
          <w:lang w:val="en-US"/>
        </w:rPr>
        <w:t>.</w:t>
      </w:r>
      <w:r w:rsidR="00764600">
        <w:rPr>
          <w:rFonts w:ascii="Arial" w:hAnsi="Arial" w:cs="Arial"/>
          <w:sz w:val="24"/>
          <w:szCs w:val="24"/>
          <w:lang w:val="en-US"/>
        </w:rPr>
        <w:t xml:space="preserve"> </w:t>
      </w:r>
      <w:r w:rsidR="00FD0DBA">
        <w:rPr>
          <w:rFonts w:ascii="Arial" w:hAnsi="Arial" w:cs="Arial"/>
          <w:sz w:val="24"/>
          <w:szCs w:val="24"/>
          <w:lang w:val="en-US"/>
        </w:rPr>
        <w:t>A</w:t>
      </w:r>
      <w:r w:rsidR="00A35608" w:rsidRPr="00CC7E17">
        <w:rPr>
          <w:rFonts w:ascii="Arial" w:hAnsi="Arial" w:cs="Arial"/>
          <w:sz w:val="24"/>
          <w:szCs w:val="24"/>
          <w:lang w:val="en-US"/>
        </w:rPr>
        <w:t>noth</w:t>
      </w:r>
      <w:r w:rsidR="005E66BF">
        <w:rPr>
          <w:rFonts w:ascii="Arial" w:hAnsi="Arial" w:cs="Arial"/>
          <w:sz w:val="24"/>
          <w:szCs w:val="24"/>
          <w:lang w:val="en-US"/>
        </w:rPr>
        <w:t xml:space="preserve">er goal for MacPrognosis was to create an eForm that allowed baseline risk information to be extracted from as many disciplines as possible. </w:t>
      </w:r>
      <w:r w:rsidR="00A35608" w:rsidRPr="00CC7E17">
        <w:rPr>
          <w:rFonts w:ascii="Arial" w:hAnsi="Arial" w:cs="Arial"/>
          <w:sz w:val="24"/>
          <w:szCs w:val="24"/>
          <w:lang w:val="en-US"/>
        </w:rPr>
        <w:t xml:space="preserve">To test whether MacPrognosis succeeded in saving extraction time and improving the proportion of articles from which baseline risk data could be extracted, </w:t>
      </w:r>
      <w:r w:rsidRPr="00CC7E17">
        <w:rPr>
          <w:rFonts w:ascii="Arial" w:hAnsi="Arial" w:cs="Arial"/>
          <w:sz w:val="24"/>
          <w:szCs w:val="24"/>
          <w:lang w:val="en-US"/>
        </w:rPr>
        <w:t>it</w:t>
      </w:r>
      <w:r w:rsidR="00A35608" w:rsidRPr="00CC7E17">
        <w:rPr>
          <w:rFonts w:ascii="Arial" w:hAnsi="Arial" w:cs="Arial"/>
          <w:sz w:val="24"/>
          <w:szCs w:val="24"/>
          <w:lang w:val="en-US"/>
        </w:rPr>
        <w:t xml:space="preserve"> </w:t>
      </w:r>
      <w:r w:rsidR="002C221C" w:rsidRPr="00CC7E17">
        <w:rPr>
          <w:rFonts w:ascii="Arial" w:hAnsi="Arial" w:cs="Arial"/>
          <w:sz w:val="24"/>
          <w:szCs w:val="24"/>
          <w:lang w:val="en-US"/>
        </w:rPr>
        <w:t>was subsequently utilized to extract data from a large test set of articles. The resul</w:t>
      </w:r>
      <w:r w:rsidR="00A35608" w:rsidRPr="00CC7E17">
        <w:rPr>
          <w:rFonts w:ascii="Arial" w:hAnsi="Arial" w:cs="Arial"/>
          <w:sz w:val="24"/>
          <w:szCs w:val="24"/>
          <w:lang w:val="en-US"/>
        </w:rPr>
        <w:t>ts of the extraction process were then</w:t>
      </w:r>
      <w:r w:rsidR="002C221C" w:rsidRPr="00CC7E17">
        <w:rPr>
          <w:rFonts w:ascii="Arial" w:hAnsi="Arial" w:cs="Arial"/>
          <w:sz w:val="24"/>
          <w:szCs w:val="24"/>
          <w:lang w:val="en-US"/>
        </w:rPr>
        <w:t xml:space="preserve"> compared with results from </w:t>
      </w:r>
      <w:r w:rsidR="00614645" w:rsidRPr="00CC7E17">
        <w:rPr>
          <w:rFonts w:ascii="Arial" w:hAnsi="Arial" w:cs="Arial"/>
          <w:sz w:val="24"/>
          <w:szCs w:val="24"/>
          <w:lang w:val="en-US"/>
        </w:rPr>
        <w:t xml:space="preserve">a previously conducted data extraction </w:t>
      </w:r>
      <w:r w:rsidR="00C51D04" w:rsidRPr="00CC7E17">
        <w:rPr>
          <w:rFonts w:ascii="Arial" w:hAnsi="Arial" w:cs="Arial"/>
          <w:sz w:val="24"/>
          <w:szCs w:val="24"/>
          <w:lang w:val="en-US"/>
        </w:rPr>
        <w:t xml:space="preserve">pilot </w:t>
      </w:r>
      <w:r w:rsidR="00A35608" w:rsidRPr="00CC7E17">
        <w:rPr>
          <w:rFonts w:ascii="Arial" w:hAnsi="Arial" w:cs="Arial"/>
          <w:sz w:val="24"/>
          <w:szCs w:val="24"/>
          <w:lang w:val="en-US"/>
        </w:rPr>
        <w:t>utilizing a paper-based system</w:t>
      </w:r>
      <w:r w:rsidR="00C51D04" w:rsidRPr="00CC7E17">
        <w:rPr>
          <w:rFonts w:ascii="Arial" w:hAnsi="Arial" w:cs="Arial"/>
          <w:sz w:val="24"/>
          <w:szCs w:val="24"/>
          <w:lang w:val="en-US"/>
        </w:rPr>
        <w:t xml:space="preserve"> which was created</w:t>
      </w:r>
      <w:r w:rsidR="00614645" w:rsidRPr="00CC7E17">
        <w:rPr>
          <w:rFonts w:ascii="Arial" w:hAnsi="Arial" w:cs="Arial"/>
          <w:sz w:val="24"/>
          <w:szCs w:val="24"/>
          <w:lang w:val="en-US"/>
        </w:rPr>
        <w:t xml:space="preserve"> during the feasibility analysis for </w:t>
      </w:r>
      <w:r w:rsidR="00AA5748" w:rsidRPr="00CC7E17">
        <w:rPr>
          <w:rFonts w:ascii="Arial" w:hAnsi="Arial" w:cs="Arial"/>
          <w:sz w:val="24"/>
          <w:szCs w:val="24"/>
          <w:lang w:val="en-US"/>
        </w:rPr>
        <w:t>BRiskeT</w:t>
      </w:r>
      <w:r w:rsidR="00D07A18" w:rsidRPr="00CC7E17">
        <w:rPr>
          <w:rFonts w:ascii="Arial" w:hAnsi="Arial" w:cs="Arial"/>
          <w:sz w:val="24"/>
          <w:szCs w:val="24"/>
          <w:lang w:val="en-US"/>
        </w:rPr>
        <w:t xml:space="preserve"> in 2012</w:t>
      </w:r>
      <w:r w:rsidR="002C221C" w:rsidRPr="00CC7E17">
        <w:rPr>
          <w:rFonts w:ascii="Arial" w:hAnsi="Arial" w:cs="Arial"/>
          <w:sz w:val="24"/>
          <w:szCs w:val="24"/>
          <w:lang w:val="en-US"/>
        </w:rPr>
        <w:t>.</w:t>
      </w:r>
      <w:r w:rsidR="00A50237">
        <w:rPr>
          <w:rFonts w:ascii="Arial" w:hAnsi="Arial" w:cs="Arial"/>
          <w:sz w:val="24"/>
          <w:szCs w:val="24"/>
          <w:lang w:val="en-US"/>
        </w:rPr>
        <w:t xml:space="preserve"> </w:t>
      </w:r>
    </w:p>
    <w:p w14:paraId="465CC24D" w14:textId="4AAFFFB3" w:rsidR="002C221C" w:rsidRPr="00CC7E17" w:rsidRDefault="005E66BF" w:rsidP="0009624B">
      <w:pPr>
        <w:pStyle w:val="Default"/>
        <w:spacing w:after="240" w:line="360" w:lineRule="auto"/>
        <w:rPr>
          <w:rFonts w:ascii="Arial" w:eastAsia="Arial" w:hAnsi="Arial" w:cs="Arial"/>
          <w:sz w:val="24"/>
          <w:szCs w:val="24"/>
        </w:rPr>
      </w:pPr>
      <w:r>
        <w:rPr>
          <w:rFonts w:ascii="Arial" w:hAnsi="Arial" w:cs="Arial"/>
          <w:sz w:val="24"/>
          <w:szCs w:val="24"/>
          <w:lang w:val="en-US"/>
        </w:rPr>
        <w:t>T</w:t>
      </w:r>
      <w:r w:rsidR="002C221C" w:rsidRPr="00CC7E17">
        <w:rPr>
          <w:rFonts w:ascii="Arial" w:hAnsi="Arial" w:cs="Arial"/>
          <w:sz w:val="24"/>
          <w:szCs w:val="24"/>
          <w:lang w:val="en-US"/>
        </w:rPr>
        <w:t xml:space="preserve">he new </w:t>
      </w:r>
      <w:r w:rsidR="00EE02D4">
        <w:rPr>
          <w:rFonts w:ascii="Arial" w:hAnsi="Arial" w:cs="Arial"/>
          <w:sz w:val="24"/>
          <w:szCs w:val="24"/>
          <w:lang w:val="en-US"/>
        </w:rPr>
        <w:t>eForm based</w:t>
      </w:r>
      <w:r w:rsidR="002C221C" w:rsidRPr="00CC7E17">
        <w:rPr>
          <w:rFonts w:ascii="Arial" w:hAnsi="Arial" w:cs="Arial"/>
          <w:sz w:val="24"/>
          <w:szCs w:val="24"/>
          <w:lang w:val="en-US"/>
        </w:rPr>
        <w:t xml:space="preserve"> extractor interface not only sped up the process of data extraction, but </w:t>
      </w:r>
      <w:r w:rsidR="008E46F2">
        <w:rPr>
          <w:rFonts w:ascii="Arial" w:hAnsi="Arial" w:cs="Arial"/>
          <w:sz w:val="24"/>
          <w:szCs w:val="24"/>
          <w:lang w:val="en-US"/>
        </w:rPr>
        <w:t>may</w:t>
      </w:r>
      <w:r w:rsidR="00C51D04" w:rsidRPr="00CC7E17">
        <w:rPr>
          <w:rFonts w:ascii="Arial" w:hAnsi="Arial" w:cs="Arial"/>
          <w:sz w:val="24"/>
          <w:szCs w:val="24"/>
          <w:lang w:val="en-US"/>
        </w:rPr>
        <w:t xml:space="preserve"> </w:t>
      </w:r>
      <w:r w:rsidR="002C221C" w:rsidRPr="00CC7E17">
        <w:rPr>
          <w:rFonts w:ascii="Arial" w:hAnsi="Arial" w:cs="Arial"/>
          <w:sz w:val="24"/>
          <w:szCs w:val="24"/>
          <w:lang w:val="en-US"/>
        </w:rPr>
        <w:t xml:space="preserve">also </w:t>
      </w:r>
      <w:r w:rsidR="00940322" w:rsidRPr="00CC7E17">
        <w:rPr>
          <w:rFonts w:ascii="Arial" w:hAnsi="Arial" w:cs="Arial"/>
          <w:sz w:val="24"/>
          <w:szCs w:val="24"/>
          <w:lang w:val="en-US"/>
        </w:rPr>
        <w:t>increase</w:t>
      </w:r>
      <w:r w:rsidR="002C221C" w:rsidRPr="00CC7E17">
        <w:rPr>
          <w:rFonts w:ascii="Arial" w:hAnsi="Arial" w:cs="Arial"/>
          <w:sz w:val="24"/>
          <w:szCs w:val="24"/>
          <w:lang w:val="en-US"/>
        </w:rPr>
        <w:t xml:space="preserve"> the proportion of articles</w:t>
      </w:r>
      <w:r w:rsidR="004252B7">
        <w:rPr>
          <w:rFonts w:ascii="Arial" w:hAnsi="Arial" w:cs="Arial"/>
          <w:sz w:val="24"/>
          <w:szCs w:val="24"/>
          <w:lang w:val="en-US"/>
        </w:rPr>
        <w:t xml:space="preserve"> from which</w:t>
      </w:r>
      <w:r w:rsidR="002C221C" w:rsidRPr="00CC7E17">
        <w:rPr>
          <w:rFonts w:ascii="Arial" w:hAnsi="Arial" w:cs="Arial"/>
          <w:sz w:val="24"/>
          <w:szCs w:val="24"/>
          <w:lang w:val="en-US"/>
        </w:rPr>
        <w:t xml:space="preserve"> data </w:t>
      </w:r>
      <w:r w:rsidR="00C51D04" w:rsidRPr="00CC7E17">
        <w:rPr>
          <w:rFonts w:ascii="Arial" w:hAnsi="Arial" w:cs="Arial"/>
          <w:sz w:val="24"/>
          <w:szCs w:val="24"/>
          <w:lang w:val="en-US"/>
        </w:rPr>
        <w:t xml:space="preserve">can be </w:t>
      </w:r>
      <w:r w:rsidR="002C221C" w:rsidRPr="00CC7E17">
        <w:rPr>
          <w:rFonts w:ascii="Arial" w:hAnsi="Arial" w:cs="Arial"/>
          <w:sz w:val="24"/>
          <w:szCs w:val="24"/>
          <w:lang w:val="en-US"/>
        </w:rPr>
        <w:t xml:space="preserve">successfully extracted </w:t>
      </w:r>
      <w:r w:rsidR="00C51D04" w:rsidRPr="00CC7E17">
        <w:rPr>
          <w:rFonts w:ascii="Arial" w:hAnsi="Arial" w:cs="Arial"/>
          <w:sz w:val="24"/>
          <w:szCs w:val="24"/>
          <w:lang w:val="en-US"/>
        </w:rPr>
        <w:t>with minor future alterations</w:t>
      </w:r>
      <w:r w:rsidR="002C221C" w:rsidRPr="00CC7E17">
        <w:rPr>
          <w:rFonts w:ascii="Arial" w:hAnsi="Arial" w:cs="Arial"/>
          <w:sz w:val="24"/>
          <w:szCs w:val="24"/>
          <w:lang w:val="en-US"/>
        </w:rPr>
        <w:t xml:space="preserve"> </w:t>
      </w:r>
      <w:r w:rsidR="00614645" w:rsidRPr="00CC7E17">
        <w:rPr>
          <w:rFonts w:ascii="Arial" w:hAnsi="Arial" w:cs="Arial"/>
          <w:sz w:val="24"/>
          <w:szCs w:val="24"/>
          <w:lang w:val="en-US"/>
        </w:rPr>
        <w:t>when compared to a paper-based model of extraction.</w:t>
      </w:r>
    </w:p>
    <w:p w14:paraId="3CB02E73" w14:textId="39B19C16" w:rsidR="002C221C" w:rsidRPr="009E57CF" w:rsidRDefault="002C221C" w:rsidP="009E57CF">
      <w:pPr>
        <w:pStyle w:val="Heading1"/>
        <w:spacing w:line="360" w:lineRule="auto"/>
        <w:rPr>
          <w:rFonts w:ascii="Arial" w:hAnsi="Arial" w:cs="Arial"/>
        </w:rPr>
      </w:pPr>
      <w:bookmarkStart w:id="11" w:name="_Toc271280672"/>
      <w:bookmarkStart w:id="12" w:name="_Toc286437111"/>
      <w:r w:rsidRPr="00CC7E17">
        <w:rPr>
          <w:rFonts w:ascii="Arial" w:hAnsi="Arial" w:cs="Arial"/>
        </w:rPr>
        <w:t>Introduction</w:t>
      </w:r>
      <w:bookmarkEnd w:id="11"/>
      <w:bookmarkEnd w:id="12"/>
      <w:r w:rsidRPr="00CC7E17">
        <w:rPr>
          <w:rFonts w:ascii="Arial" w:hAnsi="Arial" w:cs="Arial"/>
        </w:rPr>
        <w:t xml:space="preserve"> </w:t>
      </w:r>
    </w:p>
    <w:p w14:paraId="73A1AB62" w14:textId="6DBDD833" w:rsidR="002F4E25" w:rsidRPr="009E57CF" w:rsidRDefault="002F4E25" w:rsidP="009E57CF">
      <w:pPr>
        <w:pStyle w:val="Heading3"/>
        <w:spacing w:line="360" w:lineRule="auto"/>
        <w:rPr>
          <w:rFonts w:ascii="Arial" w:hAnsi="Arial" w:cs="Arial"/>
        </w:rPr>
      </w:pPr>
      <w:bookmarkStart w:id="13" w:name="_Toc286437112"/>
      <w:r w:rsidRPr="00CC7E17">
        <w:rPr>
          <w:rFonts w:ascii="Arial" w:hAnsi="Arial" w:cs="Arial"/>
        </w:rPr>
        <w:t xml:space="preserve">The </w:t>
      </w:r>
      <w:r w:rsidR="00DC0BA7" w:rsidRPr="00CC7E17">
        <w:rPr>
          <w:rFonts w:ascii="Arial" w:hAnsi="Arial" w:cs="Arial"/>
        </w:rPr>
        <w:t>Search For Clinical Answers, The Information Overload And Some Proposed Solutions.</w:t>
      </w:r>
      <w:bookmarkEnd w:id="13"/>
    </w:p>
    <w:p w14:paraId="7621A88A" w14:textId="6DC4DEFE" w:rsidR="008D1229" w:rsidRPr="00CC7E17" w:rsidRDefault="008D1229" w:rsidP="0009624B">
      <w:pPr>
        <w:spacing w:line="360" w:lineRule="auto"/>
        <w:rPr>
          <w:rFonts w:ascii="Arial" w:hAnsi="Arial" w:cs="Arial"/>
        </w:rPr>
      </w:pPr>
      <w:r w:rsidRPr="00CC7E17">
        <w:rPr>
          <w:rFonts w:ascii="Arial" w:hAnsi="Arial" w:cs="Arial"/>
        </w:rPr>
        <w:t xml:space="preserve">Knowledge is a commodity within the medical field (Wyatt, 1991). Over the course of a standard 10-minute </w:t>
      </w:r>
      <w:r w:rsidR="00940322" w:rsidRPr="00CC7E17">
        <w:rPr>
          <w:rFonts w:ascii="Arial" w:hAnsi="Arial" w:cs="Arial"/>
        </w:rPr>
        <w:t xml:space="preserve">healthcare </w:t>
      </w:r>
      <w:r w:rsidRPr="00CC7E17">
        <w:rPr>
          <w:rFonts w:ascii="Arial" w:hAnsi="Arial" w:cs="Arial"/>
        </w:rPr>
        <w:t>consultation, it is estimated that a doctor is asked at least one question to which he or she does not know the answer (Smith, 1996). To answer these questions, a doctor</w:t>
      </w:r>
      <w:r w:rsidR="00940322" w:rsidRPr="00CC7E17">
        <w:rPr>
          <w:rFonts w:ascii="Arial" w:hAnsi="Arial" w:cs="Arial"/>
        </w:rPr>
        <w:t xml:space="preserve"> or other clinician</w:t>
      </w:r>
      <w:r w:rsidRPr="00CC7E17">
        <w:rPr>
          <w:rFonts w:ascii="Arial" w:hAnsi="Arial" w:cs="Arial"/>
        </w:rPr>
        <w:t xml:space="preserve"> may turn to a multitude of sources</w:t>
      </w:r>
      <w:r w:rsidR="002A6855" w:rsidRPr="00CC7E17">
        <w:rPr>
          <w:rFonts w:ascii="Arial" w:hAnsi="Arial" w:cs="Arial"/>
        </w:rPr>
        <w:t xml:space="preserve"> if he or she does not already know the answer</w:t>
      </w:r>
      <w:r w:rsidRPr="00CC7E17">
        <w:rPr>
          <w:rFonts w:ascii="Arial" w:hAnsi="Arial" w:cs="Arial"/>
        </w:rPr>
        <w:t xml:space="preserve">. They may turn to trusted colleagues, in fact it is estimated that </w:t>
      </w:r>
      <w:r w:rsidR="00DC7B46" w:rsidRPr="00CC7E17">
        <w:rPr>
          <w:rFonts w:ascii="Arial" w:hAnsi="Arial" w:cs="Arial"/>
        </w:rPr>
        <w:t>one third</w:t>
      </w:r>
      <w:r w:rsidRPr="00CC7E17">
        <w:rPr>
          <w:rFonts w:ascii="Arial" w:hAnsi="Arial" w:cs="Arial"/>
        </w:rPr>
        <w:t xml:space="preserve"> of hospital costs are associated with personal and professional communication (Wyatt, 1996). The</w:t>
      </w:r>
      <w:r w:rsidR="00940322" w:rsidRPr="00CC7E17">
        <w:rPr>
          <w:rFonts w:ascii="Arial" w:hAnsi="Arial" w:cs="Arial"/>
        </w:rPr>
        <w:t xml:space="preserve"> health professionals</w:t>
      </w:r>
      <w:r w:rsidRPr="00CC7E17">
        <w:rPr>
          <w:rFonts w:ascii="Arial" w:hAnsi="Arial" w:cs="Arial"/>
        </w:rPr>
        <w:t xml:space="preserve"> may also turn to the news, wherein seemingly important discoveries are announced regularly but not in great detail. Lastly, they may choose to turn to primary research, which they must critically appraise and synthesize </w:t>
      </w:r>
      <w:r w:rsidR="00DC7B46" w:rsidRPr="00CC7E17">
        <w:rPr>
          <w:rFonts w:ascii="Arial" w:hAnsi="Arial" w:cs="Arial"/>
        </w:rPr>
        <w:t>i</w:t>
      </w:r>
      <w:r w:rsidRPr="00CC7E17">
        <w:rPr>
          <w:rFonts w:ascii="Arial" w:hAnsi="Arial" w:cs="Arial"/>
        </w:rPr>
        <w:t>n their own time</w:t>
      </w:r>
      <w:r w:rsidR="008E46F2">
        <w:rPr>
          <w:rFonts w:ascii="Arial" w:hAnsi="Arial" w:cs="Arial"/>
        </w:rPr>
        <w:t xml:space="preserve"> before application</w:t>
      </w:r>
      <w:r w:rsidRPr="00CC7E17">
        <w:rPr>
          <w:rFonts w:ascii="Arial" w:hAnsi="Arial" w:cs="Arial"/>
        </w:rPr>
        <w:t xml:space="preserve">. The problem with turning to primary research is the </w:t>
      </w:r>
      <w:r w:rsidR="008E46F2">
        <w:rPr>
          <w:rFonts w:ascii="Arial" w:hAnsi="Arial" w:cs="Arial"/>
        </w:rPr>
        <w:t>number of articles</w:t>
      </w:r>
      <w:r w:rsidRPr="00CC7E17">
        <w:rPr>
          <w:rFonts w:ascii="Arial" w:hAnsi="Arial" w:cs="Arial"/>
        </w:rPr>
        <w:t xml:space="preserve"> </w:t>
      </w:r>
      <w:r w:rsidR="00EC710B" w:rsidRPr="00CC7E17">
        <w:rPr>
          <w:rFonts w:ascii="Arial" w:hAnsi="Arial" w:cs="Arial"/>
        </w:rPr>
        <w:t xml:space="preserve">and lack of quality </w:t>
      </w:r>
      <w:r w:rsidRPr="00CC7E17">
        <w:rPr>
          <w:rFonts w:ascii="Arial" w:hAnsi="Arial" w:cs="Arial"/>
        </w:rPr>
        <w:t>of</w:t>
      </w:r>
      <w:r w:rsidR="00EC710B" w:rsidRPr="00CC7E17">
        <w:rPr>
          <w:rFonts w:ascii="Arial" w:hAnsi="Arial" w:cs="Arial"/>
        </w:rPr>
        <w:t xml:space="preserve"> a large proportion of</w:t>
      </w:r>
      <w:r w:rsidRPr="00CC7E17">
        <w:rPr>
          <w:rFonts w:ascii="Arial" w:hAnsi="Arial" w:cs="Arial"/>
        </w:rPr>
        <w:t xml:space="preserve"> articles that are published every</w:t>
      </w:r>
      <w:r w:rsidR="00940322" w:rsidRPr="00CC7E17">
        <w:rPr>
          <w:rFonts w:ascii="Arial" w:hAnsi="Arial" w:cs="Arial"/>
        </w:rPr>
        <w:t xml:space="preserve"> </w:t>
      </w:r>
      <w:r w:rsidRPr="00CC7E17">
        <w:rPr>
          <w:rFonts w:ascii="Arial" w:hAnsi="Arial" w:cs="Arial"/>
        </w:rPr>
        <w:t xml:space="preserve">day. </w:t>
      </w:r>
    </w:p>
    <w:p w14:paraId="044BBEBB" w14:textId="77777777" w:rsidR="008D1229" w:rsidRPr="00CC7E17" w:rsidRDefault="008D1229" w:rsidP="0009624B">
      <w:pPr>
        <w:spacing w:line="360" w:lineRule="auto"/>
        <w:rPr>
          <w:rFonts w:ascii="Arial" w:hAnsi="Arial" w:cs="Arial"/>
        </w:rPr>
      </w:pPr>
    </w:p>
    <w:p w14:paraId="383267E9" w14:textId="028F36FC" w:rsidR="00CA1E03" w:rsidRPr="00CC7E17" w:rsidRDefault="008D1229" w:rsidP="0009624B">
      <w:pPr>
        <w:spacing w:line="360" w:lineRule="auto"/>
        <w:rPr>
          <w:rFonts w:ascii="Arial" w:hAnsi="Arial" w:cs="Arial"/>
        </w:rPr>
      </w:pPr>
      <w:r w:rsidRPr="00CC7E17">
        <w:rPr>
          <w:rFonts w:ascii="Arial" w:hAnsi="Arial" w:cs="Arial"/>
        </w:rPr>
        <w:t>In recent decades</w:t>
      </w:r>
      <w:r w:rsidR="000B3FEF" w:rsidRPr="00CC7E17">
        <w:rPr>
          <w:rFonts w:ascii="Arial" w:hAnsi="Arial" w:cs="Arial"/>
        </w:rPr>
        <w:t>, the rate of publication of</w:t>
      </w:r>
      <w:r w:rsidRPr="00CC7E17">
        <w:rPr>
          <w:rFonts w:ascii="Arial" w:hAnsi="Arial" w:cs="Arial"/>
        </w:rPr>
        <w:t xml:space="preserve"> medical literature has grown exponentially. W</w:t>
      </w:r>
      <w:r w:rsidR="005A6210" w:rsidRPr="00CC7E17">
        <w:rPr>
          <w:rFonts w:ascii="Arial" w:hAnsi="Arial" w:cs="Arial"/>
        </w:rPr>
        <w:t xml:space="preserve">hen the precursor to Medline </w:t>
      </w:r>
      <w:r w:rsidRPr="00CC7E17">
        <w:rPr>
          <w:rFonts w:ascii="Arial" w:hAnsi="Arial" w:cs="Arial"/>
        </w:rPr>
        <w:t>was formed in the 1800s, it contained just 1600 references, by the year 2006, th</w:t>
      </w:r>
      <w:r w:rsidR="00DC7B46" w:rsidRPr="00CC7E17">
        <w:rPr>
          <w:rFonts w:ascii="Arial" w:hAnsi="Arial" w:cs="Arial"/>
        </w:rPr>
        <w:t>e</w:t>
      </w:r>
      <w:r w:rsidRPr="00CC7E17">
        <w:rPr>
          <w:rFonts w:ascii="Arial" w:hAnsi="Arial" w:cs="Arial"/>
        </w:rPr>
        <w:t xml:space="preserve"> number</w:t>
      </w:r>
      <w:r w:rsidR="00940322" w:rsidRPr="00CC7E17">
        <w:rPr>
          <w:rFonts w:ascii="Arial" w:hAnsi="Arial" w:cs="Arial"/>
        </w:rPr>
        <w:t xml:space="preserve"> of citations</w:t>
      </w:r>
      <w:r w:rsidRPr="00CC7E17">
        <w:rPr>
          <w:rFonts w:ascii="Arial" w:hAnsi="Arial" w:cs="Arial"/>
        </w:rPr>
        <w:t xml:space="preserve"> had grown to over 10 million (Bastian, 2010)</w:t>
      </w:r>
      <w:r w:rsidR="00940322" w:rsidRPr="00CC7E17">
        <w:rPr>
          <w:rFonts w:ascii="Arial" w:hAnsi="Arial" w:cs="Arial"/>
        </w:rPr>
        <w:t xml:space="preserve"> and is now over 20 million (</w:t>
      </w:r>
      <w:r w:rsidR="005A6210" w:rsidRPr="00CC7E17">
        <w:rPr>
          <w:rFonts w:ascii="Arial" w:hAnsi="Arial" w:cs="Arial"/>
        </w:rPr>
        <w:t>National Library of Medicine, 2014</w:t>
      </w:r>
      <w:r w:rsidR="00940322" w:rsidRPr="00CC7E17">
        <w:rPr>
          <w:rFonts w:ascii="Arial" w:hAnsi="Arial" w:cs="Arial"/>
        </w:rPr>
        <w:t>)</w:t>
      </w:r>
      <w:r w:rsidRPr="00CC7E17">
        <w:rPr>
          <w:rFonts w:ascii="Arial" w:hAnsi="Arial" w:cs="Arial"/>
        </w:rPr>
        <w:t>. Keeping up</w:t>
      </w:r>
      <w:r w:rsidR="00226FA4" w:rsidRPr="00CC7E17">
        <w:rPr>
          <w:rFonts w:ascii="Arial" w:hAnsi="Arial" w:cs="Arial"/>
        </w:rPr>
        <w:t xml:space="preserve"> to</w:t>
      </w:r>
      <w:r w:rsidRPr="00CC7E17">
        <w:rPr>
          <w:rFonts w:ascii="Arial" w:hAnsi="Arial" w:cs="Arial"/>
        </w:rPr>
        <w:t xml:space="preserve"> date with all of the published </w:t>
      </w:r>
      <w:r w:rsidR="002673B7" w:rsidRPr="00CC7E17">
        <w:rPr>
          <w:rFonts w:ascii="Arial" w:hAnsi="Arial" w:cs="Arial"/>
        </w:rPr>
        <w:t>research</w:t>
      </w:r>
      <w:r w:rsidRPr="00CC7E17">
        <w:rPr>
          <w:rFonts w:ascii="Arial" w:hAnsi="Arial" w:cs="Arial"/>
        </w:rPr>
        <w:t>, even within a particular specialty, is an impossible task (Fraser, 2010). In</w:t>
      </w:r>
      <w:r w:rsidR="001D5748" w:rsidRPr="00CC7E17">
        <w:rPr>
          <w:rFonts w:ascii="Arial" w:hAnsi="Arial" w:cs="Arial"/>
        </w:rPr>
        <w:t xml:space="preserve"> the early 1990s </w:t>
      </w:r>
      <w:r w:rsidR="00940322" w:rsidRPr="00CC7E17">
        <w:rPr>
          <w:rFonts w:ascii="Arial" w:hAnsi="Arial" w:cs="Arial"/>
        </w:rPr>
        <w:t xml:space="preserve">Dr. </w:t>
      </w:r>
      <w:r w:rsidR="001D5748" w:rsidRPr="00CC7E17">
        <w:rPr>
          <w:rFonts w:ascii="Arial" w:hAnsi="Arial" w:cs="Arial"/>
        </w:rPr>
        <w:t xml:space="preserve">David Sackett (one of the founders of evidence based medicine) </w:t>
      </w:r>
      <w:r w:rsidRPr="00CC7E17">
        <w:rPr>
          <w:rFonts w:ascii="Arial" w:hAnsi="Arial" w:cs="Arial"/>
        </w:rPr>
        <w:t xml:space="preserve">claimed that a doctor would have to read </w:t>
      </w:r>
      <w:r w:rsidR="00DC7B46" w:rsidRPr="00CC7E17">
        <w:rPr>
          <w:rFonts w:ascii="Arial" w:hAnsi="Arial" w:cs="Arial"/>
        </w:rPr>
        <w:t>seventeen</w:t>
      </w:r>
      <w:r w:rsidRPr="00CC7E17">
        <w:rPr>
          <w:rFonts w:ascii="Arial" w:hAnsi="Arial" w:cs="Arial"/>
        </w:rPr>
        <w:t xml:space="preserve"> articles every day of the year in order to keep pace with the rate of publication in internal medicine (Smith</w:t>
      </w:r>
      <w:r w:rsidR="00C51D04" w:rsidRPr="00CC7E17">
        <w:rPr>
          <w:rFonts w:ascii="Arial" w:hAnsi="Arial" w:cs="Arial"/>
        </w:rPr>
        <w:t>,</w:t>
      </w:r>
      <w:r w:rsidRPr="00CC7E17">
        <w:rPr>
          <w:rFonts w:ascii="Arial" w:hAnsi="Arial" w:cs="Arial"/>
        </w:rPr>
        <w:t xml:space="preserve"> 2010). </w:t>
      </w:r>
      <w:r w:rsidR="002A6855" w:rsidRPr="00CC7E17">
        <w:rPr>
          <w:rFonts w:ascii="Arial" w:hAnsi="Arial" w:cs="Arial"/>
        </w:rPr>
        <w:t>In 20</w:t>
      </w:r>
      <w:r w:rsidR="00271D87">
        <w:rPr>
          <w:rFonts w:ascii="Arial" w:hAnsi="Arial" w:cs="Arial"/>
        </w:rPr>
        <w:t>10</w:t>
      </w:r>
      <w:r w:rsidRPr="00CC7E17">
        <w:rPr>
          <w:rFonts w:ascii="Arial" w:hAnsi="Arial" w:cs="Arial"/>
        </w:rPr>
        <w:t xml:space="preserve">, it </w:t>
      </w:r>
      <w:r w:rsidR="00271D87">
        <w:rPr>
          <w:rFonts w:ascii="Arial" w:hAnsi="Arial" w:cs="Arial"/>
        </w:rPr>
        <w:t>was</w:t>
      </w:r>
      <w:r w:rsidRPr="00CC7E17">
        <w:rPr>
          <w:rFonts w:ascii="Arial" w:hAnsi="Arial" w:cs="Arial"/>
        </w:rPr>
        <w:t xml:space="preserve"> estimated it would take a trainee in cardiac imaging reading </w:t>
      </w:r>
      <w:r w:rsidR="00DC7B46" w:rsidRPr="00CC7E17">
        <w:rPr>
          <w:rFonts w:ascii="Arial" w:hAnsi="Arial" w:cs="Arial"/>
        </w:rPr>
        <w:t>forty</w:t>
      </w:r>
      <w:r w:rsidRPr="00CC7E17">
        <w:rPr>
          <w:rFonts w:ascii="Arial" w:hAnsi="Arial" w:cs="Arial"/>
        </w:rPr>
        <w:t xml:space="preserve"> papers a day, </w:t>
      </w:r>
      <w:r w:rsidR="00DC7B46" w:rsidRPr="00CC7E17">
        <w:rPr>
          <w:rFonts w:ascii="Arial" w:hAnsi="Arial" w:cs="Arial"/>
        </w:rPr>
        <w:t>five</w:t>
      </w:r>
      <w:r w:rsidRPr="00CC7E17">
        <w:rPr>
          <w:rFonts w:ascii="Arial" w:hAnsi="Arial" w:cs="Arial"/>
        </w:rPr>
        <w:t xml:space="preserve"> days a week over a decade just to catch up with the publications </w:t>
      </w:r>
      <w:r w:rsidR="00CA1E03" w:rsidRPr="00CC7E17">
        <w:rPr>
          <w:rFonts w:ascii="Arial" w:hAnsi="Arial" w:cs="Arial"/>
        </w:rPr>
        <w:t>in his or her</w:t>
      </w:r>
      <w:r w:rsidR="001D5748" w:rsidRPr="00CC7E17">
        <w:rPr>
          <w:rFonts w:ascii="Arial" w:hAnsi="Arial" w:cs="Arial"/>
        </w:rPr>
        <w:t xml:space="preserve"> own</w:t>
      </w:r>
      <w:r w:rsidRPr="00CC7E17">
        <w:rPr>
          <w:rFonts w:ascii="Arial" w:hAnsi="Arial" w:cs="Arial"/>
        </w:rPr>
        <w:t xml:space="preserve"> field. By the time they</w:t>
      </w:r>
      <w:r w:rsidR="00CA1E03" w:rsidRPr="00CC7E17">
        <w:rPr>
          <w:rFonts w:ascii="Arial" w:hAnsi="Arial" w:cs="Arial"/>
        </w:rPr>
        <w:t xml:space="preserve"> had</w:t>
      </w:r>
      <w:r w:rsidRPr="00CC7E17">
        <w:rPr>
          <w:rFonts w:ascii="Arial" w:hAnsi="Arial" w:cs="Arial"/>
        </w:rPr>
        <w:t xml:space="preserve"> caught up, however, they would have another 82</w:t>
      </w:r>
      <w:r w:rsidR="001D5748" w:rsidRPr="00CC7E17">
        <w:rPr>
          <w:rFonts w:ascii="Arial" w:hAnsi="Arial" w:cs="Arial"/>
        </w:rPr>
        <w:t>,</w:t>
      </w:r>
      <w:r w:rsidRPr="00CC7E17">
        <w:rPr>
          <w:rFonts w:ascii="Arial" w:hAnsi="Arial" w:cs="Arial"/>
        </w:rPr>
        <w:t xml:space="preserve">000 papers to read which would have been published over the previous decade, requiring them to read </w:t>
      </w:r>
      <w:r w:rsidR="00DC0BA7" w:rsidRPr="00CC7E17">
        <w:rPr>
          <w:rFonts w:ascii="Arial" w:hAnsi="Arial" w:cs="Arial"/>
        </w:rPr>
        <w:t xml:space="preserve">on </w:t>
      </w:r>
      <w:r w:rsidRPr="00CC7E17">
        <w:rPr>
          <w:rFonts w:ascii="Arial" w:hAnsi="Arial" w:cs="Arial"/>
        </w:rPr>
        <w:t xml:space="preserve">for another </w:t>
      </w:r>
      <w:r w:rsidR="00DC7B46" w:rsidRPr="00CC7E17">
        <w:rPr>
          <w:rFonts w:ascii="Arial" w:hAnsi="Arial" w:cs="Arial"/>
        </w:rPr>
        <w:t>eight</w:t>
      </w:r>
      <w:r w:rsidRPr="00CC7E17">
        <w:rPr>
          <w:rFonts w:ascii="Arial" w:hAnsi="Arial" w:cs="Arial"/>
        </w:rPr>
        <w:t xml:space="preserve"> years. </w:t>
      </w:r>
      <w:r w:rsidR="00DC0BA7" w:rsidRPr="00CC7E17">
        <w:rPr>
          <w:rFonts w:ascii="Arial" w:hAnsi="Arial" w:cs="Arial"/>
        </w:rPr>
        <w:t>It is important to note that t</w:t>
      </w:r>
      <w:r w:rsidRPr="00CC7E17">
        <w:rPr>
          <w:rFonts w:ascii="Arial" w:hAnsi="Arial" w:cs="Arial"/>
        </w:rPr>
        <w:t xml:space="preserve">hese estimates were made assuming </w:t>
      </w:r>
      <w:r w:rsidR="001D5748" w:rsidRPr="00CC7E17">
        <w:rPr>
          <w:rFonts w:ascii="Arial" w:hAnsi="Arial" w:cs="Arial"/>
        </w:rPr>
        <w:t xml:space="preserve">that the trainee only read about </w:t>
      </w:r>
      <w:r w:rsidR="00CA1E03" w:rsidRPr="00CC7E17">
        <w:rPr>
          <w:rFonts w:ascii="Arial" w:hAnsi="Arial" w:cs="Arial"/>
        </w:rPr>
        <w:t>his or her</w:t>
      </w:r>
      <w:r w:rsidRPr="00CC7E17">
        <w:rPr>
          <w:rFonts w:ascii="Arial" w:hAnsi="Arial" w:cs="Arial"/>
        </w:rPr>
        <w:t xml:space="preserve"> particular discipline, when</w:t>
      </w:r>
      <w:r w:rsidR="001D5748" w:rsidRPr="00CC7E17">
        <w:rPr>
          <w:rFonts w:ascii="Arial" w:hAnsi="Arial" w:cs="Arial"/>
        </w:rPr>
        <w:t xml:space="preserve"> in reality</w:t>
      </w:r>
      <w:r w:rsidRPr="00CC7E17">
        <w:rPr>
          <w:rFonts w:ascii="Arial" w:hAnsi="Arial" w:cs="Arial"/>
        </w:rPr>
        <w:t xml:space="preserve"> it is </w:t>
      </w:r>
      <w:r w:rsidR="00CA1E03" w:rsidRPr="00CC7E17">
        <w:rPr>
          <w:rFonts w:ascii="Arial" w:hAnsi="Arial" w:cs="Arial"/>
        </w:rPr>
        <w:t xml:space="preserve">often </w:t>
      </w:r>
      <w:r w:rsidRPr="00CC7E17">
        <w:rPr>
          <w:rFonts w:ascii="Arial" w:hAnsi="Arial" w:cs="Arial"/>
        </w:rPr>
        <w:t xml:space="preserve">necessary to stay up to date with a much wider scope of disciplines (Smith, 2010). </w:t>
      </w:r>
    </w:p>
    <w:p w14:paraId="5A4B7EFB" w14:textId="77777777" w:rsidR="00DC7B46" w:rsidRPr="00CC7E17" w:rsidRDefault="00DC7B46" w:rsidP="0009624B">
      <w:pPr>
        <w:spacing w:line="360" w:lineRule="auto"/>
        <w:rPr>
          <w:rFonts w:ascii="Arial" w:hAnsi="Arial" w:cs="Arial"/>
        </w:rPr>
      </w:pPr>
    </w:p>
    <w:p w14:paraId="68E0C481" w14:textId="178F1EC0" w:rsidR="008D1229" w:rsidRPr="00CC7E17" w:rsidRDefault="008D1229" w:rsidP="0009624B">
      <w:pPr>
        <w:spacing w:line="360" w:lineRule="auto"/>
        <w:rPr>
          <w:rFonts w:ascii="Arial" w:hAnsi="Arial" w:cs="Arial"/>
        </w:rPr>
      </w:pPr>
      <w:r w:rsidRPr="00CC7E17">
        <w:rPr>
          <w:rFonts w:ascii="Arial" w:hAnsi="Arial" w:cs="Arial"/>
        </w:rPr>
        <w:t>The issue with medical literature now, as it has been for centuries, is not just the sheer quantity of publications, but the quality of those that are published. Andrew Duncan, a Scottish physician born in 1773, noted that information of value “is scattered through a great number of volumes, many of which are so expensive, that they can be purchased for the libraries of public society only, or of very wealthy individuals.”(Bastian, 2010). Meanwhile, within recent years D</w:t>
      </w:r>
      <w:r w:rsidR="001D5748" w:rsidRPr="00CC7E17">
        <w:rPr>
          <w:rFonts w:ascii="Arial" w:hAnsi="Arial" w:cs="Arial"/>
        </w:rPr>
        <w:t>r. Brian Haynes, a leading researcher</w:t>
      </w:r>
      <w:r w:rsidRPr="00CC7E17">
        <w:rPr>
          <w:rFonts w:ascii="Arial" w:hAnsi="Arial" w:cs="Arial"/>
        </w:rPr>
        <w:t xml:space="preserve"> </w:t>
      </w:r>
      <w:r w:rsidR="00CA1E03" w:rsidRPr="00CC7E17">
        <w:rPr>
          <w:rFonts w:ascii="Arial" w:hAnsi="Arial" w:cs="Arial"/>
        </w:rPr>
        <w:t>in</w:t>
      </w:r>
      <w:r w:rsidRPr="00CC7E17">
        <w:rPr>
          <w:rFonts w:ascii="Arial" w:hAnsi="Arial" w:cs="Arial"/>
        </w:rPr>
        <w:t xml:space="preserve"> clinical epidemiology and </w:t>
      </w:r>
      <w:r w:rsidR="00CA1E03" w:rsidRPr="00CC7E17">
        <w:rPr>
          <w:rFonts w:ascii="Arial" w:hAnsi="Arial" w:cs="Arial"/>
        </w:rPr>
        <w:t xml:space="preserve">information sciences </w:t>
      </w:r>
      <w:r w:rsidRPr="00CC7E17">
        <w:rPr>
          <w:rFonts w:ascii="Arial" w:hAnsi="Arial" w:cs="Arial"/>
        </w:rPr>
        <w:t xml:space="preserve">has </w:t>
      </w:r>
      <w:r w:rsidR="00CA1E03" w:rsidRPr="00CC7E17">
        <w:rPr>
          <w:rFonts w:ascii="Arial" w:hAnsi="Arial" w:cs="Arial"/>
        </w:rPr>
        <w:t xml:space="preserve">shown </w:t>
      </w:r>
      <w:r w:rsidRPr="00CC7E17">
        <w:rPr>
          <w:rFonts w:ascii="Arial" w:hAnsi="Arial" w:cs="Arial"/>
        </w:rPr>
        <w:t xml:space="preserve">that less than 1% of </w:t>
      </w:r>
      <w:r w:rsidR="00CA1E03" w:rsidRPr="00CC7E17">
        <w:rPr>
          <w:rFonts w:ascii="Arial" w:hAnsi="Arial" w:cs="Arial"/>
        </w:rPr>
        <w:t xml:space="preserve">published </w:t>
      </w:r>
      <w:r w:rsidRPr="00CC7E17">
        <w:rPr>
          <w:rFonts w:ascii="Arial" w:hAnsi="Arial" w:cs="Arial"/>
        </w:rPr>
        <w:t xml:space="preserve">studies meet </w:t>
      </w:r>
      <w:r w:rsidR="001D5748" w:rsidRPr="00CC7E17">
        <w:rPr>
          <w:rFonts w:ascii="Arial" w:hAnsi="Arial" w:cs="Arial"/>
        </w:rPr>
        <w:t xml:space="preserve">“stringent </w:t>
      </w:r>
      <w:r w:rsidRPr="00CC7E17">
        <w:rPr>
          <w:rFonts w:ascii="Arial" w:hAnsi="Arial" w:cs="Arial"/>
        </w:rPr>
        <w:t>scientific standards</w:t>
      </w:r>
      <w:r w:rsidR="001D5748" w:rsidRPr="00CC7E17">
        <w:rPr>
          <w:rFonts w:ascii="Arial" w:hAnsi="Arial" w:cs="Arial"/>
        </w:rPr>
        <w:t>”</w:t>
      </w:r>
      <w:r w:rsidRPr="00CC7E17">
        <w:rPr>
          <w:rFonts w:ascii="Arial" w:hAnsi="Arial" w:cs="Arial"/>
        </w:rPr>
        <w:t xml:space="preserve"> (Haynes, 1993).</w:t>
      </w:r>
      <w:r w:rsidR="004425D1" w:rsidRPr="00CC7E17">
        <w:rPr>
          <w:rFonts w:ascii="Arial" w:hAnsi="Arial" w:cs="Arial"/>
        </w:rPr>
        <w:t xml:space="preserve"> Doctors must be able to filter out articles that have little potential to provide strong evidence for clinical applications. </w:t>
      </w:r>
      <w:r w:rsidR="00CA1E03" w:rsidRPr="00CC7E17">
        <w:rPr>
          <w:rFonts w:ascii="Arial" w:hAnsi="Arial" w:cs="Arial"/>
        </w:rPr>
        <w:t>These</w:t>
      </w:r>
      <w:r w:rsidRPr="00CC7E17">
        <w:rPr>
          <w:rFonts w:ascii="Arial" w:hAnsi="Arial" w:cs="Arial"/>
        </w:rPr>
        <w:t xml:space="preserve"> </w:t>
      </w:r>
      <w:r w:rsidR="00CA1E03" w:rsidRPr="00CC7E17">
        <w:rPr>
          <w:rFonts w:ascii="Arial" w:hAnsi="Arial" w:cs="Arial"/>
        </w:rPr>
        <w:t>articles that are not ready for clinical application</w:t>
      </w:r>
      <w:r w:rsidRPr="00CC7E17">
        <w:rPr>
          <w:rFonts w:ascii="Arial" w:hAnsi="Arial" w:cs="Arial"/>
        </w:rPr>
        <w:t xml:space="preserve"> make up over 99% of publications. </w:t>
      </w:r>
    </w:p>
    <w:p w14:paraId="11DF6806" w14:textId="77777777" w:rsidR="008D1229" w:rsidRPr="00CC7E17" w:rsidRDefault="008D1229" w:rsidP="0009624B">
      <w:pPr>
        <w:spacing w:line="360" w:lineRule="auto"/>
        <w:rPr>
          <w:rFonts w:ascii="Arial" w:hAnsi="Arial" w:cs="Arial"/>
        </w:rPr>
      </w:pPr>
    </w:p>
    <w:p w14:paraId="42A67BE1" w14:textId="4B3D073C" w:rsidR="008D1229" w:rsidRPr="00CC7E17" w:rsidRDefault="008D1229" w:rsidP="00ED7C8D">
      <w:pPr>
        <w:spacing w:line="360" w:lineRule="auto"/>
        <w:rPr>
          <w:rFonts w:ascii="Arial" w:hAnsi="Arial" w:cs="Arial"/>
        </w:rPr>
      </w:pPr>
      <w:r w:rsidRPr="00CC7E17">
        <w:rPr>
          <w:rFonts w:ascii="Arial" w:hAnsi="Arial" w:cs="Arial"/>
        </w:rPr>
        <w:t>McMaster’s Premium LiteratUre Service (PLUS) aims to do just that</w:t>
      </w:r>
      <w:r w:rsidR="00CA1E03" w:rsidRPr="00CC7E17">
        <w:rPr>
          <w:rFonts w:ascii="Arial" w:hAnsi="Arial" w:cs="Arial"/>
        </w:rPr>
        <w:t>—identify only those articles with data that are appropriate for changing clinical care</w:t>
      </w:r>
      <w:r w:rsidRPr="00CC7E17">
        <w:rPr>
          <w:rFonts w:ascii="Arial" w:hAnsi="Arial" w:cs="Arial"/>
        </w:rPr>
        <w:t xml:space="preserve">. Utilizing a multi-step selection process, </w:t>
      </w:r>
      <w:r w:rsidR="00CA1E03" w:rsidRPr="00CC7E17">
        <w:rPr>
          <w:rFonts w:ascii="Arial" w:hAnsi="Arial" w:cs="Arial"/>
        </w:rPr>
        <w:t xml:space="preserve">the people involved in the production of </w:t>
      </w:r>
      <w:r w:rsidRPr="00CC7E17">
        <w:rPr>
          <w:rFonts w:ascii="Arial" w:hAnsi="Arial" w:cs="Arial"/>
        </w:rPr>
        <w:t xml:space="preserve">PLUS </w:t>
      </w:r>
      <w:r w:rsidR="00CA1E03" w:rsidRPr="00CC7E17">
        <w:rPr>
          <w:rFonts w:ascii="Arial" w:hAnsi="Arial" w:cs="Arial"/>
        </w:rPr>
        <w:t>are</w:t>
      </w:r>
      <w:r w:rsidRPr="00CC7E17">
        <w:rPr>
          <w:rFonts w:ascii="Arial" w:hAnsi="Arial" w:cs="Arial"/>
        </w:rPr>
        <w:t xml:space="preserve"> able to filter out up to 99.6% of articles that fail to meet the most stringent criteria for</w:t>
      </w:r>
      <w:r w:rsidR="008E46F2">
        <w:rPr>
          <w:rFonts w:ascii="Arial" w:hAnsi="Arial" w:cs="Arial"/>
        </w:rPr>
        <w:t xml:space="preserve"> research methods,</w:t>
      </w:r>
      <w:r w:rsidRPr="00CC7E17">
        <w:rPr>
          <w:rFonts w:ascii="Arial" w:hAnsi="Arial" w:cs="Arial"/>
        </w:rPr>
        <w:t xml:space="preserve"> newsworthiness and clinical relevance</w:t>
      </w:r>
      <w:r w:rsidR="00CA1E03" w:rsidRPr="00CC7E17">
        <w:rPr>
          <w:rFonts w:ascii="Arial" w:hAnsi="Arial" w:cs="Arial"/>
        </w:rPr>
        <w:t xml:space="preserve"> for clinical care</w:t>
      </w:r>
      <w:r w:rsidRPr="00CC7E17">
        <w:rPr>
          <w:rFonts w:ascii="Arial" w:hAnsi="Arial" w:cs="Arial"/>
        </w:rPr>
        <w:t xml:space="preserve"> (Holland, 2005). PLUS </w:t>
      </w:r>
      <w:r w:rsidR="002F4E25" w:rsidRPr="00CC7E17">
        <w:rPr>
          <w:rFonts w:ascii="Arial" w:hAnsi="Arial" w:cs="Arial"/>
        </w:rPr>
        <w:t xml:space="preserve">is continuously fed via the McMaster knowledge refinery, whose readers </w:t>
      </w:r>
      <w:r w:rsidRPr="00CC7E17">
        <w:rPr>
          <w:rFonts w:ascii="Arial" w:hAnsi="Arial" w:cs="Arial"/>
        </w:rPr>
        <w:t>scan</w:t>
      </w:r>
      <w:r w:rsidR="00C46846" w:rsidRPr="00CC7E17">
        <w:rPr>
          <w:rFonts w:ascii="Arial" w:hAnsi="Arial" w:cs="Arial"/>
        </w:rPr>
        <w:t xml:space="preserve"> more than</w:t>
      </w:r>
      <w:r w:rsidRPr="00CC7E17">
        <w:rPr>
          <w:rFonts w:ascii="Arial" w:hAnsi="Arial" w:cs="Arial"/>
        </w:rPr>
        <w:t xml:space="preserve"> 120 of the </w:t>
      </w:r>
      <w:r w:rsidR="008E46F2">
        <w:rPr>
          <w:rFonts w:ascii="Arial" w:hAnsi="Arial" w:cs="Arial"/>
        </w:rPr>
        <w:t>most important</w:t>
      </w:r>
      <w:r w:rsidRPr="00CC7E17">
        <w:rPr>
          <w:rFonts w:ascii="Arial" w:hAnsi="Arial" w:cs="Arial"/>
        </w:rPr>
        <w:t xml:space="preserve"> medical journals for articles that meet </w:t>
      </w:r>
      <w:r w:rsidR="00C46846" w:rsidRPr="00CC7E17">
        <w:rPr>
          <w:rFonts w:ascii="Arial" w:hAnsi="Arial" w:cs="Arial"/>
        </w:rPr>
        <w:t>the Knowledge Refi</w:t>
      </w:r>
      <w:r w:rsidR="00A220D0" w:rsidRPr="00CC7E17">
        <w:rPr>
          <w:rFonts w:ascii="Arial" w:hAnsi="Arial" w:cs="Arial"/>
        </w:rPr>
        <w:t>n</w:t>
      </w:r>
      <w:r w:rsidR="00C46846" w:rsidRPr="00CC7E17">
        <w:rPr>
          <w:rFonts w:ascii="Arial" w:hAnsi="Arial" w:cs="Arial"/>
        </w:rPr>
        <w:t>ery’s</w:t>
      </w:r>
      <w:r w:rsidRPr="00CC7E17">
        <w:rPr>
          <w:rFonts w:ascii="Arial" w:hAnsi="Arial" w:cs="Arial"/>
        </w:rPr>
        <w:t xml:space="preserve"> standard</w:t>
      </w:r>
      <w:r w:rsidR="00C46846" w:rsidRPr="00CC7E17">
        <w:rPr>
          <w:rFonts w:ascii="Arial" w:hAnsi="Arial" w:cs="Arial"/>
        </w:rPr>
        <w:t>s</w:t>
      </w:r>
      <w:r w:rsidRPr="00CC7E17">
        <w:rPr>
          <w:rFonts w:ascii="Arial" w:hAnsi="Arial" w:cs="Arial"/>
        </w:rPr>
        <w:t xml:space="preserve">. These 120 journals </w:t>
      </w:r>
      <w:r w:rsidR="00C46846" w:rsidRPr="00CC7E17">
        <w:rPr>
          <w:rFonts w:ascii="Arial" w:hAnsi="Arial" w:cs="Arial"/>
        </w:rPr>
        <w:t>publish</w:t>
      </w:r>
      <w:r w:rsidRPr="00CC7E17">
        <w:rPr>
          <w:rFonts w:ascii="Arial" w:hAnsi="Arial" w:cs="Arial"/>
        </w:rPr>
        <w:t xml:space="preserve"> over 50,000 articles a year on average. This article list is initially pruned from 50,000 to about </w:t>
      </w:r>
      <w:r w:rsidR="00A220D0" w:rsidRPr="00CC7E17">
        <w:rPr>
          <w:rFonts w:ascii="Arial" w:hAnsi="Arial" w:cs="Arial"/>
        </w:rPr>
        <w:t>3</w:t>
      </w:r>
      <w:r w:rsidR="001D5748" w:rsidRPr="00CC7E17">
        <w:rPr>
          <w:rFonts w:ascii="Arial" w:hAnsi="Arial" w:cs="Arial"/>
        </w:rPr>
        <w:t>,</w:t>
      </w:r>
      <w:r w:rsidRPr="00CC7E17">
        <w:rPr>
          <w:rFonts w:ascii="Arial" w:hAnsi="Arial" w:cs="Arial"/>
        </w:rPr>
        <w:t xml:space="preserve">500 articles per year by McMaster’s Health Information Research Unit (HiRU) staff, who critically appraise each article to ensure </w:t>
      </w:r>
      <w:r w:rsidR="00226FA4" w:rsidRPr="00CC7E17">
        <w:rPr>
          <w:rFonts w:ascii="Arial" w:hAnsi="Arial" w:cs="Arial"/>
        </w:rPr>
        <w:t xml:space="preserve">that </w:t>
      </w:r>
      <w:r w:rsidR="00EC710B" w:rsidRPr="00CC7E17">
        <w:rPr>
          <w:rFonts w:ascii="Arial" w:hAnsi="Arial" w:cs="Arial"/>
        </w:rPr>
        <w:t>a study’s</w:t>
      </w:r>
      <w:r w:rsidR="00226FA4" w:rsidRPr="00CC7E17">
        <w:rPr>
          <w:rFonts w:ascii="Arial" w:hAnsi="Arial" w:cs="Arial"/>
        </w:rPr>
        <w:t xml:space="preserve"> methods are rigorous</w:t>
      </w:r>
      <w:r w:rsidRPr="00CC7E17">
        <w:rPr>
          <w:rFonts w:ascii="Arial" w:hAnsi="Arial" w:cs="Arial"/>
        </w:rPr>
        <w:t xml:space="preserve">, pertain to a list of suitable topics, and culminate in clinical endpoints. If the articles meet the aforementioned criteria, they are passed onto the McMaster Online Rating of Evidence (MORE) database for further appraisal. Once in the database, the MORE panel, which is composed of over </w:t>
      </w:r>
      <w:r w:rsidR="002F4E25" w:rsidRPr="00CC7E17">
        <w:rPr>
          <w:rFonts w:ascii="Arial" w:hAnsi="Arial" w:cs="Arial"/>
        </w:rPr>
        <w:t>10,</w:t>
      </w:r>
      <w:r w:rsidRPr="00CC7E17">
        <w:rPr>
          <w:rFonts w:ascii="Arial" w:hAnsi="Arial" w:cs="Arial"/>
        </w:rPr>
        <w:t>000 clinicians</w:t>
      </w:r>
      <w:r w:rsidR="002F4E25" w:rsidRPr="00CC7E17">
        <w:rPr>
          <w:rFonts w:ascii="Arial" w:hAnsi="Arial" w:cs="Arial"/>
        </w:rPr>
        <w:t xml:space="preserve"> (5000 doctors and as many allied professionals)</w:t>
      </w:r>
      <w:r w:rsidRPr="00CC7E17">
        <w:rPr>
          <w:rFonts w:ascii="Arial" w:hAnsi="Arial" w:cs="Arial"/>
        </w:rPr>
        <w:t xml:space="preserve">, submit their ratings and comments pertaining to each article </w:t>
      </w:r>
      <w:r w:rsidR="00521CE2" w:rsidRPr="00CC7E17">
        <w:rPr>
          <w:rFonts w:ascii="Arial" w:hAnsi="Arial" w:cs="Arial"/>
        </w:rPr>
        <w:t>to which they are</w:t>
      </w:r>
      <w:r w:rsidRPr="00CC7E17">
        <w:rPr>
          <w:rFonts w:ascii="Arial" w:hAnsi="Arial" w:cs="Arial"/>
        </w:rPr>
        <w:t xml:space="preserve"> assigned. Here, </w:t>
      </w:r>
      <w:r w:rsidR="00C46846" w:rsidRPr="00CC7E17">
        <w:rPr>
          <w:rFonts w:ascii="Arial" w:hAnsi="Arial" w:cs="Arial"/>
        </w:rPr>
        <w:t>several</w:t>
      </w:r>
      <w:r w:rsidRPr="00CC7E17">
        <w:rPr>
          <w:rFonts w:ascii="Arial" w:hAnsi="Arial" w:cs="Arial"/>
        </w:rPr>
        <w:t xml:space="preserve"> rater</w:t>
      </w:r>
      <w:r w:rsidR="00C46846" w:rsidRPr="00CC7E17">
        <w:rPr>
          <w:rFonts w:ascii="Arial" w:hAnsi="Arial" w:cs="Arial"/>
        </w:rPr>
        <w:t>s</w:t>
      </w:r>
      <w:r w:rsidRPr="00CC7E17">
        <w:rPr>
          <w:rFonts w:ascii="Arial" w:hAnsi="Arial" w:cs="Arial"/>
        </w:rPr>
        <w:t xml:space="preserve"> grade each paper on a scale of 1-7 on its newsworthiness and clinical relevance. Only articles which rate a 3 or higher on both scales are permitted in the PLUS database, which reduces the number of articles to about 20 a year per medical discipline (Holland, 2005). Therefore</w:t>
      </w:r>
      <w:r w:rsidR="00EC710B" w:rsidRPr="00CC7E17">
        <w:rPr>
          <w:rFonts w:ascii="Arial" w:hAnsi="Arial" w:cs="Arial"/>
        </w:rPr>
        <w:t>,</w:t>
      </w:r>
      <w:r w:rsidRPr="00CC7E17">
        <w:rPr>
          <w:rFonts w:ascii="Arial" w:hAnsi="Arial" w:cs="Arial"/>
        </w:rPr>
        <w:t xml:space="preserve"> the PLUS database is able to filter the large quantit</w:t>
      </w:r>
      <w:r w:rsidR="00EC710B" w:rsidRPr="00CC7E17">
        <w:rPr>
          <w:rFonts w:ascii="Arial" w:hAnsi="Arial" w:cs="Arial"/>
        </w:rPr>
        <w:t xml:space="preserve">y </w:t>
      </w:r>
      <w:r w:rsidRPr="00CC7E17">
        <w:rPr>
          <w:rFonts w:ascii="Arial" w:hAnsi="Arial" w:cs="Arial"/>
        </w:rPr>
        <w:t>of</w:t>
      </w:r>
      <w:r w:rsidR="00C2560F">
        <w:rPr>
          <w:rFonts w:ascii="Arial" w:hAnsi="Arial" w:cs="Arial"/>
        </w:rPr>
        <w:t xml:space="preserve"> </w:t>
      </w:r>
      <w:r w:rsidRPr="00CC7E17">
        <w:rPr>
          <w:rFonts w:ascii="Arial" w:hAnsi="Arial" w:cs="Arial"/>
        </w:rPr>
        <w:t xml:space="preserve">articles </w:t>
      </w:r>
      <w:r w:rsidR="008E46F2">
        <w:rPr>
          <w:rFonts w:ascii="Arial" w:hAnsi="Arial" w:cs="Arial"/>
        </w:rPr>
        <w:t xml:space="preserve">that are not ready for clinical application </w:t>
      </w:r>
      <w:r w:rsidRPr="00CC7E17">
        <w:rPr>
          <w:rFonts w:ascii="Arial" w:hAnsi="Arial" w:cs="Arial"/>
        </w:rPr>
        <w:t xml:space="preserve">to a much smaller number of only the </w:t>
      </w:r>
      <w:r w:rsidR="008E46F2">
        <w:rPr>
          <w:rFonts w:ascii="Arial" w:hAnsi="Arial" w:cs="Arial"/>
        </w:rPr>
        <w:t>most important clinical</w:t>
      </w:r>
      <w:r w:rsidR="008E46F2" w:rsidRPr="00CC7E17">
        <w:rPr>
          <w:rFonts w:ascii="Arial" w:hAnsi="Arial" w:cs="Arial"/>
        </w:rPr>
        <w:t xml:space="preserve"> </w:t>
      </w:r>
      <w:r w:rsidRPr="00CC7E17">
        <w:rPr>
          <w:rFonts w:ascii="Arial" w:hAnsi="Arial" w:cs="Arial"/>
        </w:rPr>
        <w:t>articles available.</w:t>
      </w:r>
    </w:p>
    <w:p w14:paraId="07EB4E71" w14:textId="77777777" w:rsidR="008D1229" w:rsidRPr="00CC7E17" w:rsidRDefault="008D1229" w:rsidP="009E57CF">
      <w:pPr>
        <w:spacing w:line="360" w:lineRule="auto"/>
        <w:ind w:left="720"/>
        <w:rPr>
          <w:rFonts w:ascii="Arial" w:hAnsi="Arial" w:cs="Arial"/>
        </w:rPr>
      </w:pPr>
    </w:p>
    <w:p w14:paraId="55CBCFEB" w14:textId="7F4B70A5" w:rsidR="00B82631" w:rsidRPr="00CC7E17" w:rsidRDefault="008D1229" w:rsidP="00ED7C8D">
      <w:pPr>
        <w:spacing w:line="360" w:lineRule="auto"/>
        <w:rPr>
          <w:rFonts w:ascii="Arial" w:hAnsi="Arial" w:cs="Arial"/>
          <w:i/>
          <w:color w:val="262626"/>
        </w:rPr>
      </w:pPr>
      <w:r w:rsidRPr="00CC7E17">
        <w:rPr>
          <w:rFonts w:ascii="Arial" w:hAnsi="Arial" w:cs="Arial"/>
        </w:rPr>
        <w:t>Even with these significantly shortened reading lists,</w:t>
      </w:r>
      <w:r w:rsidR="005A6210" w:rsidRPr="00CC7E17">
        <w:rPr>
          <w:rFonts w:ascii="Arial" w:hAnsi="Arial" w:cs="Arial"/>
        </w:rPr>
        <w:t xml:space="preserve"> </w:t>
      </w:r>
      <w:r w:rsidRPr="00CC7E17">
        <w:rPr>
          <w:rFonts w:ascii="Arial" w:hAnsi="Arial" w:cs="Arial"/>
        </w:rPr>
        <w:t>some doctors are unable to find the time to read</w:t>
      </w:r>
      <w:r w:rsidR="00EC710B" w:rsidRPr="00CC7E17">
        <w:rPr>
          <w:rFonts w:ascii="Arial" w:hAnsi="Arial" w:cs="Arial"/>
        </w:rPr>
        <w:t xml:space="preserve"> medical literature</w:t>
      </w:r>
      <w:r w:rsidRPr="00CC7E17">
        <w:rPr>
          <w:rFonts w:ascii="Arial" w:hAnsi="Arial" w:cs="Arial"/>
        </w:rPr>
        <w:t xml:space="preserve">, in spite of understanding the task’s importance. In Smith’s 2010 paper on the role of eHealth, he recounts a survey he conducted: </w:t>
      </w:r>
    </w:p>
    <w:p w14:paraId="7F104951" w14:textId="0C2D77B6" w:rsidR="00CD722D" w:rsidRPr="00CC7E17" w:rsidRDefault="00B82631" w:rsidP="00ED7C8D">
      <w:pPr>
        <w:spacing w:line="360" w:lineRule="auto"/>
        <w:ind w:left="1287"/>
      </w:pPr>
      <w:r w:rsidRPr="00CC7E17">
        <w:rPr>
          <w:rFonts w:ascii="Arial" w:hAnsi="Arial" w:cs="Arial"/>
          <w:i/>
          <w:color w:val="262626"/>
        </w:rPr>
        <w:t>“</w:t>
      </w:r>
      <w:r w:rsidR="008D1229" w:rsidRPr="00CC7E17">
        <w:rPr>
          <w:rFonts w:ascii="Arial" w:hAnsi="Arial" w:cs="Arial"/>
          <w:i/>
          <w:color w:val="262626"/>
        </w:rPr>
        <w:t>Some 10 years ago I asked around 100 doctors how much of what they should read to do their job better they actually read. About 80% said less than 50%, and 10% said less than 1%. More than half felt guilty about this, and when asked to describe in one word how they felt about their information supply it was mostly negative (impossible, overwhelmed, crushed, despairing, depressed), with just a few answering “challenged.”</w:t>
      </w:r>
      <w:r w:rsidR="008D1229" w:rsidRPr="00CC7E17">
        <w:rPr>
          <w:rFonts w:ascii="Arial" w:hAnsi="Arial" w:cs="Arial"/>
          <w:color w:val="262626"/>
        </w:rPr>
        <w:t xml:space="preserve"> (Smith, 2010)</w:t>
      </w:r>
    </w:p>
    <w:p w14:paraId="545B1400" w14:textId="448F3656" w:rsidR="008D1229" w:rsidRPr="00CC7E17" w:rsidRDefault="008D1229" w:rsidP="00ED7C8D">
      <w:pPr>
        <w:pStyle w:val="Default"/>
        <w:spacing w:after="240" w:line="360" w:lineRule="auto"/>
        <w:rPr>
          <w:rFonts w:ascii="Arial" w:hAnsi="Arial" w:cs="Arial"/>
          <w:sz w:val="24"/>
          <w:szCs w:val="24"/>
          <w:lang w:val="en-US"/>
        </w:rPr>
      </w:pPr>
      <w:r w:rsidRPr="00CC7E17">
        <w:rPr>
          <w:rFonts w:ascii="Arial" w:hAnsi="Arial" w:cs="Arial"/>
          <w:sz w:val="24"/>
          <w:szCs w:val="24"/>
          <w:lang w:val="en-US"/>
        </w:rPr>
        <w:t>In one study,</w:t>
      </w:r>
      <w:r w:rsidR="006A346A" w:rsidRPr="00CC7E17">
        <w:rPr>
          <w:rFonts w:ascii="Arial" w:hAnsi="Arial" w:cs="Arial"/>
          <w:sz w:val="24"/>
          <w:szCs w:val="24"/>
          <w:lang w:val="en-US"/>
        </w:rPr>
        <w:t xml:space="preserve"> Dr. David Sackett </w:t>
      </w:r>
      <w:r w:rsidRPr="00CC7E17">
        <w:rPr>
          <w:rFonts w:ascii="Arial" w:hAnsi="Arial" w:cs="Arial"/>
          <w:sz w:val="24"/>
          <w:szCs w:val="24"/>
          <w:lang w:val="en-US"/>
        </w:rPr>
        <w:t xml:space="preserve">discovered that the median time a new graduate in medicine spent reading </w:t>
      </w:r>
      <w:r w:rsidR="005A0C10" w:rsidRPr="00CC7E17">
        <w:rPr>
          <w:rFonts w:ascii="Arial" w:hAnsi="Arial" w:cs="Arial"/>
          <w:sz w:val="24"/>
          <w:szCs w:val="24"/>
          <w:lang w:val="en-US"/>
        </w:rPr>
        <w:t xml:space="preserve">per day </w:t>
      </w:r>
      <w:r w:rsidRPr="00CC7E17">
        <w:rPr>
          <w:rFonts w:ascii="Arial" w:hAnsi="Arial" w:cs="Arial"/>
          <w:sz w:val="24"/>
          <w:szCs w:val="24"/>
          <w:lang w:val="en-US"/>
        </w:rPr>
        <w:t xml:space="preserve">was 0 minutes. Even more astonishing was the finding that senior </w:t>
      </w:r>
      <w:r w:rsidR="00C46846" w:rsidRPr="00CC7E17">
        <w:rPr>
          <w:rFonts w:ascii="Arial" w:hAnsi="Arial" w:cs="Arial"/>
          <w:sz w:val="24"/>
          <w:szCs w:val="24"/>
          <w:lang w:val="en-US"/>
        </w:rPr>
        <w:t>clinicians in the United Kingdom</w:t>
      </w:r>
      <w:r w:rsidR="00A220D0" w:rsidRPr="00CC7E17">
        <w:rPr>
          <w:rFonts w:ascii="Arial" w:hAnsi="Arial" w:cs="Arial"/>
          <w:sz w:val="24"/>
          <w:szCs w:val="24"/>
          <w:lang w:val="en-US"/>
        </w:rPr>
        <w:t xml:space="preserve"> </w:t>
      </w:r>
      <w:r w:rsidRPr="00CC7E17">
        <w:rPr>
          <w:rFonts w:ascii="Arial" w:hAnsi="Arial" w:cs="Arial"/>
          <w:sz w:val="24"/>
          <w:szCs w:val="24"/>
          <w:lang w:val="en-US"/>
        </w:rPr>
        <w:t>only spent a median time of 30 minutes reading</w:t>
      </w:r>
      <w:r w:rsidR="005A0C10" w:rsidRPr="00CC7E17">
        <w:rPr>
          <w:rFonts w:ascii="Arial" w:hAnsi="Arial" w:cs="Arial"/>
          <w:sz w:val="24"/>
          <w:szCs w:val="24"/>
          <w:lang w:val="en-US"/>
        </w:rPr>
        <w:t xml:space="preserve"> per day</w:t>
      </w:r>
      <w:r w:rsidRPr="00CC7E17">
        <w:rPr>
          <w:rFonts w:ascii="Arial" w:hAnsi="Arial" w:cs="Arial"/>
          <w:sz w:val="24"/>
          <w:szCs w:val="24"/>
          <w:lang w:val="en-US"/>
        </w:rPr>
        <w:t xml:space="preserve">, </w:t>
      </w:r>
      <w:r w:rsidR="002F4E25" w:rsidRPr="00CC7E17">
        <w:rPr>
          <w:rFonts w:ascii="Arial" w:hAnsi="Arial" w:cs="Arial"/>
          <w:sz w:val="24"/>
          <w:szCs w:val="24"/>
          <w:lang w:val="en-US"/>
        </w:rPr>
        <w:t xml:space="preserve">and </w:t>
      </w:r>
      <w:r w:rsidRPr="00CC7E17">
        <w:rPr>
          <w:rFonts w:ascii="Arial" w:hAnsi="Arial" w:cs="Arial"/>
          <w:sz w:val="24"/>
          <w:szCs w:val="24"/>
          <w:lang w:val="en-US"/>
        </w:rPr>
        <w:t>among this group about 40% admitted</w:t>
      </w:r>
      <w:r w:rsidR="002F4E25" w:rsidRPr="00CC7E17">
        <w:rPr>
          <w:rFonts w:ascii="Arial" w:hAnsi="Arial" w:cs="Arial"/>
          <w:sz w:val="24"/>
          <w:szCs w:val="24"/>
          <w:lang w:val="en-US"/>
        </w:rPr>
        <w:t xml:space="preserve"> </w:t>
      </w:r>
      <w:r w:rsidRPr="00CC7E17">
        <w:rPr>
          <w:rFonts w:ascii="Arial" w:hAnsi="Arial" w:cs="Arial"/>
          <w:sz w:val="24"/>
          <w:szCs w:val="24"/>
          <w:lang w:val="en-US"/>
        </w:rPr>
        <w:t>reading nothing (Smith, 2010).</w:t>
      </w:r>
    </w:p>
    <w:p w14:paraId="451B36DD" w14:textId="4E0432AE" w:rsidR="008D1229" w:rsidRPr="00CC7E17" w:rsidRDefault="008D1229" w:rsidP="0009624B">
      <w:pPr>
        <w:pStyle w:val="Default"/>
        <w:spacing w:after="240" w:line="360" w:lineRule="auto"/>
        <w:rPr>
          <w:rFonts w:ascii="Arial" w:hAnsi="Arial" w:cs="Arial"/>
          <w:sz w:val="24"/>
          <w:szCs w:val="24"/>
          <w:lang w:val="en-US"/>
        </w:rPr>
      </w:pPr>
      <w:r w:rsidRPr="00CC7E17">
        <w:rPr>
          <w:rFonts w:ascii="Arial" w:hAnsi="Arial" w:cs="Arial"/>
          <w:sz w:val="24"/>
          <w:szCs w:val="24"/>
          <w:lang w:val="en-US"/>
        </w:rPr>
        <w:t>In spite of the inability of some doctors to find the time to stay up to date with medical research, keeping current does have its benefits. In a 2013 study conducted with 56 medical libraries serving 118 hospitals,</w:t>
      </w:r>
      <w:r w:rsidR="00CD722D" w:rsidRPr="00CC7E17">
        <w:rPr>
          <w:rFonts w:ascii="Arial" w:hAnsi="Arial" w:cs="Arial"/>
          <w:sz w:val="24"/>
          <w:szCs w:val="24"/>
          <w:lang w:val="en-US"/>
        </w:rPr>
        <w:t xml:space="preserve"> three quarters</w:t>
      </w:r>
      <w:r w:rsidRPr="00CC7E17">
        <w:rPr>
          <w:rFonts w:ascii="Arial" w:hAnsi="Arial" w:cs="Arial"/>
          <w:sz w:val="24"/>
          <w:szCs w:val="24"/>
          <w:lang w:val="en-US"/>
        </w:rPr>
        <w:t xml:space="preserve"> of </w:t>
      </w:r>
      <w:r w:rsidR="00CD722D" w:rsidRPr="00CC7E17">
        <w:rPr>
          <w:rFonts w:ascii="Arial" w:hAnsi="Arial" w:cs="Arial"/>
          <w:sz w:val="24"/>
          <w:szCs w:val="24"/>
          <w:lang w:val="en-US"/>
        </w:rPr>
        <w:t xml:space="preserve">the </w:t>
      </w:r>
      <w:r w:rsidR="005A6210" w:rsidRPr="00CC7E17">
        <w:rPr>
          <w:rFonts w:ascii="Arial" w:hAnsi="Arial" w:cs="Arial"/>
          <w:sz w:val="24"/>
          <w:szCs w:val="24"/>
          <w:lang w:val="en-US"/>
        </w:rPr>
        <w:t>clinicians who responded</w:t>
      </w:r>
      <w:r w:rsidRPr="00CC7E17">
        <w:rPr>
          <w:rFonts w:ascii="Arial" w:hAnsi="Arial" w:cs="Arial"/>
          <w:sz w:val="24"/>
          <w:szCs w:val="24"/>
          <w:lang w:val="en-US"/>
        </w:rPr>
        <w:t xml:space="preserve"> to a survey reported a “definite or probable handling of patient care differently due to library information”</w:t>
      </w:r>
      <w:r w:rsidR="00C46846" w:rsidRPr="00CC7E17">
        <w:rPr>
          <w:rFonts w:ascii="Arial" w:hAnsi="Arial" w:cs="Arial"/>
          <w:sz w:val="24"/>
          <w:szCs w:val="24"/>
          <w:lang w:val="en-US"/>
        </w:rPr>
        <w:t>.</w:t>
      </w:r>
      <w:r w:rsidRPr="00CC7E17">
        <w:rPr>
          <w:rFonts w:ascii="Arial" w:hAnsi="Arial" w:cs="Arial"/>
          <w:sz w:val="24"/>
          <w:szCs w:val="24"/>
          <w:lang w:val="en-US"/>
        </w:rPr>
        <w:t xml:space="preserve"> Respondents cited </w:t>
      </w:r>
      <w:r w:rsidR="008E46F2">
        <w:rPr>
          <w:rFonts w:ascii="Arial" w:hAnsi="Arial" w:cs="Arial"/>
          <w:sz w:val="24"/>
          <w:szCs w:val="24"/>
          <w:lang w:val="en-US"/>
        </w:rPr>
        <w:t>health research</w:t>
      </w:r>
      <w:r w:rsidRPr="00CC7E17">
        <w:rPr>
          <w:rFonts w:ascii="Arial" w:hAnsi="Arial" w:cs="Arial"/>
          <w:sz w:val="24"/>
          <w:szCs w:val="24"/>
          <w:lang w:val="en-US"/>
        </w:rPr>
        <w:t xml:space="preserve"> information</w:t>
      </w:r>
      <w:r w:rsidR="008E46F2">
        <w:rPr>
          <w:rFonts w:ascii="Arial" w:hAnsi="Arial" w:cs="Arial"/>
          <w:sz w:val="24"/>
          <w:szCs w:val="24"/>
          <w:lang w:val="en-US"/>
        </w:rPr>
        <w:t xml:space="preserve"> provided by library staff</w:t>
      </w:r>
      <w:r w:rsidRPr="00CC7E17">
        <w:rPr>
          <w:rFonts w:ascii="Arial" w:hAnsi="Arial" w:cs="Arial"/>
          <w:sz w:val="24"/>
          <w:szCs w:val="24"/>
          <w:lang w:val="en-US"/>
        </w:rPr>
        <w:t xml:space="preserve"> as the reason they changed their medical diagnosis (25%), changed the prescription of a drug (33%), or changed clinical advice (48%) (</w:t>
      </w:r>
      <w:r w:rsidRPr="00CC7E17">
        <w:rPr>
          <w:rFonts w:ascii="Arial" w:hAnsi="Arial" w:cs="Arial"/>
          <w:color w:val="262626"/>
          <w:sz w:val="24"/>
          <w:szCs w:val="24"/>
        </w:rPr>
        <w:t>Siemensma, 2014). From these results it is evident that reading medical literature has an effect on how doctors practice</w:t>
      </w:r>
      <w:r w:rsidR="00EC710B" w:rsidRPr="00CC7E17">
        <w:rPr>
          <w:rFonts w:ascii="Arial" w:hAnsi="Arial" w:cs="Arial"/>
          <w:color w:val="262626"/>
          <w:sz w:val="24"/>
          <w:szCs w:val="24"/>
        </w:rPr>
        <w:t xml:space="preserve"> medicine</w:t>
      </w:r>
      <w:r w:rsidRPr="00CC7E17">
        <w:rPr>
          <w:rFonts w:ascii="Arial" w:hAnsi="Arial" w:cs="Arial"/>
          <w:color w:val="262626"/>
          <w:sz w:val="24"/>
          <w:szCs w:val="24"/>
        </w:rPr>
        <w:t>.</w:t>
      </w:r>
      <w:r w:rsidR="00A50237">
        <w:rPr>
          <w:rFonts w:ascii="Arial" w:hAnsi="Arial" w:cs="Arial"/>
          <w:color w:val="262626"/>
          <w:sz w:val="24"/>
          <w:szCs w:val="24"/>
        </w:rPr>
        <w:t xml:space="preserve"> </w:t>
      </w:r>
      <w:r w:rsidRPr="00CC7E17">
        <w:rPr>
          <w:rFonts w:ascii="Arial" w:hAnsi="Arial" w:cs="Arial"/>
          <w:sz w:val="24"/>
          <w:szCs w:val="24"/>
          <w:lang w:val="en-US"/>
        </w:rPr>
        <w:t xml:space="preserve"> </w:t>
      </w:r>
    </w:p>
    <w:p w14:paraId="25627A04" w14:textId="475627B5" w:rsidR="00EC710B" w:rsidRPr="00CC7E17" w:rsidRDefault="00657992" w:rsidP="00ED7C8D">
      <w:pPr>
        <w:pStyle w:val="Heading3"/>
        <w:spacing w:line="360" w:lineRule="auto"/>
      </w:pPr>
      <w:bookmarkStart w:id="14" w:name="_Toc286437113"/>
      <w:r w:rsidRPr="00CC7E17">
        <w:rPr>
          <w:rFonts w:ascii="Arial" w:hAnsi="Arial" w:cs="Arial"/>
        </w:rPr>
        <w:t>Searching</w:t>
      </w:r>
      <w:r w:rsidR="002F4E25" w:rsidRPr="00CC7E17">
        <w:rPr>
          <w:rFonts w:ascii="Arial" w:hAnsi="Arial" w:cs="Arial"/>
        </w:rPr>
        <w:t xml:space="preserve"> </w:t>
      </w:r>
      <w:r w:rsidR="00EC710B" w:rsidRPr="00CC7E17">
        <w:rPr>
          <w:rFonts w:ascii="Arial" w:hAnsi="Arial" w:cs="Arial"/>
        </w:rPr>
        <w:t>Prognostic Information</w:t>
      </w:r>
      <w:bookmarkEnd w:id="14"/>
    </w:p>
    <w:p w14:paraId="628C8AB6" w14:textId="1FD0586F" w:rsidR="002F4E25" w:rsidRPr="00CC7E17" w:rsidRDefault="00CD722D" w:rsidP="0009624B">
      <w:pPr>
        <w:pStyle w:val="Default"/>
        <w:spacing w:after="240" w:line="360" w:lineRule="auto"/>
        <w:rPr>
          <w:rFonts w:ascii="Arial" w:hAnsi="Arial" w:cs="Arial"/>
          <w:sz w:val="24"/>
          <w:szCs w:val="24"/>
          <w:lang w:val="en-US"/>
        </w:rPr>
      </w:pPr>
      <w:r w:rsidRPr="00CC7E17">
        <w:rPr>
          <w:rFonts w:ascii="Arial" w:hAnsi="Arial" w:cs="Arial"/>
          <w:sz w:val="24"/>
          <w:szCs w:val="24"/>
          <w:lang w:val="en-US"/>
        </w:rPr>
        <w:t>A</w:t>
      </w:r>
      <w:r w:rsidR="002F4E25" w:rsidRPr="00CC7E17">
        <w:rPr>
          <w:rFonts w:ascii="Arial" w:hAnsi="Arial" w:cs="Arial"/>
          <w:sz w:val="24"/>
          <w:szCs w:val="24"/>
          <w:lang w:val="en-US"/>
        </w:rPr>
        <w:t xml:space="preserve"> main</w:t>
      </w:r>
      <w:r w:rsidR="008D1229" w:rsidRPr="00CC7E17">
        <w:rPr>
          <w:rFonts w:ascii="Arial" w:hAnsi="Arial" w:cs="Arial"/>
          <w:sz w:val="24"/>
          <w:szCs w:val="24"/>
          <w:lang w:val="en-US"/>
        </w:rPr>
        <w:t xml:space="preserve"> reason why clinicians turn to medical research articles is to find answers to difficult questions. Some of the most difficult questions pertain to prognostic information. </w:t>
      </w:r>
      <w:r w:rsidRPr="00CC7E17">
        <w:rPr>
          <w:rFonts w:ascii="Arial" w:hAnsi="Arial" w:cs="Arial"/>
          <w:sz w:val="24"/>
          <w:szCs w:val="24"/>
          <w:lang w:val="en-US"/>
        </w:rPr>
        <w:t>P</w:t>
      </w:r>
      <w:r w:rsidR="008D1229" w:rsidRPr="00CC7E17">
        <w:rPr>
          <w:rFonts w:ascii="Arial" w:hAnsi="Arial" w:cs="Arial"/>
          <w:sz w:val="24"/>
          <w:szCs w:val="24"/>
          <w:lang w:val="en-US"/>
        </w:rPr>
        <w:t>rognosis is an estimation of how a</w:t>
      </w:r>
      <w:r w:rsidRPr="00CC7E17">
        <w:rPr>
          <w:rFonts w:ascii="Arial" w:hAnsi="Arial" w:cs="Arial"/>
          <w:sz w:val="24"/>
          <w:szCs w:val="24"/>
          <w:lang w:val="en-US"/>
        </w:rPr>
        <w:t xml:space="preserve"> disease or condition</w:t>
      </w:r>
      <w:r w:rsidR="008D1229" w:rsidRPr="00CC7E17">
        <w:rPr>
          <w:rFonts w:ascii="Arial" w:hAnsi="Arial" w:cs="Arial"/>
          <w:sz w:val="24"/>
          <w:szCs w:val="24"/>
          <w:lang w:val="en-US"/>
        </w:rPr>
        <w:t xml:space="preserve"> will progress and </w:t>
      </w:r>
      <w:r w:rsidR="00EC710B" w:rsidRPr="00CC7E17">
        <w:rPr>
          <w:rFonts w:ascii="Arial" w:hAnsi="Arial" w:cs="Arial"/>
          <w:sz w:val="24"/>
          <w:szCs w:val="24"/>
          <w:lang w:val="en-US"/>
        </w:rPr>
        <w:t xml:space="preserve">its </w:t>
      </w:r>
      <w:r w:rsidR="008D1229" w:rsidRPr="00CC7E17">
        <w:rPr>
          <w:rFonts w:ascii="Arial" w:hAnsi="Arial" w:cs="Arial"/>
          <w:sz w:val="24"/>
          <w:szCs w:val="24"/>
          <w:lang w:val="en-US"/>
        </w:rPr>
        <w:t>possible outcomes</w:t>
      </w:r>
      <w:r w:rsidR="00C46846" w:rsidRPr="00CC7E17">
        <w:rPr>
          <w:rFonts w:ascii="Arial" w:hAnsi="Arial" w:cs="Arial"/>
          <w:sz w:val="24"/>
          <w:szCs w:val="24"/>
          <w:lang w:val="en-US"/>
        </w:rPr>
        <w:t xml:space="preserve"> over a period of time</w:t>
      </w:r>
      <w:r w:rsidR="008D1229" w:rsidRPr="00CC7E17">
        <w:rPr>
          <w:rFonts w:ascii="Arial" w:hAnsi="Arial" w:cs="Arial"/>
          <w:sz w:val="24"/>
          <w:szCs w:val="24"/>
          <w:lang w:val="en-US"/>
        </w:rPr>
        <w:t xml:space="preserve">. Physicians are often asked to predict a patient’s prognosis. However, </w:t>
      </w:r>
      <w:r w:rsidR="00C46846" w:rsidRPr="00CC7E17">
        <w:rPr>
          <w:rFonts w:ascii="Arial" w:hAnsi="Arial" w:cs="Arial"/>
          <w:sz w:val="24"/>
          <w:szCs w:val="24"/>
          <w:lang w:val="en-US"/>
        </w:rPr>
        <w:t>clinicians’</w:t>
      </w:r>
      <w:r w:rsidR="008D1229" w:rsidRPr="00CC7E17">
        <w:rPr>
          <w:rFonts w:ascii="Arial" w:hAnsi="Arial" w:cs="Arial"/>
          <w:sz w:val="24"/>
          <w:szCs w:val="24"/>
          <w:lang w:val="en-US"/>
        </w:rPr>
        <w:t xml:space="preserve"> constant worry is that their assessment will be inaccurate (Justice, 1999).</w:t>
      </w:r>
      <w:r w:rsidR="00A50237">
        <w:rPr>
          <w:rFonts w:ascii="Arial" w:hAnsi="Arial" w:cs="Arial"/>
          <w:sz w:val="24"/>
          <w:szCs w:val="24"/>
          <w:lang w:val="en-US"/>
        </w:rPr>
        <w:t xml:space="preserve"> </w:t>
      </w:r>
      <w:r w:rsidR="008D1229" w:rsidRPr="00CC7E17">
        <w:rPr>
          <w:rFonts w:ascii="Arial" w:hAnsi="Arial" w:cs="Arial"/>
          <w:sz w:val="24"/>
          <w:szCs w:val="24"/>
          <w:lang w:val="en-US"/>
        </w:rPr>
        <w:t xml:space="preserve">Accurate prognosis information can lead to more effective choices of treatment, and </w:t>
      </w:r>
      <w:r w:rsidRPr="00CC7E17">
        <w:rPr>
          <w:rFonts w:ascii="Arial" w:hAnsi="Arial" w:cs="Arial"/>
          <w:sz w:val="24"/>
          <w:szCs w:val="24"/>
          <w:lang w:val="en-US"/>
        </w:rPr>
        <w:t xml:space="preserve">possibly </w:t>
      </w:r>
      <w:r w:rsidR="008D1229" w:rsidRPr="00CC7E17">
        <w:rPr>
          <w:rFonts w:ascii="Arial" w:hAnsi="Arial" w:cs="Arial"/>
          <w:sz w:val="24"/>
          <w:szCs w:val="24"/>
          <w:lang w:val="en-US"/>
        </w:rPr>
        <w:t>a better overall outcome.</w:t>
      </w:r>
      <w:r w:rsidR="00A50237">
        <w:rPr>
          <w:rFonts w:ascii="Arial" w:hAnsi="Arial" w:cs="Arial"/>
          <w:sz w:val="24"/>
          <w:szCs w:val="24"/>
          <w:lang w:val="en-US"/>
        </w:rPr>
        <w:t xml:space="preserve"> </w:t>
      </w:r>
      <w:r w:rsidR="00FE2282" w:rsidRPr="00CC7E17">
        <w:rPr>
          <w:rFonts w:ascii="Arial" w:hAnsi="Arial" w:cs="Arial"/>
          <w:sz w:val="24"/>
          <w:szCs w:val="24"/>
          <w:lang w:val="en-US"/>
        </w:rPr>
        <w:t>Clinic</w:t>
      </w:r>
      <w:r w:rsidR="00C2694F" w:rsidRPr="00CC7E17">
        <w:rPr>
          <w:rFonts w:ascii="Arial" w:hAnsi="Arial" w:cs="Arial"/>
          <w:sz w:val="24"/>
          <w:szCs w:val="24"/>
          <w:lang w:val="en-US"/>
        </w:rPr>
        <w:t>i</w:t>
      </w:r>
      <w:r w:rsidR="00FE2282" w:rsidRPr="00CC7E17">
        <w:rPr>
          <w:rFonts w:ascii="Arial" w:hAnsi="Arial" w:cs="Arial"/>
          <w:sz w:val="24"/>
          <w:szCs w:val="24"/>
          <w:lang w:val="en-US"/>
        </w:rPr>
        <w:t>ans must use information pertaining to both baseline risk and potential treatment effect</w:t>
      </w:r>
      <w:r w:rsidR="00C46846" w:rsidRPr="00CC7E17">
        <w:rPr>
          <w:rFonts w:ascii="Arial" w:hAnsi="Arial" w:cs="Arial"/>
          <w:sz w:val="24"/>
          <w:szCs w:val="24"/>
          <w:lang w:val="en-US"/>
        </w:rPr>
        <w:t>s</w:t>
      </w:r>
      <w:r w:rsidR="00FE2282" w:rsidRPr="00CC7E17">
        <w:rPr>
          <w:rFonts w:ascii="Arial" w:hAnsi="Arial" w:cs="Arial"/>
          <w:sz w:val="24"/>
          <w:szCs w:val="24"/>
          <w:lang w:val="en-US"/>
        </w:rPr>
        <w:t xml:space="preserve"> to</w:t>
      </w:r>
      <w:r w:rsidR="00C2694F" w:rsidRPr="00CC7E17">
        <w:rPr>
          <w:rFonts w:ascii="Arial" w:hAnsi="Arial" w:cs="Arial"/>
          <w:sz w:val="24"/>
          <w:szCs w:val="24"/>
          <w:lang w:val="en-US"/>
        </w:rPr>
        <w:t xml:space="preserve"> ascertain a patient’s individual risk and subsequently prescribe an appropriate</w:t>
      </w:r>
      <w:r w:rsidR="00C46846" w:rsidRPr="00CC7E17">
        <w:rPr>
          <w:rFonts w:ascii="Arial" w:hAnsi="Arial" w:cs="Arial"/>
          <w:sz w:val="24"/>
          <w:szCs w:val="24"/>
          <w:lang w:val="en-US"/>
        </w:rPr>
        <w:t xml:space="preserve"> and acceptable</w:t>
      </w:r>
      <w:r w:rsidR="00C2694F" w:rsidRPr="00CC7E17">
        <w:rPr>
          <w:rFonts w:ascii="Arial" w:hAnsi="Arial" w:cs="Arial"/>
          <w:sz w:val="24"/>
          <w:szCs w:val="24"/>
          <w:lang w:val="en-US"/>
        </w:rPr>
        <w:t xml:space="preserve"> treatment.</w:t>
      </w:r>
      <w:r w:rsidR="00A50237">
        <w:rPr>
          <w:rFonts w:ascii="Arial" w:hAnsi="Arial" w:cs="Arial"/>
          <w:sz w:val="24"/>
          <w:szCs w:val="24"/>
          <w:lang w:val="en-US"/>
        </w:rPr>
        <w:t xml:space="preserve"> </w:t>
      </w:r>
    </w:p>
    <w:p w14:paraId="464E696D" w14:textId="2964E3F2" w:rsidR="009B3A86" w:rsidRPr="00CC7E17" w:rsidRDefault="00804D0F" w:rsidP="0009624B">
      <w:pPr>
        <w:pStyle w:val="Default"/>
        <w:spacing w:after="240" w:line="360" w:lineRule="auto"/>
        <w:rPr>
          <w:rFonts w:ascii="Arial" w:hAnsi="Arial" w:cs="Arial"/>
          <w:sz w:val="24"/>
          <w:szCs w:val="24"/>
          <w:lang w:val="en-US"/>
        </w:rPr>
      </w:pPr>
      <w:r>
        <w:rPr>
          <w:rFonts w:ascii="Arial" w:hAnsi="Arial" w:cs="Arial"/>
          <w:sz w:val="24"/>
          <w:szCs w:val="24"/>
          <w:lang w:val="en-US"/>
        </w:rPr>
        <w:t>T</w:t>
      </w:r>
      <w:r w:rsidR="008D1229" w:rsidRPr="00CC7E17">
        <w:rPr>
          <w:rFonts w:ascii="Arial" w:hAnsi="Arial" w:cs="Arial"/>
          <w:sz w:val="24"/>
          <w:szCs w:val="24"/>
          <w:lang w:val="en-US"/>
        </w:rPr>
        <w:t>he best way to determine a course of treatment for a patient is to combine data on both the effect of a certain treatment and an individual’s baseline risk information</w:t>
      </w:r>
      <w:r w:rsidR="00CD722D" w:rsidRPr="00CC7E17">
        <w:rPr>
          <w:rFonts w:ascii="Arial" w:hAnsi="Arial" w:cs="Arial"/>
          <w:sz w:val="24"/>
          <w:szCs w:val="24"/>
          <w:lang w:val="en-US"/>
        </w:rPr>
        <w:t xml:space="preserve"> for a given or several outcomes</w:t>
      </w:r>
      <w:r>
        <w:rPr>
          <w:rFonts w:ascii="Arial" w:hAnsi="Arial" w:cs="Arial"/>
          <w:sz w:val="24"/>
          <w:szCs w:val="24"/>
          <w:lang w:val="en-US"/>
        </w:rPr>
        <w:t xml:space="preserve"> while also taking into account patient risk factors</w:t>
      </w:r>
      <w:r w:rsidR="008D1229" w:rsidRPr="00CC7E17">
        <w:rPr>
          <w:rFonts w:ascii="Arial" w:hAnsi="Arial" w:cs="Arial"/>
          <w:sz w:val="24"/>
          <w:szCs w:val="24"/>
          <w:lang w:val="en-US"/>
        </w:rPr>
        <w:t>.</w:t>
      </w:r>
      <w:r w:rsidR="00BA54DF" w:rsidRPr="00CC7E17">
        <w:rPr>
          <w:rFonts w:ascii="Arial" w:hAnsi="Arial" w:cs="Arial"/>
          <w:sz w:val="24"/>
          <w:szCs w:val="24"/>
          <w:lang w:val="en-US"/>
        </w:rPr>
        <w:t xml:space="preserve"> By taking into consideration the individual</w:t>
      </w:r>
      <w:r w:rsidR="00444C4A" w:rsidRPr="00CC7E17">
        <w:rPr>
          <w:rFonts w:ascii="Arial" w:hAnsi="Arial" w:cs="Arial"/>
          <w:sz w:val="24"/>
          <w:szCs w:val="24"/>
          <w:lang w:val="en-US"/>
        </w:rPr>
        <w:t>’</w:t>
      </w:r>
      <w:r w:rsidR="00BA54DF" w:rsidRPr="00CC7E17">
        <w:rPr>
          <w:rFonts w:ascii="Arial" w:hAnsi="Arial" w:cs="Arial"/>
          <w:sz w:val="24"/>
          <w:szCs w:val="24"/>
          <w:lang w:val="en-US"/>
        </w:rPr>
        <w:t xml:space="preserve">s baseline risk as well as the effect of treatment, a doctor can calculate the individual’s risk of an event </w:t>
      </w:r>
      <w:r w:rsidR="00C46846" w:rsidRPr="00CC7E17">
        <w:rPr>
          <w:rFonts w:ascii="Arial" w:hAnsi="Arial" w:cs="Arial"/>
          <w:sz w:val="24"/>
          <w:szCs w:val="24"/>
          <w:lang w:val="en-US"/>
        </w:rPr>
        <w:t xml:space="preserve">occurring </w:t>
      </w:r>
      <w:r w:rsidR="00BA54DF" w:rsidRPr="00CC7E17">
        <w:rPr>
          <w:rFonts w:ascii="Arial" w:hAnsi="Arial" w:cs="Arial"/>
          <w:sz w:val="24"/>
          <w:szCs w:val="24"/>
          <w:lang w:val="en-US"/>
        </w:rPr>
        <w:t xml:space="preserve">more accurately than with solely </w:t>
      </w:r>
      <w:r w:rsidR="00C46846" w:rsidRPr="00CC7E17">
        <w:rPr>
          <w:rFonts w:ascii="Arial" w:hAnsi="Arial" w:cs="Arial"/>
          <w:sz w:val="24"/>
          <w:szCs w:val="24"/>
          <w:lang w:val="en-US"/>
        </w:rPr>
        <w:t xml:space="preserve">using </w:t>
      </w:r>
      <w:r w:rsidR="00BA54DF" w:rsidRPr="00CC7E17">
        <w:rPr>
          <w:rFonts w:ascii="Arial" w:hAnsi="Arial" w:cs="Arial"/>
          <w:sz w:val="24"/>
          <w:szCs w:val="24"/>
          <w:lang w:val="en-US"/>
        </w:rPr>
        <w:t xml:space="preserve">baseline risk or treatment </w:t>
      </w:r>
      <w:r w:rsidR="00FF30E6">
        <w:rPr>
          <w:rFonts w:ascii="Arial" w:hAnsi="Arial" w:cs="Arial"/>
          <w:sz w:val="24"/>
          <w:szCs w:val="24"/>
          <w:lang w:val="en-US"/>
        </w:rPr>
        <w:t>benefit</w:t>
      </w:r>
      <w:r w:rsidR="00BA54DF" w:rsidRPr="00CC7E17">
        <w:rPr>
          <w:rFonts w:ascii="Arial" w:hAnsi="Arial" w:cs="Arial"/>
          <w:sz w:val="24"/>
          <w:szCs w:val="24"/>
          <w:lang w:val="en-US"/>
        </w:rPr>
        <w:t xml:space="preserve"> information. This </w:t>
      </w:r>
      <w:r w:rsidR="00C46846" w:rsidRPr="00CC7E17">
        <w:rPr>
          <w:rFonts w:ascii="Arial" w:hAnsi="Arial" w:cs="Arial"/>
          <w:sz w:val="24"/>
          <w:szCs w:val="24"/>
          <w:lang w:val="en-US"/>
        </w:rPr>
        <w:t>combination</w:t>
      </w:r>
      <w:r w:rsidR="0060040D">
        <w:rPr>
          <w:rFonts w:ascii="Arial" w:hAnsi="Arial" w:cs="Arial"/>
          <w:sz w:val="24"/>
          <w:szCs w:val="24"/>
          <w:lang w:val="en-US"/>
        </w:rPr>
        <w:t xml:space="preserve"> of information</w:t>
      </w:r>
      <w:r w:rsidR="00BA54DF" w:rsidRPr="00CC7E17">
        <w:rPr>
          <w:rFonts w:ascii="Arial" w:hAnsi="Arial" w:cs="Arial"/>
          <w:sz w:val="24"/>
          <w:szCs w:val="24"/>
          <w:lang w:val="en-US"/>
        </w:rPr>
        <w:t xml:space="preserve"> is then used to better</w:t>
      </w:r>
      <w:r w:rsidR="008D1229" w:rsidRPr="00CC7E17">
        <w:rPr>
          <w:rFonts w:ascii="Arial" w:hAnsi="Arial" w:cs="Arial"/>
          <w:sz w:val="24"/>
          <w:szCs w:val="24"/>
          <w:lang w:val="en-US"/>
        </w:rPr>
        <w:t xml:space="preserve"> understand the potential effect that a treatment will have </w:t>
      </w:r>
      <w:r w:rsidR="00BA54DF" w:rsidRPr="00CC7E17">
        <w:rPr>
          <w:rFonts w:ascii="Arial" w:hAnsi="Arial" w:cs="Arial"/>
          <w:sz w:val="24"/>
          <w:szCs w:val="24"/>
          <w:lang w:val="en-US"/>
        </w:rPr>
        <w:t>on a</w:t>
      </w:r>
      <w:r w:rsidR="00AA638A" w:rsidRPr="00CC7E17">
        <w:rPr>
          <w:rFonts w:ascii="Arial" w:hAnsi="Arial" w:cs="Arial"/>
          <w:sz w:val="24"/>
          <w:szCs w:val="24"/>
          <w:lang w:val="en-US"/>
        </w:rPr>
        <w:t>n individual</w:t>
      </w:r>
      <w:r w:rsidR="00BA54DF" w:rsidRPr="00CC7E17">
        <w:rPr>
          <w:rFonts w:ascii="Arial" w:hAnsi="Arial" w:cs="Arial"/>
          <w:sz w:val="24"/>
          <w:szCs w:val="24"/>
          <w:lang w:val="en-US"/>
        </w:rPr>
        <w:t xml:space="preserve"> patient </w:t>
      </w:r>
      <w:r w:rsidR="008D1229" w:rsidRPr="00CC7E17">
        <w:rPr>
          <w:rFonts w:ascii="Arial" w:hAnsi="Arial" w:cs="Arial"/>
          <w:sz w:val="24"/>
          <w:szCs w:val="24"/>
          <w:lang w:val="en-US"/>
        </w:rPr>
        <w:t>and allow</w:t>
      </w:r>
      <w:r w:rsidR="00BA54DF" w:rsidRPr="00CC7E17">
        <w:rPr>
          <w:rFonts w:ascii="Arial" w:hAnsi="Arial" w:cs="Arial"/>
          <w:sz w:val="24"/>
          <w:szCs w:val="24"/>
          <w:lang w:val="en-US"/>
        </w:rPr>
        <w:t>s</w:t>
      </w:r>
      <w:r w:rsidR="008D1229" w:rsidRPr="00CC7E17">
        <w:rPr>
          <w:rFonts w:ascii="Arial" w:hAnsi="Arial" w:cs="Arial"/>
          <w:sz w:val="24"/>
          <w:szCs w:val="24"/>
          <w:lang w:val="en-US"/>
        </w:rPr>
        <w:t xml:space="preserve"> medical professionals to </w:t>
      </w:r>
      <w:r w:rsidR="00764600">
        <w:rPr>
          <w:rFonts w:ascii="Arial" w:hAnsi="Arial" w:cs="Arial"/>
          <w:sz w:val="24"/>
          <w:szCs w:val="24"/>
          <w:lang w:val="en-US"/>
        </w:rPr>
        <w:t>recommend a better selection of treatment choices</w:t>
      </w:r>
      <w:r w:rsidR="00C2560F">
        <w:rPr>
          <w:rFonts w:ascii="Arial" w:hAnsi="Arial" w:cs="Arial"/>
          <w:sz w:val="24"/>
          <w:szCs w:val="24"/>
          <w:lang w:val="en-US"/>
        </w:rPr>
        <w:t xml:space="preserve"> </w:t>
      </w:r>
      <w:r w:rsidR="00764600">
        <w:rPr>
          <w:rFonts w:ascii="Arial" w:hAnsi="Arial" w:cs="Arial"/>
          <w:sz w:val="24"/>
          <w:szCs w:val="24"/>
          <w:lang w:val="en-US"/>
        </w:rPr>
        <w:t>to their</w:t>
      </w:r>
      <w:r w:rsidR="00BA54DF" w:rsidRPr="00CC7E17">
        <w:rPr>
          <w:rFonts w:ascii="Arial" w:hAnsi="Arial" w:cs="Arial"/>
          <w:sz w:val="24"/>
          <w:szCs w:val="24"/>
          <w:lang w:val="en-US"/>
        </w:rPr>
        <w:t xml:space="preserve"> patients</w:t>
      </w:r>
      <w:r w:rsidR="008D1229" w:rsidRPr="00CC7E17">
        <w:rPr>
          <w:rFonts w:ascii="Arial" w:hAnsi="Arial" w:cs="Arial"/>
          <w:sz w:val="24"/>
          <w:szCs w:val="24"/>
          <w:lang w:val="en-US"/>
        </w:rPr>
        <w:t>.</w:t>
      </w:r>
      <w:r w:rsidR="00BA54DF" w:rsidRPr="00CC7E17">
        <w:rPr>
          <w:rFonts w:ascii="Arial" w:hAnsi="Arial" w:cs="Arial"/>
          <w:sz w:val="24"/>
          <w:szCs w:val="24"/>
          <w:lang w:val="en-US"/>
        </w:rPr>
        <w:t xml:space="preserve"> </w:t>
      </w:r>
      <w:r w:rsidR="00B91366" w:rsidRPr="00CC7E17">
        <w:rPr>
          <w:rFonts w:ascii="Arial" w:hAnsi="Arial" w:cs="Arial"/>
          <w:sz w:val="24"/>
          <w:szCs w:val="24"/>
          <w:lang w:val="en-US"/>
        </w:rPr>
        <w:t xml:space="preserve">The medical professional then describes the benefits and risks that each treatment poses for the patient and the patient </w:t>
      </w:r>
      <w:r w:rsidR="00444C4A" w:rsidRPr="00CC7E17">
        <w:rPr>
          <w:rFonts w:ascii="Arial" w:hAnsi="Arial" w:cs="Arial"/>
          <w:sz w:val="24"/>
          <w:szCs w:val="24"/>
          <w:lang w:val="en-US"/>
        </w:rPr>
        <w:t xml:space="preserve">ultimately </w:t>
      </w:r>
      <w:r w:rsidR="00B91366" w:rsidRPr="00CC7E17">
        <w:rPr>
          <w:rFonts w:ascii="Arial" w:hAnsi="Arial" w:cs="Arial"/>
          <w:sz w:val="24"/>
          <w:szCs w:val="24"/>
          <w:lang w:val="en-US"/>
        </w:rPr>
        <w:t xml:space="preserve">decides whether </w:t>
      </w:r>
      <w:r w:rsidR="00C46846" w:rsidRPr="00CC7E17">
        <w:rPr>
          <w:rFonts w:ascii="Arial" w:hAnsi="Arial" w:cs="Arial"/>
          <w:sz w:val="24"/>
          <w:szCs w:val="24"/>
          <w:lang w:val="en-US"/>
        </w:rPr>
        <w:t>he or she will</w:t>
      </w:r>
      <w:r w:rsidR="00B91366" w:rsidRPr="00CC7E17">
        <w:rPr>
          <w:rFonts w:ascii="Arial" w:hAnsi="Arial" w:cs="Arial"/>
          <w:sz w:val="24"/>
          <w:szCs w:val="24"/>
          <w:lang w:val="en-US"/>
        </w:rPr>
        <w:t xml:space="preserve"> follow through with the treatment or not. </w:t>
      </w:r>
    </w:p>
    <w:p w14:paraId="36430FD2" w14:textId="092A96FF" w:rsidR="009B3A86" w:rsidRPr="00CC7E17" w:rsidRDefault="00E07E27" w:rsidP="0009624B">
      <w:pPr>
        <w:pStyle w:val="Default"/>
        <w:spacing w:after="240" w:line="360" w:lineRule="auto"/>
        <w:rPr>
          <w:rFonts w:ascii="Arial" w:hAnsi="Arial" w:cs="Arial"/>
          <w:sz w:val="24"/>
          <w:szCs w:val="24"/>
          <w:lang w:val="en-US"/>
        </w:rPr>
      </w:pPr>
      <w:r>
        <w:rPr>
          <w:rFonts w:ascii="Arial" w:hAnsi="Arial" w:cs="Arial"/>
          <w:sz w:val="24"/>
          <w:szCs w:val="24"/>
          <w:lang w:val="en-US"/>
        </w:rPr>
        <w:t>Randomiz</w:t>
      </w:r>
      <w:r w:rsidR="00764600">
        <w:rPr>
          <w:rFonts w:ascii="Arial" w:hAnsi="Arial" w:cs="Arial"/>
          <w:sz w:val="24"/>
          <w:szCs w:val="24"/>
          <w:lang w:val="en-US"/>
        </w:rPr>
        <w:t>ed control trials (</w:t>
      </w:r>
      <w:r w:rsidR="00940748" w:rsidRPr="00CC7E17">
        <w:rPr>
          <w:rFonts w:ascii="Arial" w:hAnsi="Arial" w:cs="Arial"/>
          <w:sz w:val="24"/>
          <w:szCs w:val="24"/>
          <w:lang w:val="en-US"/>
        </w:rPr>
        <w:t>RCTs</w:t>
      </w:r>
      <w:r w:rsidR="00764600">
        <w:rPr>
          <w:rFonts w:ascii="Arial" w:hAnsi="Arial" w:cs="Arial"/>
          <w:sz w:val="24"/>
          <w:szCs w:val="24"/>
          <w:lang w:val="en-US"/>
        </w:rPr>
        <w:t>)</w:t>
      </w:r>
      <w:r w:rsidR="00940748" w:rsidRPr="00CC7E17">
        <w:rPr>
          <w:rFonts w:ascii="Arial" w:hAnsi="Arial" w:cs="Arial"/>
          <w:sz w:val="24"/>
          <w:szCs w:val="24"/>
          <w:lang w:val="en-US"/>
        </w:rPr>
        <w:t xml:space="preserve"> are</w:t>
      </w:r>
      <w:r w:rsidR="00940748" w:rsidRPr="00CC7E17">
        <w:rPr>
          <w:rFonts w:ascii="Arial" w:hAnsi="Arial" w:cs="Arial"/>
        </w:rPr>
        <w:t xml:space="preserve"> </w:t>
      </w:r>
      <w:r w:rsidR="00940748" w:rsidRPr="00CC7E17">
        <w:rPr>
          <w:rFonts w:ascii="Arial" w:hAnsi="Arial" w:cs="Arial"/>
          <w:sz w:val="24"/>
          <w:szCs w:val="24"/>
          <w:lang w:val="en-US"/>
        </w:rPr>
        <w:t>used to estimate the effect of an intervention</w:t>
      </w:r>
      <w:r w:rsidR="00B91366" w:rsidRPr="00CC7E17">
        <w:rPr>
          <w:rFonts w:ascii="Arial" w:hAnsi="Arial" w:cs="Arial"/>
          <w:sz w:val="24"/>
          <w:szCs w:val="24"/>
          <w:lang w:val="en-US"/>
        </w:rPr>
        <w:t xml:space="preserve">. </w:t>
      </w:r>
      <w:r w:rsidR="00FF30E6">
        <w:rPr>
          <w:rFonts w:ascii="Arial" w:hAnsi="Arial" w:cs="Arial"/>
          <w:sz w:val="24"/>
          <w:szCs w:val="24"/>
          <w:lang w:val="en-US"/>
        </w:rPr>
        <w:t>T</w:t>
      </w:r>
      <w:r w:rsidR="00B91366" w:rsidRPr="00CC7E17">
        <w:rPr>
          <w:rFonts w:ascii="Arial" w:hAnsi="Arial" w:cs="Arial"/>
          <w:sz w:val="24"/>
          <w:szCs w:val="24"/>
          <w:lang w:val="en-US"/>
        </w:rPr>
        <w:t xml:space="preserve">o quantify the effect of a treatment, individuals who are selected for a study are randomly allocated to two </w:t>
      </w:r>
      <w:r w:rsidR="00804D0F">
        <w:rPr>
          <w:rFonts w:ascii="Arial" w:hAnsi="Arial" w:cs="Arial"/>
          <w:sz w:val="24"/>
          <w:szCs w:val="24"/>
          <w:lang w:val="en-US"/>
        </w:rPr>
        <w:t xml:space="preserve">or more </w:t>
      </w:r>
      <w:r w:rsidR="00B91366" w:rsidRPr="00CC7E17">
        <w:rPr>
          <w:rFonts w:ascii="Arial" w:hAnsi="Arial" w:cs="Arial"/>
          <w:sz w:val="24"/>
          <w:szCs w:val="24"/>
          <w:lang w:val="en-US"/>
        </w:rPr>
        <w:t xml:space="preserve">different groups. In the simplest RCT design, one group is given a treatment to alleviate symptoms of an illness while another receives no treatment, or a placebo (control </w:t>
      </w:r>
      <w:r w:rsidR="0009624B" w:rsidRPr="00CC7E17">
        <w:rPr>
          <w:rFonts w:ascii="Arial" w:hAnsi="Arial" w:cs="Arial"/>
          <w:sz w:val="24"/>
          <w:szCs w:val="24"/>
          <w:lang w:val="en-US"/>
        </w:rPr>
        <w:t>group</w:t>
      </w:r>
      <w:r w:rsidR="00B91366" w:rsidRPr="00CC7E17">
        <w:rPr>
          <w:rFonts w:ascii="Arial" w:hAnsi="Arial" w:cs="Arial"/>
          <w:sz w:val="24"/>
          <w:szCs w:val="24"/>
          <w:lang w:val="en-US"/>
        </w:rPr>
        <w:t xml:space="preserve">). The two groups are followed to determine the effect of the treatment by comparing </w:t>
      </w:r>
      <w:r w:rsidR="00FF30E6">
        <w:rPr>
          <w:rFonts w:ascii="Arial" w:hAnsi="Arial" w:cs="Arial"/>
          <w:sz w:val="24"/>
          <w:szCs w:val="24"/>
          <w:lang w:val="en-US"/>
        </w:rPr>
        <w:t xml:space="preserve">rate of events in </w:t>
      </w:r>
      <w:r w:rsidR="00B91366" w:rsidRPr="00CC7E17">
        <w:rPr>
          <w:rFonts w:ascii="Arial" w:hAnsi="Arial" w:cs="Arial"/>
          <w:sz w:val="24"/>
          <w:szCs w:val="24"/>
          <w:lang w:val="en-US"/>
        </w:rPr>
        <w:t xml:space="preserve">the </w:t>
      </w:r>
      <w:r w:rsidR="00450CA4" w:rsidRPr="00CC7E17">
        <w:rPr>
          <w:rFonts w:ascii="Arial" w:hAnsi="Arial" w:cs="Arial"/>
          <w:sz w:val="24"/>
          <w:szCs w:val="24"/>
          <w:lang w:val="en-US"/>
        </w:rPr>
        <w:t xml:space="preserve">two </w:t>
      </w:r>
      <w:r w:rsidR="0009624B" w:rsidRPr="00CC7E17">
        <w:rPr>
          <w:rFonts w:ascii="Arial" w:hAnsi="Arial" w:cs="Arial"/>
          <w:sz w:val="24"/>
          <w:szCs w:val="24"/>
          <w:lang w:val="en-US"/>
        </w:rPr>
        <w:t>groups</w:t>
      </w:r>
      <w:r w:rsidR="00450CA4" w:rsidRPr="00CC7E17">
        <w:rPr>
          <w:rFonts w:ascii="Arial" w:hAnsi="Arial" w:cs="Arial"/>
          <w:sz w:val="24"/>
          <w:szCs w:val="24"/>
          <w:lang w:val="en-US"/>
        </w:rPr>
        <w:t>. The results of the trial allow the investigator to estimate baseline risk</w:t>
      </w:r>
      <w:r w:rsidR="00444C4A" w:rsidRPr="00CC7E17">
        <w:rPr>
          <w:rFonts w:ascii="Arial" w:hAnsi="Arial" w:cs="Arial"/>
          <w:sz w:val="24"/>
          <w:szCs w:val="24"/>
          <w:lang w:val="en-US"/>
        </w:rPr>
        <w:t xml:space="preserve"> </w:t>
      </w:r>
      <w:r w:rsidR="00FB2575" w:rsidRPr="00CC7E17">
        <w:rPr>
          <w:rFonts w:ascii="Arial" w:hAnsi="Arial" w:cs="Arial"/>
          <w:sz w:val="24"/>
          <w:szCs w:val="24"/>
          <w:lang w:val="en-US"/>
        </w:rPr>
        <w:t xml:space="preserve">(in the control group) </w:t>
      </w:r>
      <w:r w:rsidR="00444C4A" w:rsidRPr="00CC7E17">
        <w:rPr>
          <w:rFonts w:ascii="Arial" w:hAnsi="Arial" w:cs="Arial"/>
          <w:sz w:val="24"/>
          <w:szCs w:val="24"/>
          <w:lang w:val="en-US"/>
        </w:rPr>
        <w:t>and the effect of treatment</w:t>
      </w:r>
      <w:r w:rsidR="00FB2575" w:rsidRPr="00CC7E17">
        <w:rPr>
          <w:rFonts w:ascii="Arial" w:hAnsi="Arial" w:cs="Arial"/>
          <w:sz w:val="24"/>
          <w:szCs w:val="24"/>
          <w:lang w:val="en-US"/>
        </w:rPr>
        <w:t xml:space="preserve"> (in the treatment group)</w:t>
      </w:r>
      <w:r w:rsidR="00450CA4" w:rsidRPr="00CC7E17">
        <w:rPr>
          <w:rFonts w:ascii="Arial" w:hAnsi="Arial" w:cs="Arial"/>
          <w:sz w:val="24"/>
          <w:szCs w:val="24"/>
          <w:lang w:val="en-US"/>
        </w:rPr>
        <w:t>.</w:t>
      </w:r>
      <w:r w:rsidR="00940748" w:rsidRPr="00CC7E17">
        <w:rPr>
          <w:rFonts w:ascii="Arial" w:hAnsi="Arial" w:cs="Arial"/>
          <w:sz w:val="24"/>
          <w:szCs w:val="24"/>
          <w:lang w:val="en-US"/>
        </w:rPr>
        <w:t xml:space="preserve"> </w:t>
      </w:r>
      <w:r w:rsidR="00450CA4" w:rsidRPr="00CC7E17">
        <w:rPr>
          <w:rFonts w:ascii="Arial" w:hAnsi="Arial" w:cs="Arial"/>
          <w:sz w:val="24"/>
          <w:szCs w:val="24"/>
          <w:lang w:val="en-US"/>
        </w:rPr>
        <w:t xml:space="preserve">The issue with the RCT study design is that the results of the trial are largely dependent on the inclusion and exclusion criteria that </w:t>
      </w:r>
      <w:r w:rsidR="00444C4A" w:rsidRPr="00CC7E17">
        <w:rPr>
          <w:rFonts w:ascii="Arial" w:hAnsi="Arial" w:cs="Arial"/>
          <w:sz w:val="24"/>
          <w:szCs w:val="24"/>
          <w:lang w:val="en-US"/>
        </w:rPr>
        <w:t xml:space="preserve">are imposed </w:t>
      </w:r>
      <w:r w:rsidR="00450CA4" w:rsidRPr="00CC7E17">
        <w:rPr>
          <w:rFonts w:ascii="Arial" w:hAnsi="Arial" w:cs="Arial"/>
          <w:sz w:val="24"/>
          <w:szCs w:val="24"/>
          <w:lang w:val="en-US"/>
        </w:rPr>
        <w:t>to select participants in the study. Often, the inclusion</w:t>
      </w:r>
      <w:r w:rsidR="0009624B" w:rsidRPr="00CC7E17">
        <w:rPr>
          <w:rFonts w:ascii="Arial" w:hAnsi="Arial" w:cs="Arial"/>
          <w:sz w:val="24"/>
          <w:szCs w:val="24"/>
          <w:lang w:val="en-US"/>
        </w:rPr>
        <w:t xml:space="preserve"> and</w:t>
      </w:r>
      <w:r w:rsidR="00450CA4" w:rsidRPr="00CC7E17">
        <w:rPr>
          <w:rFonts w:ascii="Arial" w:hAnsi="Arial" w:cs="Arial"/>
          <w:sz w:val="24"/>
          <w:szCs w:val="24"/>
          <w:lang w:val="en-US"/>
        </w:rPr>
        <w:t xml:space="preserve"> exclusion criteria are so strict that the selected samples</w:t>
      </w:r>
      <w:r w:rsidR="0009624B" w:rsidRPr="00CC7E17">
        <w:rPr>
          <w:rFonts w:ascii="Arial" w:hAnsi="Arial" w:cs="Arial"/>
          <w:sz w:val="24"/>
          <w:szCs w:val="24"/>
          <w:lang w:val="en-US"/>
        </w:rPr>
        <w:t xml:space="preserve"> of participants</w:t>
      </w:r>
      <w:r w:rsidR="00450CA4" w:rsidRPr="00CC7E17">
        <w:rPr>
          <w:rFonts w:ascii="Arial" w:hAnsi="Arial" w:cs="Arial"/>
          <w:sz w:val="24"/>
          <w:szCs w:val="24"/>
          <w:lang w:val="en-US"/>
        </w:rPr>
        <w:t xml:space="preserve"> are not representative of the population as a whole. This </w:t>
      </w:r>
      <w:r w:rsidR="00FF30E6">
        <w:rPr>
          <w:rFonts w:ascii="Arial" w:hAnsi="Arial" w:cs="Arial"/>
          <w:sz w:val="24"/>
          <w:szCs w:val="24"/>
          <w:lang w:val="en-US"/>
        </w:rPr>
        <w:t xml:space="preserve">may </w:t>
      </w:r>
      <w:r w:rsidR="00450CA4" w:rsidRPr="00CC7E17">
        <w:rPr>
          <w:rFonts w:ascii="Arial" w:hAnsi="Arial" w:cs="Arial"/>
          <w:sz w:val="24"/>
          <w:szCs w:val="24"/>
          <w:lang w:val="en-US"/>
        </w:rPr>
        <w:t xml:space="preserve">lead to inaccurate estimates of baseline risks, which </w:t>
      </w:r>
      <w:r>
        <w:rPr>
          <w:rFonts w:ascii="Arial" w:hAnsi="Arial" w:cs="Arial"/>
          <w:sz w:val="24"/>
          <w:szCs w:val="24"/>
          <w:lang w:val="en-US"/>
        </w:rPr>
        <w:t>can</w:t>
      </w:r>
      <w:r w:rsidR="00FF30E6">
        <w:rPr>
          <w:rFonts w:ascii="Arial" w:hAnsi="Arial" w:cs="Arial"/>
          <w:sz w:val="24"/>
          <w:szCs w:val="24"/>
          <w:lang w:val="en-US"/>
        </w:rPr>
        <w:t xml:space="preserve"> </w:t>
      </w:r>
      <w:r w:rsidR="00450CA4" w:rsidRPr="00CC7E17">
        <w:rPr>
          <w:rFonts w:ascii="Arial" w:hAnsi="Arial" w:cs="Arial"/>
          <w:sz w:val="24"/>
          <w:szCs w:val="24"/>
          <w:lang w:val="en-US"/>
        </w:rPr>
        <w:t>negatively affect</w:t>
      </w:r>
      <w:r w:rsidR="00444C4A" w:rsidRPr="00CC7E17">
        <w:rPr>
          <w:rFonts w:ascii="Arial" w:hAnsi="Arial" w:cs="Arial"/>
          <w:sz w:val="24"/>
          <w:szCs w:val="24"/>
          <w:lang w:val="en-US"/>
        </w:rPr>
        <w:t xml:space="preserve"> </w:t>
      </w:r>
      <w:r w:rsidR="0009624B" w:rsidRPr="00CC7E17">
        <w:rPr>
          <w:rFonts w:ascii="Arial" w:hAnsi="Arial" w:cs="Arial"/>
          <w:sz w:val="24"/>
          <w:szCs w:val="24"/>
          <w:lang w:val="en-US"/>
        </w:rPr>
        <w:t xml:space="preserve">the choice of </w:t>
      </w:r>
      <w:r w:rsidR="00450CA4" w:rsidRPr="00CC7E17">
        <w:rPr>
          <w:rFonts w:ascii="Arial" w:hAnsi="Arial" w:cs="Arial"/>
          <w:sz w:val="24"/>
          <w:szCs w:val="24"/>
          <w:lang w:val="en-US"/>
        </w:rPr>
        <w:t>treatment doctors give their patients</w:t>
      </w:r>
      <w:r w:rsidR="008D1229" w:rsidRPr="00CC7E17">
        <w:rPr>
          <w:rFonts w:ascii="Arial" w:hAnsi="Arial" w:cs="Arial"/>
          <w:sz w:val="24"/>
          <w:szCs w:val="24"/>
          <w:lang w:val="en-US"/>
        </w:rPr>
        <w:t xml:space="preserve"> (Thompson, 1997). </w:t>
      </w:r>
    </w:p>
    <w:p w14:paraId="44AE3A3E" w14:textId="32363AB4" w:rsidR="00A1026B" w:rsidRPr="00CC7E17" w:rsidRDefault="00785161" w:rsidP="0009624B">
      <w:pPr>
        <w:pStyle w:val="Default"/>
        <w:spacing w:after="240" w:line="360" w:lineRule="auto"/>
        <w:rPr>
          <w:rFonts w:ascii="Arial" w:hAnsi="Arial" w:cs="Arial"/>
          <w:sz w:val="24"/>
          <w:szCs w:val="24"/>
          <w:lang w:val="en-US"/>
        </w:rPr>
      </w:pPr>
      <w:r w:rsidRPr="00CC7E17">
        <w:rPr>
          <w:rFonts w:ascii="Arial" w:hAnsi="Arial" w:cs="Arial"/>
          <w:sz w:val="24"/>
          <w:szCs w:val="24"/>
          <w:lang w:val="en-US"/>
        </w:rPr>
        <w:t xml:space="preserve">Systematic </w:t>
      </w:r>
      <w:r w:rsidR="0009624B" w:rsidRPr="00CC7E17">
        <w:rPr>
          <w:rFonts w:ascii="Arial" w:hAnsi="Arial" w:cs="Arial"/>
          <w:sz w:val="24"/>
          <w:szCs w:val="24"/>
          <w:lang w:val="en-US"/>
        </w:rPr>
        <w:t>r</w:t>
      </w:r>
      <w:r w:rsidRPr="00CC7E17">
        <w:rPr>
          <w:rFonts w:ascii="Arial" w:hAnsi="Arial" w:cs="Arial"/>
          <w:sz w:val="24"/>
          <w:szCs w:val="24"/>
          <w:lang w:val="en-US"/>
        </w:rPr>
        <w:t xml:space="preserve">eviews of </w:t>
      </w:r>
      <w:r w:rsidR="0009624B" w:rsidRPr="00CC7E17">
        <w:rPr>
          <w:rFonts w:ascii="Arial" w:hAnsi="Arial" w:cs="Arial"/>
          <w:sz w:val="24"/>
          <w:szCs w:val="24"/>
          <w:lang w:val="en-US"/>
        </w:rPr>
        <w:t>RCT</w:t>
      </w:r>
      <w:r w:rsidRPr="00CC7E17">
        <w:rPr>
          <w:rFonts w:ascii="Arial" w:hAnsi="Arial" w:cs="Arial"/>
          <w:sz w:val="24"/>
          <w:szCs w:val="24"/>
          <w:lang w:val="en-US"/>
        </w:rPr>
        <w:t>s go some way to alleviate the issue of bias due to stringent inclusion and exclusion criteria</w:t>
      </w:r>
      <w:r w:rsidR="003818BB" w:rsidRPr="00CC7E17">
        <w:rPr>
          <w:rFonts w:ascii="Arial" w:hAnsi="Arial" w:cs="Arial"/>
          <w:sz w:val="24"/>
          <w:szCs w:val="24"/>
          <w:lang w:val="en-US"/>
        </w:rPr>
        <w:t xml:space="preserve"> imposed on the participants of trials</w:t>
      </w:r>
      <w:r w:rsidR="00FB2575" w:rsidRPr="00CC7E17">
        <w:rPr>
          <w:rFonts w:ascii="Arial" w:hAnsi="Arial" w:cs="Arial"/>
          <w:sz w:val="24"/>
          <w:szCs w:val="24"/>
          <w:lang w:val="en-US"/>
        </w:rPr>
        <w:t xml:space="preserve"> in the included studies</w:t>
      </w:r>
      <w:r w:rsidRPr="00CC7E17">
        <w:rPr>
          <w:rFonts w:ascii="Arial" w:hAnsi="Arial" w:cs="Arial"/>
          <w:sz w:val="24"/>
          <w:szCs w:val="24"/>
          <w:lang w:val="en-US"/>
        </w:rPr>
        <w:t xml:space="preserve">. </w:t>
      </w:r>
      <w:r w:rsidR="00804D0F">
        <w:rPr>
          <w:rFonts w:ascii="Arial" w:hAnsi="Arial" w:cs="Arial"/>
          <w:sz w:val="24"/>
          <w:szCs w:val="24"/>
          <w:lang w:val="en-US"/>
        </w:rPr>
        <w:t>S</w:t>
      </w:r>
      <w:r w:rsidRPr="00CC7E17">
        <w:rPr>
          <w:rFonts w:ascii="Arial" w:hAnsi="Arial" w:cs="Arial"/>
          <w:sz w:val="24"/>
          <w:szCs w:val="24"/>
          <w:lang w:val="en-US"/>
        </w:rPr>
        <w:t xml:space="preserve">ystematic </w:t>
      </w:r>
      <w:r w:rsidR="0009624B" w:rsidRPr="00CC7E17">
        <w:rPr>
          <w:rFonts w:ascii="Arial" w:hAnsi="Arial" w:cs="Arial"/>
          <w:sz w:val="24"/>
          <w:szCs w:val="24"/>
          <w:lang w:val="en-US"/>
        </w:rPr>
        <w:t>r</w:t>
      </w:r>
      <w:r w:rsidRPr="00CC7E17">
        <w:rPr>
          <w:rFonts w:ascii="Arial" w:hAnsi="Arial" w:cs="Arial"/>
          <w:sz w:val="24"/>
          <w:szCs w:val="24"/>
          <w:lang w:val="en-US"/>
        </w:rPr>
        <w:t xml:space="preserve">eviews gather studies related to a topic or question and synthesize </w:t>
      </w:r>
      <w:r w:rsidR="00FB2575" w:rsidRPr="00CC7E17">
        <w:rPr>
          <w:rFonts w:ascii="Arial" w:hAnsi="Arial" w:cs="Arial"/>
          <w:sz w:val="24"/>
          <w:szCs w:val="24"/>
          <w:lang w:val="en-US"/>
        </w:rPr>
        <w:t xml:space="preserve">all </w:t>
      </w:r>
      <w:r w:rsidRPr="00CC7E17">
        <w:rPr>
          <w:rFonts w:ascii="Arial" w:hAnsi="Arial" w:cs="Arial"/>
          <w:sz w:val="24"/>
          <w:szCs w:val="24"/>
          <w:lang w:val="en-US"/>
        </w:rPr>
        <w:t xml:space="preserve">the </w:t>
      </w:r>
      <w:r w:rsidR="00FB2575" w:rsidRPr="00CC7E17">
        <w:rPr>
          <w:rFonts w:ascii="Arial" w:hAnsi="Arial" w:cs="Arial"/>
          <w:sz w:val="24"/>
          <w:szCs w:val="24"/>
          <w:lang w:val="en-US"/>
        </w:rPr>
        <w:t xml:space="preserve">available </w:t>
      </w:r>
      <w:r w:rsidRPr="00CC7E17">
        <w:rPr>
          <w:rFonts w:ascii="Arial" w:hAnsi="Arial" w:cs="Arial"/>
          <w:sz w:val="24"/>
          <w:szCs w:val="24"/>
          <w:lang w:val="en-US"/>
        </w:rPr>
        <w:t xml:space="preserve">information. </w:t>
      </w:r>
      <w:r w:rsidR="00A1026B" w:rsidRPr="00CC7E17">
        <w:rPr>
          <w:rFonts w:ascii="Arial" w:hAnsi="Arial" w:cs="Arial"/>
          <w:sz w:val="24"/>
          <w:szCs w:val="24"/>
          <w:lang w:val="en-US"/>
        </w:rPr>
        <w:t xml:space="preserve">The results of the source studies are combined </w:t>
      </w:r>
      <w:r w:rsidR="005640A2" w:rsidRPr="00CC7E17">
        <w:rPr>
          <w:rFonts w:ascii="Arial" w:hAnsi="Arial" w:cs="Arial"/>
          <w:sz w:val="24"/>
          <w:szCs w:val="24"/>
          <w:lang w:val="en-US"/>
        </w:rPr>
        <w:t>and the merits and issues of each study are taken into account</w:t>
      </w:r>
      <w:r w:rsidR="00764600">
        <w:rPr>
          <w:rFonts w:ascii="Arial" w:hAnsi="Arial" w:cs="Arial"/>
          <w:sz w:val="24"/>
          <w:szCs w:val="24"/>
          <w:lang w:val="en-US"/>
        </w:rPr>
        <w:t xml:space="preserve"> when conducting a systematic review</w:t>
      </w:r>
      <w:r w:rsidR="005640A2" w:rsidRPr="00CC7E17">
        <w:rPr>
          <w:rFonts w:ascii="Arial" w:hAnsi="Arial" w:cs="Arial"/>
          <w:sz w:val="24"/>
          <w:szCs w:val="24"/>
          <w:lang w:val="en-US"/>
        </w:rPr>
        <w:t xml:space="preserve">. </w:t>
      </w:r>
      <w:r w:rsidRPr="00CC7E17">
        <w:rPr>
          <w:rFonts w:ascii="Arial" w:hAnsi="Arial" w:cs="Arial"/>
          <w:sz w:val="24"/>
          <w:szCs w:val="24"/>
          <w:lang w:val="en-US"/>
        </w:rPr>
        <w:t xml:space="preserve">Each study which is added to </w:t>
      </w:r>
      <w:r w:rsidR="00764600">
        <w:rPr>
          <w:rFonts w:ascii="Arial" w:hAnsi="Arial" w:cs="Arial"/>
          <w:sz w:val="24"/>
          <w:szCs w:val="24"/>
          <w:lang w:val="en-US"/>
        </w:rPr>
        <w:t>a systematic</w:t>
      </w:r>
      <w:r w:rsidRPr="00CC7E17">
        <w:rPr>
          <w:rFonts w:ascii="Arial" w:hAnsi="Arial" w:cs="Arial"/>
          <w:sz w:val="24"/>
          <w:szCs w:val="24"/>
          <w:lang w:val="en-US"/>
        </w:rPr>
        <w:t xml:space="preserve"> review</w:t>
      </w:r>
      <w:r w:rsidR="0009624B" w:rsidRPr="00CC7E17">
        <w:rPr>
          <w:rFonts w:ascii="Arial" w:hAnsi="Arial" w:cs="Arial"/>
          <w:sz w:val="24"/>
          <w:szCs w:val="24"/>
          <w:lang w:val="en-US"/>
        </w:rPr>
        <w:t xml:space="preserve"> potentially</w:t>
      </w:r>
      <w:r w:rsidRPr="00CC7E17">
        <w:rPr>
          <w:rFonts w:ascii="Arial" w:hAnsi="Arial" w:cs="Arial"/>
          <w:sz w:val="24"/>
          <w:szCs w:val="24"/>
          <w:lang w:val="en-US"/>
        </w:rPr>
        <w:t xml:space="preserve"> dilutes the </w:t>
      </w:r>
      <w:r w:rsidR="00FB2575" w:rsidRPr="00CC7E17">
        <w:rPr>
          <w:rFonts w:ascii="Arial" w:hAnsi="Arial" w:cs="Arial"/>
          <w:sz w:val="24"/>
          <w:szCs w:val="24"/>
          <w:lang w:val="en-US"/>
        </w:rPr>
        <w:t xml:space="preserve">selection </w:t>
      </w:r>
      <w:r w:rsidRPr="00CC7E17">
        <w:rPr>
          <w:rFonts w:ascii="Arial" w:hAnsi="Arial" w:cs="Arial"/>
          <w:sz w:val="24"/>
          <w:szCs w:val="24"/>
          <w:lang w:val="en-US"/>
        </w:rPr>
        <w:t xml:space="preserve">bias </w:t>
      </w:r>
      <w:r w:rsidR="00FB2575" w:rsidRPr="00CC7E17">
        <w:rPr>
          <w:rFonts w:ascii="Arial" w:hAnsi="Arial" w:cs="Arial"/>
          <w:sz w:val="24"/>
          <w:szCs w:val="24"/>
          <w:lang w:val="en-US"/>
        </w:rPr>
        <w:t xml:space="preserve">of that specific study </w:t>
      </w:r>
      <w:r w:rsidR="00764600">
        <w:rPr>
          <w:rFonts w:ascii="Arial" w:hAnsi="Arial" w:cs="Arial"/>
          <w:sz w:val="24"/>
          <w:szCs w:val="24"/>
          <w:lang w:val="en-US"/>
        </w:rPr>
        <w:t xml:space="preserve">within </w:t>
      </w:r>
      <w:r w:rsidRPr="00CC7E17">
        <w:rPr>
          <w:rFonts w:ascii="Arial" w:hAnsi="Arial" w:cs="Arial"/>
          <w:sz w:val="24"/>
          <w:szCs w:val="24"/>
          <w:lang w:val="en-US"/>
        </w:rPr>
        <w:t xml:space="preserve">the </w:t>
      </w:r>
      <w:r w:rsidR="00764600">
        <w:rPr>
          <w:rFonts w:ascii="Arial" w:hAnsi="Arial" w:cs="Arial"/>
          <w:sz w:val="24"/>
          <w:szCs w:val="24"/>
          <w:lang w:val="en-US"/>
        </w:rPr>
        <w:t xml:space="preserve">overall </w:t>
      </w:r>
      <w:r w:rsidRPr="00CC7E17">
        <w:rPr>
          <w:rFonts w:ascii="Arial" w:hAnsi="Arial" w:cs="Arial"/>
          <w:sz w:val="24"/>
          <w:szCs w:val="24"/>
          <w:lang w:val="en-US"/>
        </w:rPr>
        <w:t xml:space="preserve">pool of studies, thereby </w:t>
      </w:r>
      <w:r w:rsidR="00F60FDC">
        <w:rPr>
          <w:rFonts w:ascii="Arial" w:hAnsi="Arial" w:cs="Arial"/>
          <w:sz w:val="24"/>
          <w:szCs w:val="24"/>
          <w:lang w:val="en-US"/>
        </w:rPr>
        <w:t>po</w:t>
      </w:r>
      <w:r w:rsidR="00522AB3">
        <w:rPr>
          <w:rFonts w:ascii="Arial" w:hAnsi="Arial" w:cs="Arial"/>
          <w:sz w:val="24"/>
          <w:szCs w:val="24"/>
          <w:lang w:val="en-US"/>
        </w:rPr>
        <w:t>tentially</w:t>
      </w:r>
      <w:r w:rsidR="00F60FDC" w:rsidRPr="00CC7E17">
        <w:rPr>
          <w:rFonts w:ascii="Arial" w:hAnsi="Arial" w:cs="Arial"/>
          <w:sz w:val="24"/>
          <w:szCs w:val="24"/>
          <w:lang w:val="en-US"/>
        </w:rPr>
        <w:t xml:space="preserve"> </w:t>
      </w:r>
      <w:r w:rsidRPr="00CC7E17">
        <w:rPr>
          <w:rFonts w:ascii="Arial" w:hAnsi="Arial" w:cs="Arial"/>
          <w:sz w:val="24"/>
          <w:szCs w:val="24"/>
          <w:lang w:val="en-US"/>
        </w:rPr>
        <w:t>improving the overall estimate of baseline ris</w:t>
      </w:r>
      <w:r w:rsidR="00A1026B" w:rsidRPr="00CC7E17">
        <w:rPr>
          <w:rFonts w:ascii="Arial" w:hAnsi="Arial" w:cs="Arial"/>
          <w:sz w:val="24"/>
          <w:szCs w:val="24"/>
          <w:lang w:val="en-US"/>
        </w:rPr>
        <w:t xml:space="preserve">k. </w:t>
      </w:r>
      <w:r w:rsidR="00FB2575" w:rsidRPr="00CC7E17">
        <w:rPr>
          <w:rFonts w:ascii="Arial" w:hAnsi="Arial" w:cs="Arial"/>
          <w:sz w:val="24"/>
          <w:szCs w:val="24"/>
          <w:lang w:val="en-US"/>
        </w:rPr>
        <w:t>While th</w:t>
      </w:r>
      <w:r w:rsidR="00FE4975">
        <w:rPr>
          <w:rFonts w:ascii="Arial" w:hAnsi="Arial" w:cs="Arial"/>
          <w:sz w:val="24"/>
          <w:szCs w:val="24"/>
          <w:lang w:val="en-US"/>
        </w:rPr>
        <w:t>e</w:t>
      </w:r>
      <w:r w:rsidR="00FB2575" w:rsidRPr="00CC7E17">
        <w:rPr>
          <w:rFonts w:ascii="Arial" w:hAnsi="Arial" w:cs="Arial"/>
          <w:sz w:val="24"/>
          <w:szCs w:val="24"/>
          <w:lang w:val="en-US"/>
        </w:rPr>
        <w:t xml:space="preserve"> reduction in the risk of significant selection bias effect is likely, </w:t>
      </w:r>
      <w:r w:rsidR="00FF30E6">
        <w:rPr>
          <w:rFonts w:ascii="Arial" w:hAnsi="Arial" w:cs="Arial"/>
          <w:sz w:val="24"/>
          <w:szCs w:val="24"/>
          <w:lang w:val="en-US"/>
        </w:rPr>
        <w:t>s</w:t>
      </w:r>
      <w:r w:rsidR="00FB2575" w:rsidRPr="00CC7E17">
        <w:rPr>
          <w:rFonts w:ascii="Arial" w:hAnsi="Arial" w:cs="Arial"/>
          <w:sz w:val="24"/>
          <w:szCs w:val="24"/>
          <w:lang w:val="en-US"/>
        </w:rPr>
        <w:t xml:space="preserve">ystematic </w:t>
      </w:r>
      <w:r w:rsidR="00FF30E6">
        <w:rPr>
          <w:rFonts w:ascii="Arial" w:hAnsi="Arial" w:cs="Arial"/>
          <w:sz w:val="24"/>
          <w:szCs w:val="24"/>
          <w:lang w:val="en-US"/>
        </w:rPr>
        <w:t>r</w:t>
      </w:r>
      <w:r w:rsidR="00FB2575" w:rsidRPr="00CC7E17">
        <w:rPr>
          <w:rFonts w:ascii="Arial" w:hAnsi="Arial" w:cs="Arial"/>
          <w:sz w:val="24"/>
          <w:szCs w:val="24"/>
          <w:lang w:val="en-US"/>
        </w:rPr>
        <w:t>eview</w:t>
      </w:r>
      <w:r w:rsidR="00FF30E6">
        <w:rPr>
          <w:rFonts w:ascii="Arial" w:hAnsi="Arial" w:cs="Arial"/>
          <w:sz w:val="24"/>
          <w:szCs w:val="24"/>
          <w:lang w:val="en-US"/>
        </w:rPr>
        <w:t>s</w:t>
      </w:r>
      <w:r w:rsidR="00FB2575" w:rsidRPr="00CC7E17">
        <w:rPr>
          <w:rFonts w:ascii="Arial" w:hAnsi="Arial" w:cs="Arial"/>
          <w:sz w:val="24"/>
          <w:szCs w:val="24"/>
          <w:lang w:val="en-US"/>
        </w:rPr>
        <w:t xml:space="preserve"> of treatment trial</w:t>
      </w:r>
      <w:r w:rsidR="00FF30E6">
        <w:rPr>
          <w:rFonts w:ascii="Arial" w:hAnsi="Arial" w:cs="Arial"/>
          <w:sz w:val="24"/>
          <w:szCs w:val="24"/>
          <w:lang w:val="en-US"/>
        </w:rPr>
        <w:t>s</w:t>
      </w:r>
      <w:r w:rsidR="00FB2575" w:rsidRPr="00CC7E17">
        <w:rPr>
          <w:rFonts w:ascii="Arial" w:hAnsi="Arial" w:cs="Arial"/>
          <w:sz w:val="24"/>
          <w:szCs w:val="24"/>
          <w:lang w:val="en-US"/>
        </w:rPr>
        <w:t xml:space="preserve"> </w:t>
      </w:r>
      <w:r w:rsidR="00FE4975">
        <w:rPr>
          <w:rFonts w:ascii="Arial" w:hAnsi="Arial" w:cs="Arial"/>
          <w:sz w:val="24"/>
          <w:szCs w:val="24"/>
          <w:lang w:val="en-US"/>
        </w:rPr>
        <w:t>may introduce bias through the application of strict inclusion and exclusion criteria for included trials</w:t>
      </w:r>
      <w:r w:rsidR="00F60FDC">
        <w:rPr>
          <w:rFonts w:ascii="Arial" w:hAnsi="Arial" w:cs="Arial"/>
          <w:sz w:val="24"/>
          <w:szCs w:val="24"/>
          <w:lang w:val="en-US"/>
        </w:rPr>
        <w:t>. Systematic reviews can also impose stringent criteria on the</w:t>
      </w:r>
      <w:r w:rsidR="00FE4975">
        <w:rPr>
          <w:rFonts w:ascii="Arial" w:hAnsi="Arial" w:cs="Arial"/>
          <w:sz w:val="24"/>
          <w:szCs w:val="24"/>
          <w:lang w:val="en-US"/>
        </w:rPr>
        <w:t xml:space="preserve"> individual</w:t>
      </w:r>
      <w:r w:rsidR="00F60FDC">
        <w:rPr>
          <w:rFonts w:ascii="Arial" w:hAnsi="Arial" w:cs="Arial"/>
          <w:sz w:val="24"/>
          <w:szCs w:val="24"/>
          <w:lang w:val="en-US"/>
        </w:rPr>
        <w:t xml:space="preserve"> studies to be included, thereby leading to a m</w:t>
      </w:r>
      <w:r w:rsidR="00FE4975">
        <w:rPr>
          <w:rFonts w:ascii="Arial" w:hAnsi="Arial" w:cs="Arial"/>
          <w:sz w:val="24"/>
          <w:szCs w:val="24"/>
          <w:lang w:val="en-US"/>
        </w:rPr>
        <w:t>ore homogenized pool of studies, therefore allowing for the possibility of bias.</w:t>
      </w:r>
    </w:p>
    <w:p w14:paraId="3F169EED" w14:textId="5DC39AAF" w:rsidR="00A1026B" w:rsidRPr="00CC7E17" w:rsidRDefault="00A1026B" w:rsidP="0009624B">
      <w:pPr>
        <w:pStyle w:val="Default"/>
        <w:spacing w:after="240" w:line="360" w:lineRule="auto"/>
        <w:rPr>
          <w:rFonts w:ascii="Arial" w:hAnsi="Arial" w:cs="Arial"/>
          <w:sz w:val="24"/>
          <w:szCs w:val="24"/>
          <w:lang w:val="en-US"/>
        </w:rPr>
      </w:pPr>
      <w:r w:rsidRPr="00CC7E17">
        <w:rPr>
          <w:rFonts w:ascii="Arial" w:hAnsi="Arial" w:cs="Arial"/>
          <w:sz w:val="24"/>
          <w:szCs w:val="24"/>
          <w:lang w:val="en-US"/>
        </w:rPr>
        <w:t>While systematic reviews of RCTs may dilute bias found in the sour</w:t>
      </w:r>
      <w:r w:rsidR="005640A2" w:rsidRPr="00CC7E17">
        <w:rPr>
          <w:rFonts w:ascii="Arial" w:hAnsi="Arial" w:cs="Arial"/>
          <w:sz w:val="24"/>
          <w:szCs w:val="24"/>
          <w:lang w:val="en-US"/>
        </w:rPr>
        <w:t>ce studies, the</w:t>
      </w:r>
      <w:r w:rsidR="0009624B" w:rsidRPr="00CC7E17">
        <w:rPr>
          <w:rFonts w:ascii="Arial" w:hAnsi="Arial" w:cs="Arial"/>
          <w:sz w:val="24"/>
          <w:szCs w:val="24"/>
          <w:lang w:val="en-US"/>
        </w:rPr>
        <w:t xml:space="preserve"> reviews</w:t>
      </w:r>
      <w:r w:rsidR="005640A2" w:rsidRPr="00CC7E17">
        <w:rPr>
          <w:rFonts w:ascii="Arial" w:hAnsi="Arial" w:cs="Arial"/>
          <w:sz w:val="24"/>
          <w:szCs w:val="24"/>
          <w:lang w:val="en-US"/>
        </w:rPr>
        <w:t xml:space="preserve"> inevitably contain</w:t>
      </w:r>
      <w:r w:rsidRPr="00CC7E17">
        <w:rPr>
          <w:rFonts w:ascii="Arial" w:hAnsi="Arial" w:cs="Arial"/>
          <w:sz w:val="24"/>
          <w:szCs w:val="24"/>
          <w:lang w:val="en-US"/>
        </w:rPr>
        <w:t xml:space="preserve"> some degree of heterogeneity. Heterogeneity </w:t>
      </w:r>
      <w:r w:rsidR="00FF30E6">
        <w:rPr>
          <w:rFonts w:ascii="Arial" w:hAnsi="Arial" w:cs="Arial"/>
          <w:sz w:val="24"/>
          <w:szCs w:val="24"/>
          <w:lang w:val="en-US"/>
        </w:rPr>
        <w:t>measures</w:t>
      </w:r>
      <w:r w:rsidRPr="00CC7E17">
        <w:rPr>
          <w:rFonts w:ascii="Arial" w:hAnsi="Arial" w:cs="Arial"/>
          <w:sz w:val="24"/>
          <w:szCs w:val="24"/>
          <w:lang w:val="en-US"/>
        </w:rPr>
        <w:t xml:space="preserve"> the differences found between source studies</w:t>
      </w:r>
      <w:r w:rsidR="00444C4A" w:rsidRPr="00CC7E17">
        <w:rPr>
          <w:rFonts w:ascii="Arial" w:hAnsi="Arial" w:cs="Arial"/>
          <w:sz w:val="24"/>
          <w:szCs w:val="24"/>
          <w:lang w:val="en-US"/>
        </w:rPr>
        <w:t xml:space="preserve">. This heterogeneity may present itself </w:t>
      </w:r>
      <w:r w:rsidRPr="00CC7E17">
        <w:rPr>
          <w:rFonts w:ascii="Arial" w:hAnsi="Arial" w:cs="Arial"/>
          <w:sz w:val="24"/>
          <w:szCs w:val="24"/>
          <w:lang w:val="en-US"/>
        </w:rPr>
        <w:t>in the way the outcome is evaluated, a difference in methodology, or difference in study participation criteria.</w:t>
      </w:r>
      <w:r w:rsidR="00A50237">
        <w:rPr>
          <w:rFonts w:ascii="Arial" w:hAnsi="Arial" w:cs="Arial"/>
          <w:sz w:val="24"/>
          <w:szCs w:val="24"/>
          <w:lang w:val="en-US"/>
        </w:rPr>
        <w:t xml:space="preserve"> </w:t>
      </w:r>
      <w:r w:rsidR="00F45C7A" w:rsidRPr="00CC7E17">
        <w:rPr>
          <w:rFonts w:ascii="Arial" w:hAnsi="Arial" w:cs="Arial"/>
          <w:sz w:val="24"/>
          <w:szCs w:val="24"/>
          <w:lang w:val="en-US"/>
        </w:rPr>
        <w:t xml:space="preserve">It is important that the level of heterogeneity does not lead to a conclusion that is difficult to </w:t>
      </w:r>
      <w:r w:rsidR="0009624B" w:rsidRPr="00CC7E17">
        <w:rPr>
          <w:rFonts w:ascii="Arial" w:hAnsi="Arial" w:cs="Arial"/>
          <w:sz w:val="24"/>
          <w:szCs w:val="24"/>
          <w:lang w:val="en-US"/>
        </w:rPr>
        <w:t>apply</w:t>
      </w:r>
      <w:r w:rsidR="00F45C7A" w:rsidRPr="00CC7E17">
        <w:rPr>
          <w:rFonts w:ascii="Arial" w:hAnsi="Arial" w:cs="Arial"/>
          <w:sz w:val="24"/>
          <w:szCs w:val="24"/>
          <w:lang w:val="en-US"/>
        </w:rPr>
        <w:t xml:space="preserve"> due to the sheer variation of the source studies. </w:t>
      </w:r>
    </w:p>
    <w:p w14:paraId="736DDD29" w14:textId="31F38A5B" w:rsidR="008D1229" w:rsidRPr="00CC7E17" w:rsidRDefault="00444C4A" w:rsidP="0009624B">
      <w:pPr>
        <w:pStyle w:val="Default"/>
        <w:spacing w:after="240" w:line="360" w:lineRule="auto"/>
        <w:rPr>
          <w:rFonts w:ascii="Arial" w:hAnsi="Arial" w:cs="Arial"/>
          <w:color w:val="262626"/>
          <w:sz w:val="24"/>
          <w:szCs w:val="24"/>
        </w:rPr>
      </w:pPr>
      <w:r w:rsidRPr="00CC7E17">
        <w:rPr>
          <w:rFonts w:ascii="Arial" w:hAnsi="Arial" w:cs="Arial"/>
          <w:sz w:val="24"/>
          <w:szCs w:val="24"/>
          <w:lang w:val="en-US"/>
        </w:rPr>
        <w:t>It is also difficult to keep</w:t>
      </w:r>
      <w:r w:rsidR="008F5862" w:rsidRPr="00CC7E17">
        <w:rPr>
          <w:rFonts w:ascii="Arial" w:hAnsi="Arial" w:cs="Arial"/>
          <w:sz w:val="24"/>
          <w:szCs w:val="24"/>
          <w:lang w:val="en-US"/>
        </w:rPr>
        <w:t xml:space="preserve"> systematic reviews</w:t>
      </w:r>
      <w:r w:rsidR="008D1229" w:rsidRPr="00CC7E17">
        <w:rPr>
          <w:rFonts w:ascii="Arial" w:hAnsi="Arial" w:cs="Arial"/>
          <w:sz w:val="24"/>
          <w:szCs w:val="24"/>
          <w:lang w:val="en-US"/>
        </w:rPr>
        <w:t xml:space="preserve"> up to date (Bastian, 2010). </w:t>
      </w:r>
      <w:r w:rsidR="0009624B" w:rsidRPr="00CC7E17">
        <w:rPr>
          <w:rFonts w:ascii="Arial" w:hAnsi="Arial" w:cs="Arial"/>
          <w:sz w:val="24"/>
          <w:szCs w:val="24"/>
          <w:lang w:val="en-US"/>
        </w:rPr>
        <w:t>An important</w:t>
      </w:r>
      <w:r w:rsidR="00A50237">
        <w:rPr>
          <w:rFonts w:ascii="Arial" w:hAnsi="Arial" w:cs="Arial"/>
          <w:sz w:val="24"/>
          <w:szCs w:val="24"/>
          <w:lang w:val="en-US"/>
        </w:rPr>
        <w:t xml:space="preserve"> </w:t>
      </w:r>
      <w:r w:rsidR="009B3A86" w:rsidRPr="00CC7E17">
        <w:rPr>
          <w:rFonts w:ascii="Arial" w:hAnsi="Arial" w:cs="Arial"/>
          <w:sz w:val="24"/>
          <w:szCs w:val="24"/>
          <w:lang w:val="en-US"/>
        </w:rPr>
        <w:t>source of</w:t>
      </w:r>
      <w:r w:rsidR="008D1229" w:rsidRPr="00CC7E17">
        <w:rPr>
          <w:rFonts w:ascii="Arial" w:hAnsi="Arial" w:cs="Arial"/>
          <w:sz w:val="24"/>
          <w:szCs w:val="24"/>
          <w:lang w:val="en-US"/>
        </w:rPr>
        <w:t xml:space="preserve"> </w:t>
      </w:r>
      <w:r w:rsidR="0009624B" w:rsidRPr="00CC7E17">
        <w:rPr>
          <w:rFonts w:ascii="Arial" w:hAnsi="Arial" w:cs="Arial"/>
          <w:sz w:val="24"/>
          <w:szCs w:val="24"/>
          <w:lang w:val="en-US"/>
        </w:rPr>
        <w:t xml:space="preserve">clinical </w:t>
      </w:r>
      <w:r w:rsidR="008D1229" w:rsidRPr="00CC7E17">
        <w:rPr>
          <w:rFonts w:ascii="Arial" w:hAnsi="Arial" w:cs="Arial"/>
          <w:sz w:val="24"/>
          <w:szCs w:val="24"/>
          <w:lang w:val="en-US"/>
        </w:rPr>
        <w:t xml:space="preserve">systematic reviews </w:t>
      </w:r>
      <w:r w:rsidR="00F7730E" w:rsidRPr="00CC7E17">
        <w:rPr>
          <w:rFonts w:ascii="Arial" w:hAnsi="Arial" w:cs="Arial"/>
          <w:sz w:val="24"/>
          <w:szCs w:val="24"/>
          <w:lang w:val="en-US"/>
        </w:rPr>
        <w:t>is the</w:t>
      </w:r>
      <w:r w:rsidR="008D1229" w:rsidRPr="00CC7E17">
        <w:rPr>
          <w:rFonts w:ascii="Arial" w:hAnsi="Arial" w:cs="Arial"/>
          <w:sz w:val="24"/>
          <w:szCs w:val="24"/>
          <w:lang w:val="en-US"/>
        </w:rPr>
        <w:t xml:space="preserve"> Cochrane </w:t>
      </w:r>
      <w:r w:rsidR="00F7730E" w:rsidRPr="00CC7E17">
        <w:rPr>
          <w:rFonts w:ascii="Arial" w:hAnsi="Arial" w:cs="Arial"/>
          <w:sz w:val="24"/>
          <w:szCs w:val="24"/>
          <w:lang w:val="en-US"/>
        </w:rPr>
        <w:t xml:space="preserve">Collaboration. </w:t>
      </w:r>
      <w:r w:rsidR="00FB2575" w:rsidRPr="00CC7E17">
        <w:rPr>
          <w:rFonts w:ascii="Arial" w:hAnsi="Arial" w:cs="Arial"/>
          <w:sz w:val="24"/>
          <w:szCs w:val="24"/>
          <w:lang w:val="en-US"/>
        </w:rPr>
        <w:t xml:space="preserve">The </w:t>
      </w:r>
      <w:r w:rsidR="00F7730E" w:rsidRPr="00CC7E17">
        <w:rPr>
          <w:rFonts w:ascii="Arial" w:hAnsi="Arial" w:cs="Arial"/>
          <w:sz w:val="24"/>
          <w:szCs w:val="24"/>
          <w:lang w:val="en-US"/>
        </w:rPr>
        <w:t>Collaboration and their published reviews are</w:t>
      </w:r>
      <w:r w:rsidR="008D1229" w:rsidRPr="00CC7E17">
        <w:rPr>
          <w:rFonts w:ascii="Arial" w:hAnsi="Arial" w:cs="Arial"/>
          <w:sz w:val="24"/>
          <w:szCs w:val="24"/>
          <w:lang w:val="en-US"/>
        </w:rPr>
        <w:t xml:space="preserve"> widely renowned as being “the highest standard in evidence-based health care” (Cochrane Collaboration, 2014.) </w:t>
      </w:r>
      <w:r w:rsidR="008F5862" w:rsidRPr="00CC7E17">
        <w:rPr>
          <w:rFonts w:ascii="Arial" w:hAnsi="Arial" w:cs="Arial"/>
          <w:sz w:val="24"/>
          <w:szCs w:val="24"/>
          <w:lang w:val="en-US"/>
        </w:rPr>
        <w:t>The Cochrane Collaboration was founded in 1993 with a mission to provide “</w:t>
      </w:r>
      <w:r w:rsidR="008F5862" w:rsidRPr="00CC7E17">
        <w:rPr>
          <w:rFonts w:ascii="Arial" w:hAnsi="Arial" w:cs="Arial"/>
          <w:color w:val="262626"/>
          <w:sz w:val="24"/>
          <w:szCs w:val="24"/>
        </w:rPr>
        <w:t>high-quality, relevant and up-to-date synthesised research evidence”</w:t>
      </w:r>
      <w:r w:rsidR="0009624B" w:rsidRPr="00CC7E17">
        <w:rPr>
          <w:rFonts w:ascii="Arial" w:hAnsi="Arial" w:cs="Arial"/>
          <w:color w:val="262626"/>
          <w:sz w:val="24"/>
          <w:szCs w:val="24"/>
        </w:rPr>
        <w:t>.</w:t>
      </w:r>
      <w:r w:rsidR="008F5862" w:rsidRPr="00CC7E17">
        <w:rPr>
          <w:rFonts w:ascii="Arial" w:hAnsi="Arial" w:cs="Arial"/>
          <w:color w:val="262626"/>
          <w:sz w:val="24"/>
          <w:szCs w:val="24"/>
        </w:rPr>
        <w:t xml:space="preserve"> Unfortunately even the Cochrane Collaboration </w:t>
      </w:r>
      <w:r w:rsidR="008F5862" w:rsidRPr="00CC7E17">
        <w:rPr>
          <w:rFonts w:ascii="Arial" w:hAnsi="Arial" w:cs="Arial"/>
          <w:sz w:val="24"/>
          <w:szCs w:val="24"/>
          <w:lang w:val="en-US"/>
        </w:rPr>
        <w:t>ha</w:t>
      </w:r>
      <w:r w:rsidR="0009624B" w:rsidRPr="00CC7E17">
        <w:rPr>
          <w:rFonts w:ascii="Arial" w:hAnsi="Arial" w:cs="Arial"/>
          <w:sz w:val="24"/>
          <w:szCs w:val="24"/>
          <w:lang w:val="en-US"/>
        </w:rPr>
        <w:t>s</w:t>
      </w:r>
      <w:r w:rsidR="008F5862" w:rsidRPr="00CC7E17">
        <w:rPr>
          <w:rFonts w:ascii="Arial" w:hAnsi="Arial" w:cs="Arial"/>
          <w:sz w:val="24"/>
          <w:szCs w:val="24"/>
          <w:lang w:val="en-US"/>
        </w:rPr>
        <w:t xml:space="preserve"> been </w:t>
      </w:r>
      <w:r w:rsidR="008D1229" w:rsidRPr="00CC7E17">
        <w:rPr>
          <w:rFonts w:ascii="Arial" w:hAnsi="Arial" w:cs="Arial"/>
          <w:color w:val="262626"/>
          <w:sz w:val="24"/>
          <w:szCs w:val="24"/>
        </w:rPr>
        <w:t xml:space="preserve">unable to keep its </w:t>
      </w:r>
      <w:r w:rsidRPr="00CC7E17">
        <w:rPr>
          <w:rFonts w:ascii="Arial" w:hAnsi="Arial" w:cs="Arial"/>
          <w:color w:val="262626"/>
          <w:sz w:val="24"/>
          <w:szCs w:val="24"/>
        </w:rPr>
        <w:t xml:space="preserve">systematic </w:t>
      </w:r>
      <w:r w:rsidR="008D1229" w:rsidRPr="00CC7E17">
        <w:rPr>
          <w:rFonts w:ascii="Arial" w:hAnsi="Arial" w:cs="Arial"/>
          <w:color w:val="262626"/>
          <w:sz w:val="24"/>
          <w:szCs w:val="24"/>
        </w:rPr>
        <w:t>reviews up to date. In 2006, it was noted that “still less than half of the Cochrane reviews are up to date” (Koch, 2006).</w:t>
      </w:r>
      <w:r w:rsidR="009B3A86" w:rsidRPr="00CC7E17">
        <w:rPr>
          <w:rFonts w:ascii="Arial" w:hAnsi="Arial" w:cs="Arial"/>
          <w:color w:val="262626"/>
          <w:sz w:val="24"/>
          <w:szCs w:val="24"/>
        </w:rPr>
        <w:t xml:space="preserve"> Also, and more relevantly to our topic, the Cochrane Collaboration does not host or maintain reviews about baseline risk.</w:t>
      </w:r>
    </w:p>
    <w:p w14:paraId="174552EE" w14:textId="72CFA96B" w:rsidR="009B3A86" w:rsidRPr="00CC7E17" w:rsidRDefault="009B3A86" w:rsidP="0009624B">
      <w:pPr>
        <w:pStyle w:val="Default"/>
        <w:spacing w:after="240" w:line="360" w:lineRule="auto"/>
        <w:rPr>
          <w:rFonts w:ascii="Arial" w:hAnsi="Arial" w:cs="Arial"/>
          <w:szCs w:val="24"/>
          <w:lang w:val="en-US"/>
        </w:rPr>
      </w:pPr>
      <w:r w:rsidRPr="00CC7E17">
        <w:rPr>
          <w:rFonts w:ascii="Arial" w:hAnsi="Arial" w:cs="Arial"/>
          <w:color w:val="262626"/>
          <w:sz w:val="24"/>
          <w:szCs w:val="24"/>
        </w:rPr>
        <w:t xml:space="preserve">For </w:t>
      </w:r>
      <w:r w:rsidR="00FB2575" w:rsidRPr="00CC7E17">
        <w:rPr>
          <w:rFonts w:ascii="Arial" w:hAnsi="Arial" w:cs="Arial"/>
          <w:color w:val="262626"/>
          <w:sz w:val="24"/>
          <w:szCs w:val="24"/>
        </w:rPr>
        <w:t xml:space="preserve">all </w:t>
      </w:r>
      <w:r w:rsidRPr="00CC7E17">
        <w:rPr>
          <w:rFonts w:ascii="Arial" w:hAnsi="Arial" w:cs="Arial"/>
          <w:color w:val="262626"/>
          <w:sz w:val="24"/>
          <w:szCs w:val="24"/>
        </w:rPr>
        <w:t>th</w:t>
      </w:r>
      <w:r w:rsidR="00FB2575" w:rsidRPr="00CC7E17">
        <w:rPr>
          <w:rFonts w:ascii="Arial" w:hAnsi="Arial" w:cs="Arial"/>
          <w:color w:val="262626"/>
          <w:sz w:val="24"/>
          <w:szCs w:val="24"/>
        </w:rPr>
        <w:t>e</w:t>
      </w:r>
      <w:r w:rsidRPr="00CC7E17">
        <w:rPr>
          <w:rFonts w:ascii="Arial" w:hAnsi="Arial" w:cs="Arial"/>
          <w:color w:val="262626"/>
          <w:sz w:val="24"/>
          <w:szCs w:val="24"/>
        </w:rPr>
        <w:t>s</w:t>
      </w:r>
      <w:r w:rsidR="00FB2575" w:rsidRPr="00CC7E17">
        <w:rPr>
          <w:rFonts w:ascii="Arial" w:hAnsi="Arial" w:cs="Arial"/>
          <w:color w:val="262626"/>
          <w:sz w:val="24"/>
          <w:szCs w:val="24"/>
        </w:rPr>
        <w:t>e</w:t>
      </w:r>
      <w:r w:rsidRPr="00CC7E17">
        <w:rPr>
          <w:rFonts w:ascii="Arial" w:hAnsi="Arial" w:cs="Arial"/>
          <w:color w:val="262626"/>
          <w:sz w:val="24"/>
          <w:szCs w:val="24"/>
        </w:rPr>
        <w:t xml:space="preserve"> reason</w:t>
      </w:r>
      <w:r w:rsidR="00FB2575" w:rsidRPr="00CC7E17">
        <w:rPr>
          <w:rFonts w:ascii="Arial" w:hAnsi="Arial" w:cs="Arial"/>
          <w:color w:val="262626"/>
          <w:sz w:val="24"/>
          <w:szCs w:val="24"/>
        </w:rPr>
        <w:t>s</w:t>
      </w:r>
      <w:r w:rsidRPr="00CC7E17">
        <w:rPr>
          <w:rFonts w:ascii="Arial" w:hAnsi="Arial" w:cs="Arial"/>
          <w:color w:val="262626"/>
          <w:sz w:val="24"/>
          <w:szCs w:val="24"/>
        </w:rPr>
        <w:t xml:space="preserve">, information about baseline risk is </w:t>
      </w:r>
      <w:r w:rsidR="0009624B" w:rsidRPr="00CC7E17">
        <w:rPr>
          <w:rFonts w:ascii="Arial" w:hAnsi="Arial" w:cs="Arial"/>
          <w:color w:val="262626"/>
          <w:sz w:val="24"/>
          <w:szCs w:val="24"/>
        </w:rPr>
        <w:t>more productively</w:t>
      </w:r>
      <w:r w:rsidRPr="00CC7E17">
        <w:rPr>
          <w:rFonts w:ascii="Arial" w:hAnsi="Arial" w:cs="Arial"/>
          <w:color w:val="262626"/>
          <w:sz w:val="24"/>
          <w:szCs w:val="24"/>
        </w:rPr>
        <w:t xml:space="preserve"> sought in observational trials</w:t>
      </w:r>
      <w:r w:rsidR="00216425" w:rsidRPr="00CC7E17">
        <w:rPr>
          <w:rFonts w:ascii="Arial" w:hAnsi="Arial" w:cs="Arial"/>
          <w:color w:val="262626"/>
          <w:sz w:val="24"/>
          <w:szCs w:val="24"/>
        </w:rPr>
        <w:t xml:space="preserve"> conducted to assess prognosis and in systematic reviews of such trials</w:t>
      </w:r>
      <w:r w:rsidRPr="00CC7E17">
        <w:rPr>
          <w:rFonts w:ascii="Arial" w:hAnsi="Arial" w:cs="Arial"/>
          <w:color w:val="262626"/>
          <w:sz w:val="24"/>
          <w:szCs w:val="24"/>
        </w:rPr>
        <w:t>.</w:t>
      </w:r>
      <w:r w:rsidR="00F45C7A" w:rsidRPr="00CC7E17">
        <w:rPr>
          <w:rFonts w:ascii="Arial" w:hAnsi="Arial" w:cs="Arial"/>
          <w:color w:val="262626"/>
          <w:sz w:val="24"/>
          <w:szCs w:val="24"/>
        </w:rPr>
        <w:t xml:space="preserve"> These observational trials </w:t>
      </w:r>
      <w:r w:rsidR="00216425" w:rsidRPr="00CC7E17">
        <w:rPr>
          <w:rFonts w:ascii="Arial" w:hAnsi="Arial" w:cs="Arial"/>
          <w:color w:val="262626"/>
          <w:sz w:val="24"/>
          <w:szCs w:val="24"/>
        </w:rPr>
        <w:t xml:space="preserve">(and </w:t>
      </w:r>
      <w:r w:rsidR="00F60FDC">
        <w:rPr>
          <w:rFonts w:ascii="Arial" w:hAnsi="Arial" w:cs="Arial"/>
          <w:color w:val="262626"/>
          <w:sz w:val="24"/>
          <w:szCs w:val="24"/>
        </w:rPr>
        <w:t>systematic reviews</w:t>
      </w:r>
      <w:r w:rsidR="00216425" w:rsidRPr="00CC7E17">
        <w:rPr>
          <w:rFonts w:ascii="Arial" w:hAnsi="Arial" w:cs="Arial"/>
          <w:color w:val="262626"/>
          <w:sz w:val="24"/>
          <w:szCs w:val="24"/>
        </w:rPr>
        <w:t xml:space="preserve"> of them) </w:t>
      </w:r>
      <w:r w:rsidR="00F45C7A" w:rsidRPr="00CC7E17">
        <w:rPr>
          <w:rFonts w:ascii="Arial" w:hAnsi="Arial" w:cs="Arial"/>
          <w:color w:val="262626"/>
          <w:sz w:val="24"/>
          <w:szCs w:val="24"/>
        </w:rPr>
        <w:t xml:space="preserve">are more difficult to </w:t>
      </w:r>
      <w:r w:rsidR="00FB2575" w:rsidRPr="00CC7E17">
        <w:rPr>
          <w:rFonts w:ascii="Arial" w:hAnsi="Arial" w:cs="Arial"/>
          <w:color w:val="262626"/>
          <w:sz w:val="24"/>
          <w:szCs w:val="24"/>
        </w:rPr>
        <w:t xml:space="preserve">retrieve and to </w:t>
      </w:r>
      <w:r w:rsidR="00F45C7A" w:rsidRPr="00CC7E17">
        <w:rPr>
          <w:rFonts w:ascii="Arial" w:hAnsi="Arial" w:cs="Arial"/>
          <w:color w:val="262626"/>
          <w:sz w:val="24"/>
          <w:szCs w:val="24"/>
        </w:rPr>
        <w:t xml:space="preserve">appraise than </w:t>
      </w:r>
      <w:r w:rsidR="00216425" w:rsidRPr="00CC7E17">
        <w:rPr>
          <w:rFonts w:ascii="Arial" w:hAnsi="Arial" w:cs="Arial"/>
          <w:color w:val="262626"/>
          <w:sz w:val="24"/>
          <w:szCs w:val="24"/>
        </w:rPr>
        <w:t xml:space="preserve">RCTs (and their </w:t>
      </w:r>
      <w:r w:rsidR="00F60FDC">
        <w:rPr>
          <w:rFonts w:ascii="Arial" w:hAnsi="Arial" w:cs="Arial"/>
          <w:color w:val="262626"/>
          <w:sz w:val="24"/>
          <w:szCs w:val="24"/>
        </w:rPr>
        <w:t>systematic review</w:t>
      </w:r>
      <w:r w:rsidR="00216425" w:rsidRPr="00CC7E17">
        <w:rPr>
          <w:rFonts w:ascii="Arial" w:hAnsi="Arial" w:cs="Arial"/>
          <w:color w:val="262626"/>
          <w:sz w:val="24"/>
          <w:szCs w:val="24"/>
        </w:rPr>
        <w:t>s)</w:t>
      </w:r>
      <w:r w:rsidR="00F45C7A" w:rsidRPr="00CC7E17">
        <w:rPr>
          <w:rFonts w:ascii="Arial" w:hAnsi="Arial" w:cs="Arial"/>
          <w:color w:val="262626"/>
          <w:sz w:val="24"/>
          <w:szCs w:val="24"/>
        </w:rPr>
        <w:t xml:space="preserve">. </w:t>
      </w:r>
      <w:r w:rsidR="00FB2575" w:rsidRPr="00CC7E17">
        <w:rPr>
          <w:rFonts w:ascii="Arial" w:hAnsi="Arial" w:cs="Arial"/>
          <w:color w:val="262626"/>
          <w:sz w:val="24"/>
          <w:szCs w:val="24"/>
        </w:rPr>
        <w:t xml:space="preserve">The </w:t>
      </w:r>
      <w:r w:rsidR="0009624B" w:rsidRPr="00CC7E17">
        <w:rPr>
          <w:rFonts w:ascii="Arial" w:hAnsi="Arial" w:cs="Arial"/>
          <w:color w:val="262626"/>
          <w:sz w:val="24"/>
          <w:szCs w:val="24"/>
        </w:rPr>
        <w:t xml:space="preserve">difficulty </w:t>
      </w:r>
      <w:r w:rsidR="00FB2575" w:rsidRPr="00CC7E17">
        <w:rPr>
          <w:rFonts w:ascii="Arial" w:hAnsi="Arial" w:cs="Arial"/>
          <w:color w:val="262626"/>
          <w:sz w:val="24"/>
          <w:szCs w:val="24"/>
        </w:rPr>
        <w:t xml:space="preserve">to retrieve them </w:t>
      </w:r>
      <w:r w:rsidR="00F45C7A" w:rsidRPr="00CC7E17">
        <w:rPr>
          <w:rFonts w:ascii="Arial" w:hAnsi="Arial" w:cs="Arial"/>
          <w:color w:val="262626"/>
          <w:sz w:val="24"/>
          <w:szCs w:val="24"/>
        </w:rPr>
        <w:t xml:space="preserve">is largely due to the fact that there are so many more observational studies when compared with systematic reviews. </w:t>
      </w:r>
      <w:r w:rsidR="00FB2575" w:rsidRPr="00CC7E17">
        <w:rPr>
          <w:rFonts w:ascii="Arial" w:hAnsi="Arial" w:cs="Arial"/>
          <w:color w:val="262626"/>
          <w:sz w:val="24"/>
          <w:szCs w:val="24"/>
        </w:rPr>
        <w:t>The difficulty in appraising</w:t>
      </w:r>
      <w:r w:rsidR="00F60FDC">
        <w:rPr>
          <w:rFonts w:ascii="Arial" w:hAnsi="Arial" w:cs="Arial"/>
          <w:color w:val="262626"/>
          <w:sz w:val="24"/>
          <w:szCs w:val="24"/>
        </w:rPr>
        <w:t xml:space="preserve"> observational trials</w:t>
      </w:r>
      <w:r w:rsidR="00FB2575" w:rsidRPr="00CC7E17">
        <w:rPr>
          <w:rFonts w:ascii="Arial" w:hAnsi="Arial" w:cs="Arial"/>
          <w:color w:val="262626"/>
          <w:sz w:val="24"/>
          <w:szCs w:val="24"/>
        </w:rPr>
        <w:t xml:space="preserve"> is mostly due to the </w:t>
      </w:r>
      <w:r w:rsidR="0006166E" w:rsidRPr="00CC7E17">
        <w:rPr>
          <w:rFonts w:ascii="Arial" w:hAnsi="Arial" w:cs="Arial"/>
          <w:color w:val="262626"/>
          <w:sz w:val="24"/>
          <w:szCs w:val="24"/>
        </w:rPr>
        <w:t xml:space="preserve">much higher complexity of appraising non-randomized trials, for which, additionally, there are no commonly agreed upon risk of bias assessment tools. </w:t>
      </w:r>
      <w:r w:rsidR="00F45C7A" w:rsidRPr="00CC7E17">
        <w:rPr>
          <w:rFonts w:ascii="Arial" w:hAnsi="Arial" w:cs="Arial"/>
          <w:color w:val="262626"/>
          <w:sz w:val="24"/>
          <w:szCs w:val="24"/>
        </w:rPr>
        <w:t>This</w:t>
      </w:r>
      <w:r w:rsidR="0009624B" w:rsidRPr="00CC7E17">
        <w:rPr>
          <w:rFonts w:ascii="Arial" w:hAnsi="Arial" w:cs="Arial"/>
          <w:color w:val="262626"/>
          <w:sz w:val="24"/>
          <w:szCs w:val="24"/>
        </w:rPr>
        <w:t xml:space="preserve"> large number of studies</w:t>
      </w:r>
      <w:r w:rsidR="00F45C7A" w:rsidRPr="00CC7E17">
        <w:rPr>
          <w:rFonts w:ascii="Arial" w:hAnsi="Arial" w:cs="Arial"/>
          <w:color w:val="262626"/>
          <w:sz w:val="24"/>
          <w:szCs w:val="24"/>
        </w:rPr>
        <w:t xml:space="preserve"> leads to an increasing amount of work that needs to be done simply sorting through articles while looking for high quality</w:t>
      </w:r>
      <w:r w:rsidR="00A50237">
        <w:rPr>
          <w:rFonts w:ascii="Arial" w:hAnsi="Arial" w:cs="Arial"/>
          <w:color w:val="262626"/>
          <w:sz w:val="24"/>
          <w:szCs w:val="24"/>
        </w:rPr>
        <w:t xml:space="preserve"> and clinically relevant</w:t>
      </w:r>
      <w:r w:rsidR="00F45C7A" w:rsidRPr="00CC7E17">
        <w:rPr>
          <w:rFonts w:ascii="Arial" w:hAnsi="Arial" w:cs="Arial"/>
          <w:color w:val="262626"/>
          <w:sz w:val="24"/>
          <w:szCs w:val="24"/>
        </w:rPr>
        <w:t xml:space="preserve"> research. </w:t>
      </w:r>
      <w:r w:rsidR="00205668" w:rsidRPr="00CC7E17">
        <w:rPr>
          <w:rFonts w:ascii="Arial" w:hAnsi="Arial" w:cs="Arial"/>
          <w:color w:val="262626"/>
          <w:sz w:val="24"/>
          <w:szCs w:val="24"/>
        </w:rPr>
        <w:t xml:space="preserve">Luckily, the use of the PLUS database alleviates the workload of </w:t>
      </w:r>
      <w:r w:rsidR="0006166E" w:rsidRPr="00CC7E17">
        <w:rPr>
          <w:rFonts w:ascii="Arial" w:hAnsi="Arial" w:cs="Arial"/>
          <w:color w:val="262626"/>
          <w:sz w:val="24"/>
          <w:szCs w:val="24"/>
        </w:rPr>
        <w:t xml:space="preserve">retrieving, appraising and </w:t>
      </w:r>
      <w:r w:rsidR="00205668" w:rsidRPr="00CC7E17">
        <w:rPr>
          <w:rFonts w:ascii="Arial" w:hAnsi="Arial" w:cs="Arial"/>
          <w:color w:val="262626"/>
          <w:sz w:val="24"/>
          <w:szCs w:val="24"/>
        </w:rPr>
        <w:t xml:space="preserve">sorting through articles, and provides users with a collection of only high quality observational studies. </w:t>
      </w:r>
    </w:p>
    <w:p w14:paraId="063FF9FA" w14:textId="23A3502E" w:rsidR="00657992" w:rsidRPr="00CC7E17" w:rsidRDefault="00657992" w:rsidP="00ED7C8D">
      <w:pPr>
        <w:pStyle w:val="Heading3"/>
        <w:spacing w:line="360" w:lineRule="auto"/>
      </w:pPr>
      <w:bookmarkStart w:id="15" w:name="_Toc286437114"/>
      <w:r w:rsidRPr="00CC7E17">
        <w:rPr>
          <w:rFonts w:ascii="Arial" w:hAnsi="Arial" w:cs="Arial"/>
        </w:rPr>
        <w:t xml:space="preserve">Communicating </w:t>
      </w:r>
      <w:r w:rsidR="00444C4A" w:rsidRPr="00CC7E17">
        <w:rPr>
          <w:rFonts w:ascii="Arial" w:hAnsi="Arial" w:cs="Arial"/>
        </w:rPr>
        <w:t>Prognostic Information</w:t>
      </w:r>
      <w:bookmarkEnd w:id="15"/>
    </w:p>
    <w:p w14:paraId="653704C9" w14:textId="393B24FB" w:rsidR="00F7730E" w:rsidRPr="00CC7E17" w:rsidRDefault="008D1229" w:rsidP="00ED7C8D">
      <w:pPr>
        <w:spacing w:line="360" w:lineRule="auto"/>
      </w:pPr>
      <w:r w:rsidRPr="00CC7E17">
        <w:rPr>
          <w:rFonts w:ascii="Arial" w:hAnsi="Arial" w:cs="Arial"/>
        </w:rPr>
        <w:t xml:space="preserve">Another issue facing clinicians is how to communicate risk </w:t>
      </w:r>
      <w:r w:rsidR="00F7730E" w:rsidRPr="00CC7E17">
        <w:rPr>
          <w:rFonts w:ascii="Arial" w:hAnsi="Arial" w:cs="Arial"/>
        </w:rPr>
        <w:t xml:space="preserve">and prognosis </w:t>
      </w:r>
      <w:r w:rsidRPr="00CC7E17">
        <w:rPr>
          <w:rFonts w:ascii="Arial" w:hAnsi="Arial" w:cs="Arial"/>
        </w:rPr>
        <w:t xml:space="preserve">information to patients. Medical professionals already have a difficult time discussing risk with patients as the medical lexicon and </w:t>
      </w:r>
      <w:r w:rsidR="00E07E27" w:rsidRPr="00CC7E17">
        <w:rPr>
          <w:rFonts w:ascii="Arial" w:hAnsi="Arial" w:cs="Arial"/>
        </w:rPr>
        <w:t>layperson</w:t>
      </w:r>
      <w:r w:rsidRPr="00CC7E17">
        <w:rPr>
          <w:rFonts w:ascii="Arial" w:hAnsi="Arial" w:cs="Arial"/>
        </w:rPr>
        <w:t xml:space="preserve">'s vocabulary usually differ significantly. In addition, treatment choices for patients are largely based on emotion rather than statistics. (Gigerenzer, 2003) Numbers </w:t>
      </w:r>
      <w:r w:rsidR="00F7730E" w:rsidRPr="00CC7E17">
        <w:rPr>
          <w:rFonts w:ascii="Arial" w:hAnsi="Arial" w:cs="Arial"/>
        </w:rPr>
        <w:t xml:space="preserve">and statistical testing </w:t>
      </w:r>
      <w:r w:rsidRPr="00CC7E17">
        <w:rPr>
          <w:rFonts w:ascii="Arial" w:hAnsi="Arial" w:cs="Arial"/>
        </w:rPr>
        <w:t xml:space="preserve">can even mislead doctors with years of clinical experience as the following example displays: </w:t>
      </w:r>
    </w:p>
    <w:p w14:paraId="68B2299E" w14:textId="47BB459B" w:rsidR="008D1229" w:rsidRPr="00CC7E17" w:rsidRDefault="00F7730E" w:rsidP="0009624B">
      <w:pPr>
        <w:pStyle w:val="Default"/>
        <w:spacing w:after="240" w:line="360" w:lineRule="auto"/>
        <w:ind w:left="1247"/>
        <w:rPr>
          <w:rFonts w:ascii="Arial" w:eastAsia="Arial" w:hAnsi="Arial" w:cs="Arial"/>
          <w:i/>
          <w:iCs/>
          <w:sz w:val="24"/>
          <w:szCs w:val="24"/>
        </w:rPr>
      </w:pPr>
      <w:r w:rsidRPr="00CC7E17">
        <w:rPr>
          <w:rFonts w:ascii="Arial" w:hAnsi="Arial" w:cs="Arial"/>
          <w:i/>
          <w:iCs/>
          <w:sz w:val="24"/>
          <w:szCs w:val="24"/>
          <w:lang w:val="en-US"/>
        </w:rPr>
        <w:t>“</w:t>
      </w:r>
      <w:r w:rsidR="008D1229" w:rsidRPr="00CC7E17">
        <w:rPr>
          <w:rFonts w:ascii="Arial" w:hAnsi="Arial" w:cs="Arial"/>
          <w:i/>
          <w:iCs/>
          <w:sz w:val="24"/>
          <w:szCs w:val="24"/>
          <w:lang w:val="en-US"/>
        </w:rPr>
        <w:t>Doctors with an average of 14 years of professional experience were asked to imagine using the Haemoccult test to screen for colorectal cancer. The prevalence of cancer was 0.3%, the sensitivity of the test was 50% and the false positive rate was 3%. The Doctors were asked: What is the probability that someone who tests positive actually has colorectal cancer? The correct answer is about 5%. However, the doctor’s answers ranged from 1% to 99%, with about half of them estimating the probability as 50% (the sensitivity or 47%</w:t>
      </w:r>
      <w:r w:rsidR="00A50237">
        <w:rPr>
          <w:rFonts w:ascii="Arial" w:hAnsi="Arial" w:cs="Arial"/>
          <w:i/>
          <w:iCs/>
          <w:sz w:val="24"/>
          <w:szCs w:val="24"/>
          <w:lang w:val="en-US"/>
        </w:rPr>
        <w:t xml:space="preserve"> </w:t>
      </w:r>
      <w:r w:rsidR="008D1229" w:rsidRPr="00CC7E17">
        <w:rPr>
          <w:rFonts w:ascii="Arial" w:hAnsi="Arial" w:cs="Arial"/>
          <w:i/>
          <w:iCs/>
          <w:sz w:val="24"/>
          <w:szCs w:val="24"/>
          <w:lang w:val="en-US"/>
        </w:rPr>
        <w:t>(sensitivity minus false positive rate</w:t>
      </w:r>
      <w:r w:rsidR="008D1229" w:rsidRPr="00CC7E17">
        <w:rPr>
          <w:rFonts w:ascii="Arial" w:hAnsi="Arial" w:cs="Arial"/>
          <w:i/>
          <w:iCs/>
          <w:sz w:val="24"/>
          <w:szCs w:val="24"/>
        </w:rPr>
        <w:t>).</w:t>
      </w:r>
      <w:r w:rsidRPr="00CC7E17">
        <w:rPr>
          <w:rFonts w:ascii="Arial" w:hAnsi="Arial" w:cs="Arial"/>
          <w:i/>
          <w:iCs/>
          <w:sz w:val="24"/>
          <w:szCs w:val="24"/>
        </w:rPr>
        <w:t>”</w:t>
      </w:r>
      <w:r w:rsidR="008D1229" w:rsidRPr="00CC7E17">
        <w:rPr>
          <w:rFonts w:ascii="Arial" w:hAnsi="Arial" w:cs="Arial"/>
          <w:i/>
          <w:iCs/>
          <w:sz w:val="24"/>
          <w:szCs w:val="24"/>
          <w:lang w:val="en-US"/>
        </w:rPr>
        <w:t xml:space="preserve"> (Gigerenzer, 2003)</w:t>
      </w:r>
    </w:p>
    <w:p w14:paraId="3E0CCFE0" w14:textId="61AE2A11" w:rsidR="00DC3161" w:rsidRPr="00CC7E17" w:rsidRDefault="008D1229" w:rsidP="0009624B">
      <w:pPr>
        <w:pStyle w:val="Default"/>
        <w:spacing w:after="240" w:line="360" w:lineRule="auto"/>
        <w:rPr>
          <w:rFonts w:ascii="Arial" w:hAnsi="Arial" w:cs="Arial"/>
          <w:sz w:val="24"/>
          <w:szCs w:val="24"/>
          <w:lang w:val="en-US"/>
        </w:rPr>
      </w:pPr>
      <w:r w:rsidRPr="00CC7E17">
        <w:rPr>
          <w:rFonts w:ascii="Arial" w:hAnsi="Arial" w:cs="Arial"/>
          <w:sz w:val="24"/>
          <w:szCs w:val="24"/>
          <w:lang w:val="en-US"/>
        </w:rPr>
        <w:t>One major reason for this</w:t>
      </w:r>
      <w:r w:rsidR="005A0C10" w:rsidRPr="00CC7E17">
        <w:rPr>
          <w:rFonts w:ascii="Arial" w:hAnsi="Arial" w:cs="Arial"/>
          <w:sz w:val="24"/>
          <w:szCs w:val="24"/>
          <w:lang w:val="en-US"/>
        </w:rPr>
        <w:t xml:space="preserve"> </w:t>
      </w:r>
      <w:r w:rsidR="00F7730E" w:rsidRPr="00CC7E17">
        <w:rPr>
          <w:rFonts w:ascii="Arial" w:hAnsi="Arial" w:cs="Arial"/>
          <w:sz w:val="24"/>
          <w:szCs w:val="24"/>
          <w:lang w:val="en-US"/>
        </w:rPr>
        <w:t xml:space="preserve">potential for </w:t>
      </w:r>
      <w:r w:rsidR="005A0C10" w:rsidRPr="00CC7E17">
        <w:rPr>
          <w:rFonts w:ascii="Arial" w:hAnsi="Arial" w:cs="Arial"/>
          <w:sz w:val="24"/>
          <w:szCs w:val="24"/>
          <w:lang w:val="en-US"/>
        </w:rPr>
        <w:t>misinterpretation</w:t>
      </w:r>
      <w:r w:rsidR="00F7730E" w:rsidRPr="00CC7E17">
        <w:rPr>
          <w:rFonts w:ascii="Arial" w:hAnsi="Arial" w:cs="Arial"/>
          <w:sz w:val="24"/>
          <w:szCs w:val="24"/>
          <w:lang w:val="en-US"/>
        </w:rPr>
        <w:t xml:space="preserve"> of numbers</w:t>
      </w:r>
      <w:r w:rsidRPr="00CC7E17">
        <w:rPr>
          <w:rFonts w:ascii="Arial" w:hAnsi="Arial" w:cs="Arial"/>
          <w:sz w:val="24"/>
          <w:szCs w:val="24"/>
          <w:lang w:val="en-US"/>
        </w:rPr>
        <w:t xml:space="preserve"> is that relative risk tends to exaggerate the </w:t>
      </w:r>
      <w:r w:rsidR="00435C3A" w:rsidRPr="00CC7E17">
        <w:rPr>
          <w:rFonts w:ascii="Arial" w:hAnsi="Arial" w:cs="Arial"/>
          <w:sz w:val="24"/>
          <w:szCs w:val="24"/>
          <w:lang w:val="en-US"/>
        </w:rPr>
        <w:t xml:space="preserve">perception of the </w:t>
      </w:r>
      <w:r w:rsidRPr="00CC7E17">
        <w:rPr>
          <w:rFonts w:ascii="Arial" w:hAnsi="Arial" w:cs="Arial"/>
          <w:sz w:val="24"/>
          <w:szCs w:val="24"/>
          <w:lang w:val="en-US"/>
        </w:rPr>
        <w:t>effect of an intervention. For instance</w:t>
      </w:r>
      <w:r w:rsidR="005A0C10" w:rsidRPr="00CC7E17">
        <w:rPr>
          <w:rFonts w:ascii="Arial" w:hAnsi="Arial" w:cs="Arial"/>
          <w:sz w:val="24"/>
          <w:szCs w:val="24"/>
          <w:lang w:val="en-US"/>
        </w:rPr>
        <w:t>,</w:t>
      </w:r>
      <w:r w:rsidRPr="00CC7E17">
        <w:rPr>
          <w:rFonts w:ascii="Arial" w:hAnsi="Arial" w:cs="Arial"/>
          <w:sz w:val="24"/>
          <w:szCs w:val="24"/>
          <w:lang w:val="en-US"/>
        </w:rPr>
        <w:t xml:space="preserve"> a doctor may tell a patient that their chances of dying from a dise</w:t>
      </w:r>
      <w:r w:rsidR="005A0C10" w:rsidRPr="00CC7E17">
        <w:rPr>
          <w:rFonts w:ascii="Arial" w:hAnsi="Arial" w:cs="Arial"/>
          <w:sz w:val="24"/>
          <w:szCs w:val="24"/>
          <w:lang w:val="en-US"/>
        </w:rPr>
        <w:t>ase are</w:t>
      </w:r>
      <w:r w:rsidRPr="00CC7E17">
        <w:rPr>
          <w:rFonts w:ascii="Arial" w:hAnsi="Arial" w:cs="Arial"/>
          <w:sz w:val="24"/>
          <w:szCs w:val="24"/>
          <w:lang w:val="en-US"/>
        </w:rPr>
        <w:t xml:space="preserve"> reduced by 25% i</w:t>
      </w:r>
      <w:r w:rsidR="006001DD" w:rsidRPr="00CC7E17">
        <w:rPr>
          <w:rFonts w:ascii="Arial" w:hAnsi="Arial" w:cs="Arial"/>
          <w:sz w:val="24"/>
          <w:szCs w:val="24"/>
          <w:lang w:val="en-US"/>
        </w:rPr>
        <w:t>f they take a certain treatment.</w:t>
      </w:r>
      <w:r w:rsidRPr="00CC7E17">
        <w:rPr>
          <w:rFonts w:ascii="Arial" w:hAnsi="Arial" w:cs="Arial"/>
          <w:sz w:val="24"/>
          <w:szCs w:val="24"/>
          <w:lang w:val="en-US"/>
        </w:rPr>
        <w:t xml:space="preserve"> These numbers</w:t>
      </w:r>
      <w:r w:rsidR="00F7730E" w:rsidRPr="00CC7E17">
        <w:rPr>
          <w:rFonts w:ascii="Arial" w:hAnsi="Arial" w:cs="Arial"/>
          <w:sz w:val="24"/>
          <w:szCs w:val="24"/>
          <w:lang w:val="en-US"/>
        </w:rPr>
        <w:t xml:space="preserve"> are “</w:t>
      </w:r>
      <w:r w:rsidR="00205668" w:rsidRPr="00CC7E17">
        <w:rPr>
          <w:rFonts w:ascii="Arial" w:hAnsi="Arial" w:cs="Arial"/>
          <w:sz w:val="24"/>
          <w:szCs w:val="24"/>
          <w:lang w:val="en-US"/>
        </w:rPr>
        <w:t>relative” as the</w:t>
      </w:r>
      <w:r w:rsidR="006001DD" w:rsidRPr="00CC7E17">
        <w:rPr>
          <w:rFonts w:ascii="Arial" w:hAnsi="Arial" w:cs="Arial"/>
          <w:sz w:val="24"/>
          <w:szCs w:val="24"/>
          <w:lang w:val="en-US"/>
        </w:rPr>
        <w:t xml:space="preserve">y provide a </w:t>
      </w:r>
      <w:r w:rsidR="00444C4A" w:rsidRPr="00CC7E17">
        <w:rPr>
          <w:rFonts w:ascii="Arial" w:hAnsi="Arial" w:cs="Arial"/>
          <w:sz w:val="24"/>
          <w:szCs w:val="24"/>
          <w:lang w:val="en-US"/>
        </w:rPr>
        <w:t xml:space="preserve">probability </w:t>
      </w:r>
      <w:r w:rsidR="00DC3161" w:rsidRPr="00CC7E17">
        <w:rPr>
          <w:rFonts w:ascii="Arial" w:hAnsi="Arial" w:cs="Arial"/>
          <w:sz w:val="24"/>
          <w:szCs w:val="24"/>
          <w:lang w:val="en-US"/>
        </w:rPr>
        <w:t>relative to another population</w:t>
      </w:r>
      <w:r w:rsidR="00205668" w:rsidRPr="00CC7E17">
        <w:rPr>
          <w:rFonts w:ascii="Arial" w:hAnsi="Arial" w:cs="Arial"/>
          <w:sz w:val="24"/>
          <w:szCs w:val="24"/>
          <w:lang w:val="en-US"/>
        </w:rPr>
        <w:t>.</w:t>
      </w:r>
      <w:r w:rsidR="006001DD" w:rsidRPr="00CC7E17">
        <w:rPr>
          <w:rFonts w:ascii="Arial" w:hAnsi="Arial" w:cs="Arial"/>
          <w:sz w:val="24"/>
          <w:szCs w:val="24"/>
          <w:lang w:val="en-US"/>
        </w:rPr>
        <w:t xml:space="preserve"> Therefore, the doctor is telling the patient that 25% more of a population that did not take the treatment died when compared to the group that did take the treatment.</w:t>
      </w:r>
      <w:r w:rsidR="00DC3161" w:rsidRPr="00CC7E17">
        <w:rPr>
          <w:rFonts w:ascii="Arial" w:hAnsi="Arial" w:cs="Arial"/>
          <w:sz w:val="24"/>
          <w:szCs w:val="24"/>
          <w:lang w:val="en-US"/>
        </w:rPr>
        <w:t xml:space="preserve"> On the other hand, two absolute risk statements related to the previous relative risk example would be that 3 in 100 people who took the treatment died and</w:t>
      </w:r>
      <w:r w:rsidR="00A50237">
        <w:rPr>
          <w:rFonts w:ascii="Arial" w:hAnsi="Arial" w:cs="Arial"/>
          <w:sz w:val="24"/>
          <w:szCs w:val="24"/>
          <w:lang w:val="en-US"/>
        </w:rPr>
        <w:t xml:space="preserve"> </w:t>
      </w:r>
      <w:r w:rsidR="00DC3161" w:rsidRPr="00CC7E17">
        <w:rPr>
          <w:rFonts w:ascii="Arial" w:hAnsi="Arial" w:cs="Arial"/>
          <w:sz w:val="24"/>
          <w:szCs w:val="24"/>
          <w:lang w:val="en-US"/>
        </w:rPr>
        <w:t>4 in 100 people who did not take the treatment died. These statements refer to absolute risk as each</w:t>
      </w:r>
      <w:r w:rsidR="00444C4A" w:rsidRPr="00CC7E17">
        <w:rPr>
          <w:rFonts w:ascii="Arial" w:hAnsi="Arial" w:cs="Arial"/>
          <w:sz w:val="24"/>
          <w:szCs w:val="24"/>
          <w:lang w:val="en-US"/>
        </w:rPr>
        <w:t xml:space="preserve"> statement</w:t>
      </w:r>
      <w:r w:rsidR="00DC3161" w:rsidRPr="00CC7E17">
        <w:rPr>
          <w:rFonts w:ascii="Arial" w:hAnsi="Arial" w:cs="Arial"/>
          <w:sz w:val="24"/>
          <w:szCs w:val="24"/>
          <w:lang w:val="en-US"/>
        </w:rPr>
        <w:t xml:space="preserve"> is independent of the other. The statement that 4 in 100 people who did not take the treatment died can be made with or without comparing it to the number of people who died taking the treatment. Both of the absolute and the relative risk statements provide </w:t>
      </w:r>
      <w:r w:rsidR="0009624B" w:rsidRPr="00CC7E17">
        <w:rPr>
          <w:rFonts w:ascii="Arial" w:hAnsi="Arial" w:cs="Arial"/>
          <w:sz w:val="24"/>
          <w:szCs w:val="24"/>
          <w:lang w:val="en-US"/>
        </w:rPr>
        <w:t>correct and similar</w:t>
      </w:r>
      <w:r w:rsidR="00DC3161" w:rsidRPr="00CC7E17">
        <w:rPr>
          <w:rFonts w:ascii="Arial" w:hAnsi="Arial" w:cs="Arial"/>
          <w:sz w:val="24"/>
          <w:szCs w:val="24"/>
          <w:lang w:val="en-US"/>
        </w:rPr>
        <w:t xml:space="preserve"> informatio</w:t>
      </w:r>
      <w:r w:rsidR="004B57DF" w:rsidRPr="00CC7E17">
        <w:rPr>
          <w:rFonts w:ascii="Arial" w:hAnsi="Arial" w:cs="Arial"/>
          <w:sz w:val="24"/>
          <w:szCs w:val="24"/>
          <w:lang w:val="en-US"/>
        </w:rPr>
        <w:t>n</w:t>
      </w:r>
      <w:r w:rsidR="00DC3161" w:rsidRPr="00CC7E17">
        <w:rPr>
          <w:rFonts w:ascii="Arial" w:hAnsi="Arial" w:cs="Arial"/>
          <w:sz w:val="24"/>
          <w:szCs w:val="24"/>
          <w:lang w:val="en-US"/>
        </w:rPr>
        <w:t xml:space="preserve">. </w:t>
      </w:r>
      <w:r w:rsidR="004B57DF" w:rsidRPr="00CC7E17">
        <w:rPr>
          <w:rFonts w:ascii="Arial" w:hAnsi="Arial" w:cs="Arial"/>
          <w:sz w:val="24"/>
          <w:szCs w:val="24"/>
          <w:lang w:val="en-US"/>
        </w:rPr>
        <w:t>However, l</w:t>
      </w:r>
      <w:r w:rsidR="00DC3161" w:rsidRPr="00CC7E17">
        <w:rPr>
          <w:rFonts w:ascii="Arial" w:hAnsi="Arial" w:cs="Arial"/>
          <w:sz w:val="24"/>
          <w:szCs w:val="24"/>
          <w:lang w:val="en-US"/>
        </w:rPr>
        <w:t xml:space="preserve">ooking at the three statements does show that the relative statements can be misleading. </w:t>
      </w:r>
      <w:r w:rsidR="002021EC" w:rsidRPr="00CC7E17">
        <w:rPr>
          <w:rFonts w:ascii="Arial" w:hAnsi="Arial" w:cs="Arial"/>
          <w:sz w:val="24"/>
          <w:szCs w:val="24"/>
          <w:lang w:val="en-US"/>
        </w:rPr>
        <w:t xml:space="preserve">The </w:t>
      </w:r>
      <w:r w:rsidR="00DC3161" w:rsidRPr="00CC7E17">
        <w:rPr>
          <w:rFonts w:ascii="Arial" w:hAnsi="Arial" w:cs="Arial"/>
          <w:sz w:val="24"/>
          <w:szCs w:val="24"/>
          <w:lang w:val="en-US"/>
        </w:rPr>
        <w:t>25%</w:t>
      </w:r>
      <w:r w:rsidR="002021EC" w:rsidRPr="00CC7E17">
        <w:rPr>
          <w:rFonts w:ascii="Arial" w:hAnsi="Arial" w:cs="Arial"/>
          <w:sz w:val="24"/>
          <w:szCs w:val="24"/>
          <w:lang w:val="en-US"/>
        </w:rPr>
        <w:t xml:space="preserve"> reduction</w:t>
      </w:r>
      <w:r w:rsidR="00DC3161" w:rsidRPr="00CC7E17">
        <w:rPr>
          <w:rFonts w:ascii="Arial" w:hAnsi="Arial" w:cs="Arial"/>
          <w:sz w:val="24"/>
          <w:szCs w:val="24"/>
          <w:lang w:val="en-US"/>
        </w:rPr>
        <w:t xml:space="preserve"> compared to </w:t>
      </w:r>
      <w:r w:rsidR="000848B9" w:rsidRPr="00CC7E17">
        <w:rPr>
          <w:rFonts w:ascii="Arial" w:hAnsi="Arial" w:cs="Arial"/>
          <w:sz w:val="24"/>
          <w:szCs w:val="24"/>
          <w:lang w:val="en-US"/>
        </w:rPr>
        <w:t>the difference of 1/100 between the two groups</w:t>
      </w:r>
      <w:r w:rsidR="004B57DF" w:rsidRPr="00CC7E17">
        <w:rPr>
          <w:rFonts w:ascii="Arial" w:hAnsi="Arial" w:cs="Arial"/>
          <w:sz w:val="24"/>
          <w:szCs w:val="24"/>
          <w:lang w:val="en-US"/>
        </w:rPr>
        <w:t xml:space="preserve"> makes the former statement</w:t>
      </w:r>
      <w:r w:rsidR="00A50237">
        <w:rPr>
          <w:rFonts w:ascii="Arial" w:hAnsi="Arial" w:cs="Arial"/>
          <w:sz w:val="24"/>
          <w:szCs w:val="24"/>
          <w:lang w:val="en-US"/>
        </w:rPr>
        <w:t xml:space="preserve"> </w:t>
      </w:r>
      <w:r w:rsidR="000848B9" w:rsidRPr="00CC7E17">
        <w:rPr>
          <w:rFonts w:ascii="Arial" w:hAnsi="Arial" w:cs="Arial"/>
          <w:sz w:val="24"/>
          <w:szCs w:val="24"/>
          <w:lang w:val="en-US"/>
        </w:rPr>
        <w:t>seem much more convincing.</w:t>
      </w:r>
      <w:r w:rsidR="00A50237">
        <w:rPr>
          <w:rFonts w:ascii="Arial" w:hAnsi="Arial" w:cs="Arial"/>
          <w:sz w:val="24"/>
          <w:szCs w:val="24"/>
          <w:lang w:val="en-US"/>
        </w:rPr>
        <w:t xml:space="preserve"> </w:t>
      </w:r>
    </w:p>
    <w:p w14:paraId="056C5E7C" w14:textId="77777777" w:rsidR="00657992" w:rsidRPr="00CC7E17" w:rsidRDefault="00657992" w:rsidP="0009624B">
      <w:pPr>
        <w:pStyle w:val="Default"/>
        <w:spacing w:after="240" w:line="360" w:lineRule="auto"/>
        <w:rPr>
          <w:rFonts w:ascii="Arial" w:hAnsi="Arial" w:cs="Arial"/>
          <w:sz w:val="24"/>
          <w:szCs w:val="24"/>
          <w:lang w:val="en-US"/>
        </w:rPr>
      </w:pPr>
    </w:p>
    <w:p w14:paraId="297163CF" w14:textId="7210868F" w:rsidR="00657992" w:rsidRPr="00CC7E17" w:rsidRDefault="00657992" w:rsidP="0009624B">
      <w:pPr>
        <w:pStyle w:val="Heading3"/>
        <w:spacing w:line="360" w:lineRule="auto"/>
        <w:rPr>
          <w:rFonts w:ascii="Arial" w:hAnsi="Arial" w:cs="Arial"/>
        </w:rPr>
      </w:pPr>
      <w:bookmarkStart w:id="16" w:name="_Toc286437115"/>
      <w:r w:rsidRPr="00CC7E17">
        <w:rPr>
          <w:rFonts w:ascii="Arial" w:hAnsi="Arial" w:cs="Arial"/>
        </w:rPr>
        <w:t xml:space="preserve">Retrieving </w:t>
      </w:r>
      <w:r w:rsidR="004B57DF" w:rsidRPr="00CC7E17">
        <w:rPr>
          <w:rFonts w:ascii="Arial" w:hAnsi="Arial" w:cs="Arial"/>
        </w:rPr>
        <w:t>Prognostic Information Ready For Clinical Use</w:t>
      </w:r>
      <w:bookmarkEnd w:id="16"/>
    </w:p>
    <w:p w14:paraId="42195D34" w14:textId="7190C7B5" w:rsidR="000848B9" w:rsidRPr="00CC7E17" w:rsidRDefault="000848B9" w:rsidP="0009624B">
      <w:pPr>
        <w:pStyle w:val="Default"/>
        <w:spacing w:after="240" w:line="360" w:lineRule="auto"/>
        <w:ind w:firstLine="720"/>
        <w:rPr>
          <w:rFonts w:ascii="Arial" w:hAnsi="Arial" w:cs="Arial"/>
          <w:sz w:val="24"/>
          <w:szCs w:val="24"/>
          <w:lang w:val="en-US"/>
        </w:rPr>
      </w:pPr>
      <w:r w:rsidRPr="00CC7E17">
        <w:rPr>
          <w:rFonts w:ascii="Arial" w:hAnsi="Arial" w:cs="Arial"/>
          <w:sz w:val="24"/>
          <w:szCs w:val="24"/>
          <w:lang w:val="en-US"/>
        </w:rPr>
        <w:t>In s</w:t>
      </w:r>
      <w:r w:rsidR="00A50237">
        <w:rPr>
          <w:rFonts w:ascii="Arial" w:hAnsi="Arial" w:cs="Arial"/>
          <w:sz w:val="24"/>
          <w:szCs w:val="24"/>
          <w:lang w:val="en-US"/>
        </w:rPr>
        <w:t>ummary</w:t>
      </w:r>
      <w:r w:rsidRPr="00CC7E17">
        <w:rPr>
          <w:rFonts w:ascii="Arial" w:hAnsi="Arial" w:cs="Arial"/>
          <w:sz w:val="24"/>
          <w:szCs w:val="24"/>
          <w:lang w:val="en-US"/>
        </w:rPr>
        <w:t xml:space="preserve">, doctors are faced with the following challenges: </w:t>
      </w:r>
    </w:p>
    <w:p w14:paraId="05F7E093" w14:textId="2186D972" w:rsidR="000848B9" w:rsidRPr="00CC7E17" w:rsidRDefault="000848B9" w:rsidP="0009624B">
      <w:pPr>
        <w:pStyle w:val="Default"/>
        <w:numPr>
          <w:ilvl w:val="0"/>
          <w:numId w:val="79"/>
        </w:numPr>
        <w:spacing w:after="240" w:line="360" w:lineRule="auto"/>
        <w:rPr>
          <w:rFonts w:ascii="Arial" w:hAnsi="Arial" w:cs="Arial"/>
          <w:sz w:val="24"/>
          <w:szCs w:val="24"/>
          <w:lang w:val="en-US"/>
        </w:rPr>
      </w:pPr>
      <w:r w:rsidRPr="00CC7E17">
        <w:rPr>
          <w:rFonts w:ascii="Arial" w:hAnsi="Arial" w:cs="Arial"/>
          <w:sz w:val="24"/>
          <w:szCs w:val="24"/>
          <w:lang w:val="en-US"/>
        </w:rPr>
        <w:t>The rate of publication far exceeds the amount of time a doctor has available to read</w:t>
      </w:r>
      <w:r w:rsidR="00216425" w:rsidRPr="00CC7E17">
        <w:rPr>
          <w:rFonts w:ascii="Arial" w:hAnsi="Arial" w:cs="Arial"/>
          <w:sz w:val="24"/>
          <w:szCs w:val="24"/>
          <w:lang w:val="en-US"/>
        </w:rPr>
        <w:t>.</w:t>
      </w:r>
      <w:r w:rsidRPr="00CC7E17">
        <w:rPr>
          <w:rFonts w:ascii="Arial" w:hAnsi="Arial" w:cs="Arial"/>
          <w:sz w:val="24"/>
          <w:szCs w:val="24"/>
          <w:lang w:val="en-US"/>
        </w:rPr>
        <w:t xml:space="preserve"> </w:t>
      </w:r>
    </w:p>
    <w:p w14:paraId="4D50C06E" w14:textId="71C863D6" w:rsidR="00216425" w:rsidRPr="00CC7E17" w:rsidRDefault="00216425" w:rsidP="0009624B">
      <w:pPr>
        <w:pStyle w:val="Default"/>
        <w:numPr>
          <w:ilvl w:val="0"/>
          <w:numId w:val="79"/>
        </w:numPr>
        <w:spacing w:after="240" w:line="360" w:lineRule="auto"/>
        <w:rPr>
          <w:rFonts w:ascii="Arial" w:hAnsi="Arial" w:cs="Arial"/>
          <w:sz w:val="24"/>
          <w:szCs w:val="24"/>
          <w:lang w:val="en-US"/>
        </w:rPr>
      </w:pPr>
      <w:r w:rsidRPr="00CC7E17">
        <w:rPr>
          <w:rFonts w:ascii="Arial" w:hAnsi="Arial" w:cs="Arial"/>
          <w:sz w:val="24"/>
          <w:szCs w:val="24"/>
          <w:lang w:val="en-US"/>
        </w:rPr>
        <w:t xml:space="preserve">The baseline risk information provided by RCTs (or </w:t>
      </w:r>
      <w:r w:rsidR="00F60FDC">
        <w:rPr>
          <w:rFonts w:ascii="Arial" w:hAnsi="Arial" w:cs="Arial"/>
          <w:sz w:val="24"/>
          <w:szCs w:val="24"/>
          <w:lang w:val="en-US"/>
        </w:rPr>
        <w:t>systematic review</w:t>
      </w:r>
      <w:r w:rsidRPr="00CC7E17">
        <w:rPr>
          <w:rFonts w:ascii="Arial" w:hAnsi="Arial" w:cs="Arial"/>
          <w:sz w:val="24"/>
          <w:szCs w:val="24"/>
          <w:lang w:val="en-US"/>
        </w:rPr>
        <w:t>s of RCTs) is at high risk of selection bias</w:t>
      </w:r>
    </w:p>
    <w:p w14:paraId="159DA717" w14:textId="0DADCFB3" w:rsidR="000848B9" w:rsidRPr="00CC7E17" w:rsidRDefault="000848B9" w:rsidP="0009624B">
      <w:pPr>
        <w:pStyle w:val="Default"/>
        <w:numPr>
          <w:ilvl w:val="0"/>
          <w:numId w:val="79"/>
        </w:numPr>
        <w:spacing w:after="240" w:line="360" w:lineRule="auto"/>
        <w:rPr>
          <w:rFonts w:ascii="Arial" w:hAnsi="Arial" w:cs="Arial"/>
          <w:sz w:val="24"/>
          <w:szCs w:val="24"/>
          <w:lang w:val="en-US"/>
        </w:rPr>
      </w:pPr>
      <w:r w:rsidRPr="00CC7E17">
        <w:rPr>
          <w:rFonts w:ascii="Arial" w:hAnsi="Arial" w:cs="Arial"/>
          <w:sz w:val="24"/>
          <w:szCs w:val="24"/>
          <w:lang w:val="en-US"/>
        </w:rPr>
        <w:t xml:space="preserve">Tools </w:t>
      </w:r>
      <w:r w:rsidR="002021EC" w:rsidRPr="00CC7E17">
        <w:rPr>
          <w:rFonts w:ascii="Arial" w:hAnsi="Arial" w:cs="Arial"/>
          <w:sz w:val="24"/>
          <w:szCs w:val="24"/>
          <w:lang w:val="en-US"/>
        </w:rPr>
        <w:t>such as</w:t>
      </w:r>
      <w:r w:rsidRPr="00CC7E17">
        <w:rPr>
          <w:rFonts w:ascii="Arial" w:hAnsi="Arial" w:cs="Arial"/>
          <w:sz w:val="24"/>
          <w:szCs w:val="24"/>
          <w:lang w:val="en-US"/>
        </w:rPr>
        <w:t xml:space="preserve"> systematic reviews </w:t>
      </w:r>
      <w:r w:rsidR="00216425" w:rsidRPr="00CC7E17">
        <w:rPr>
          <w:rFonts w:ascii="Arial" w:hAnsi="Arial" w:cs="Arial"/>
          <w:sz w:val="24"/>
          <w:szCs w:val="24"/>
          <w:lang w:val="en-US"/>
        </w:rPr>
        <w:t xml:space="preserve">of prognostic studies </w:t>
      </w:r>
      <w:r w:rsidRPr="00CC7E17">
        <w:rPr>
          <w:rFonts w:ascii="Arial" w:hAnsi="Arial" w:cs="Arial"/>
          <w:sz w:val="24"/>
          <w:szCs w:val="24"/>
          <w:lang w:val="en-US"/>
        </w:rPr>
        <w:t xml:space="preserve">are not entirely effective at compiling and synthesizing information due to bias and heterogeneity of source studies and are difficult to keep up to date </w:t>
      </w:r>
    </w:p>
    <w:p w14:paraId="036F52BB" w14:textId="7F0718A0" w:rsidR="000848B9" w:rsidRPr="00CC7E17" w:rsidRDefault="000848B9" w:rsidP="0009624B">
      <w:pPr>
        <w:pStyle w:val="Default"/>
        <w:numPr>
          <w:ilvl w:val="0"/>
          <w:numId w:val="79"/>
        </w:numPr>
        <w:spacing w:after="240" w:line="360" w:lineRule="auto"/>
        <w:rPr>
          <w:rFonts w:ascii="Arial" w:hAnsi="Arial" w:cs="Arial"/>
          <w:sz w:val="24"/>
          <w:szCs w:val="24"/>
          <w:lang w:val="en-US"/>
        </w:rPr>
      </w:pPr>
      <w:r w:rsidRPr="00CC7E17">
        <w:rPr>
          <w:rFonts w:ascii="Arial" w:hAnsi="Arial" w:cs="Arial"/>
          <w:sz w:val="24"/>
          <w:szCs w:val="24"/>
          <w:lang w:val="en-US"/>
        </w:rPr>
        <w:t xml:space="preserve">Estimates of risks are often given in relative rather than absolute measures </w:t>
      </w:r>
      <w:r w:rsidR="004B57DF" w:rsidRPr="00CC7E17">
        <w:rPr>
          <w:rFonts w:ascii="Arial" w:hAnsi="Arial" w:cs="Arial"/>
          <w:sz w:val="24"/>
          <w:szCs w:val="24"/>
          <w:lang w:val="en-US"/>
        </w:rPr>
        <w:t>which can be misleading</w:t>
      </w:r>
    </w:p>
    <w:p w14:paraId="04C22DF1" w14:textId="24B4B8FA" w:rsidR="000848B9" w:rsidRPr="00CC7E17" w:rsidRDefault="000848B9" w:rsidP="0009624B">
      <w:pPr>
        <w:pStyle w:val="Default"/>
        <w:numPr>
          <w:ilvl w:val="0"/>
          <w:numId w:val="79"/>
        </w:numPr>
        <w:spacing w:after="240" w:line="360" w:lineRule="auto"/>
        <w:rPr>
          <w:rFonts w:ascii="Arial" w:hAnsi="Arial" w:cs="Arial"/>
          <w:sz w:val="24"/>
          <w:szCs w:val="24"/>
          <w:lang w:val="en-US"/>
        </w:rPr>
      </w:pPr>
      <w:r w:rsidRPr="00CC7E17">
        <w:rPr>
          <w:rFonts w:ascii="Arial" w:hAnsi="Arial" w:cs="Arial"/>
          <w:sz w:val="24"/>
          <w:szCs w:val="24"/>
          <w:lang w:val="en-US"/>
        </w:rPr>
        <w:t>Relevant and useful studies are often scattered across several journals rather than in one paper or place</w:t>
      </w:r>
    </w:p>
    <w:p w14:paraId="766A5468" w14:textId="3D08F7E0" w:rsidR="002021EC" w:rsidRPr="00CC7E17" w:rsidRDefault="008D1229" w:rsidP="00AA5748">
      <w:pPr>
        <w:pStyle w:val="Default"/>
        <w:spacing w:after="240" w:line="360" w:lineRule="auto"/>
        <w:ind w:firstLine="720"/>
        <w:rPr>
          <w:rFonts w:ascii="Arial" w:hAnsi="Arial" w:cs="Arial"/>
          <w:sz w:val="24"/>
          <w:szCs w:val="24"/>
          <w:lang w:val="en-US"/>
        </w:rPr>
      </w:pPr>
      <w:r w:rsidRPr="00CC7E17">
        <w:rPr>
          <w:rFonts w:ascii="Arial" w:hAnsi="Arial" w:cs="Arial"/>
          <w:sz w:val="24"/>
          <w:szCs w:val="24"/>
          <w:lang w:val="en-US"/>
        </w:rPr>
        <w:t>When these issues are seen together, it becomes apparent</w:t>
      </w:r>
      <w:r w:rsidR="000848B9" w:rsidRPr="00CC7E17">
        <w:rPr>
          <w:rFonts w:ascii="Arial" w:hAnsi="Arial" w:cs="Arial"/>
          <w:sz w:val="24"/>
          <w:szCs w:val="24"/>
          <w:lang w:val="en-US"/>
        </w:rPr>
        <w:t xml:space="preserve"> that a tool which </w:t>
      </w:r>
      <w:r w:rsidRPr="00CC7E17">
        <w:rPr>
          <w:rFonts w:ascii="Arial" w:hAnsi="Arial" w:cs="Arial"/>
          <w:sz w:val="24"/>
          <w:szCs w:val="24"/>
          <w:lang w:val="en-US"/>
        </w:rPr>
        <w:t>offers clinicians a concise display of absolute risk information in an intuitive way that is accessible and constantly updated</w:t>
      </w:r>
      <w:r w:rsidR="000848B9" w:rsidRPr="00CC7E17">
        <w:rPr>
          <w:rFonts w:ascii="Arial" w:hAnsi="Arial" w:cs="Arial"/>
          <w:sz w:val="24"/>
          <w:szCs w:val="24"/>
          <w:lang w:val="en-US"/>
        </w:rPr>
        <w:t xml:space="preserve"> would be of great use to clinicians</w:t>
      </w:r>
      <w:r w:rsidR="002021EC" w:rsidRPr="00CC7E17">
        <w:rPr>
          <w:rFonts w:ascii="Arial" w:hAnsi="Arial" w:cs="Arial"/>
          <w:sz w:val="24"/>
          <w:szCs w:val="24"/>
          <w:lang w:val="en-US"/>
        </w:rPr>
        <w:t xml:space="preserve"> in their work of thinking about prognostic information</w:t>
      </w:r>
      <w:r w:rsidRPr="00CC7E17">
        <w:rPr>
          <w:rFonts w:ascii="Arial" w:hAnsi="Arial" w:cs="Arial"/>
          <w:sz w:val="24"/>
          <w:szCs w:val="24"/>
          <w:lang w:val="en-US"/>
        </w:rPr>
        <w:t>.</w:t>
      </w:r>
      <w:r w:rsidR="00387933" w:rsidRPr="00CC7E17">
        <w:rPr>
          <w:rFonts w:ascii="Arial" w:hAnsi="Arial" w:cs="Arial"/>
          <w:sz w:val="24"/>
          <w:szCs w:val="24"/>
          <w:lang w:val="en-US"/>
        </w:rPr>
        <w:t xml:space="preserve"> </w:t>
      </w:r>
      <w:r w:rsidR="00ED3874" w:rsidRPr="00CC7E17">
        <w:rPr>
          <w:rFonts w:ascii="Arial" w:hAnsi="Arial" w:cs="Arial"/>
          <w:sz w:val="24"/>
          <w:szCs w:val="24"/>
          <w:lang w:val="en-US"/>
        </w:rPr>
        <w:t>As of 2015, development of</w:t>
      </w:r>
      <w:r w:rsidR="0026744C" w:rsidRPr="00CC7E17">
        <w:rPr>
          <w:rFonts w:ascii="Arial" w:hAnsi="Arial" w:cs="Arial"/>
          <w:sz w:val="24"/>
          <w:szCs w:val="24"/>
          <w:lang w:val="en-US"/>
        </w:rPr>
        <w:t xml:space="preserve"> a tool named </w:t>
      </w:r>
      <w:r w:rsidR="00AA5748" w:rsidRPr="00CC7E17">
        <w:rPr>
          <w:rFonts w:ascii="Arial" w:hAnsi="Arial" w:cs="Arial"/>
          <w:sz w:val="24"/>
          <w:szCs w:val="24"/>
          <w:lang w:val="en-US"/>
        </w:rPr>
        <w:t>BRiskeT</w:t>
      </w:r>
      <w:r w:rsidR="0026744C" w:rsidRPr="00CC7E17">
        <w:rPr>
          <w:rFonts w:ascii="Arial" w:hAnsi="Arial" w:cs="Arial"/>
          <w:sz w:val="24"/>
          <w:szCs w:val="24"/>
          <w:lang w:val="en-US"/>
        </w:rPr>
        <w:t xml:space="preserve"> which has been designed to meet these needs is underway.</w:t>
      </w:r>
      <w:r w:rsidR="00ED3874" w:rsidRPr="00CC7E17">
        <w:rPr>
          <w:rFonts w:ascii="Arial" w:hAnsi="Arial" w:cs="Arial"/>
          <w:sz w:val="24"/>
          <w:szCs w:val="24"/>
          <w:lang w:val="en-US"/>
        </w:rPr>
        <w:t xml:space="preserve"> </w:t>
      </w:r>
      <w:r w:rsidR="0026744C" w:rsidRPr="00CC7E17">
        <w:rPr>
          <w:rFonts w:ascii="Arial" w:hAnsi="Arial" w:cs="Arial"/>
          <w:sz w:val="24"/>
          <w:szCs w:val="24"/>
          <w:lang w:val="en-US"/>
        </w:rPr>
        <w:t xml:space="preserve">McMaster University’s PLUS database has been chosen to supply primary research articles to </w:t>
      </w:r>
      <w:r w:rsidR="00AA5748" w:rsidRPr="00CC7E17">
        <w:rPr>
          <w:rFonts w:ascii="Arial" w:hAnsi="Arial" w:cs="Arial"/>
          <w:sz w:val="24"/>
          <w:szCs w:val="24"/>
          <w:lang w:val="en-US"/>
        </w:rPr>
        <w:t xml:space="preserve">BRiskeT. </w:t>
      </w:r>
      <w:r w:rsidR="00A50237">
        <w:rPr>
          <w:rFonts w:ascii="Arial" w:hAnsi="Arial" w:cs="Arial"/>
          <w:sz w:val="24"/>
          <w:szCs w:val="24"/>
          <w:lang w:val="en-US"/>
        </w:rPr>
        <w:t>T</w:t>
      </w:r>
      <w:r w:rsidR="00AA5748" w:rsidRPr="00CC7E17">
        <w:rPr>
          <w:rFonts w:ascii="Arial" w:hAnsi="Arial" w:cs="Arial"/>
          <w:sz w:val="24"/>
          <w:szCs w:val="24"/>
          <w:lang w:val="en-US"/>
        </w:rPr>
        <w:t xml:space="preserve">o extract information from these articles, an </w:t>
      </w:r>
      <w:r w:rsidR="00090822">
        <w:rPr>
          <w:rFonts w:ascii="Arial" w:hAnsi="Arial" w:cs="Arial"/>
          <w:sz w:val="24"/>
          <w:szCs w:val="24"/>
          <w:lang w:val="en-US"/>
        </w:rPr>
        <w:t>eForm-based</w:t>
      </w:r>
      <w:r w:rsidR="00AA5748" w:rsidRPr="00CC7E17">
        <w:rPr>
          <w:rFonts w:ascii="Arial" w:hAnsi="Arial" w:cs="Arial"/>
          <w:sz w:val="24"/>
          <w:szCs w:val="24"/>
          <w:lang w:val="en-US"/>
        </w:rPr>
        <w:t xml:space="preserve"> extractor interface</w:t>
      </w:r>
      <w:r w:rsidR="00A50237">
        <w:rPr>
          <w:rFonts w:ascii="Arial" w:hAnsi="Arial" w:cs="Arial"/>
          <w:sz w:val="24"/>
          <w:szCs w:val="24"/>
          <w:lang w:val="en-US"/>
        </w:rPr>
        <w:t xml:space="preserve"> </w:t>
      </w:r>
      <w:r w:rsidR="00AA5748" w:rsidRPr="00CC7E17">
        <w:rPr>
          <w:rFonts w:ascii="Arial" w:hAnsi="Arial" w:cs="Arial"/>
          <w:sz w:val="24"/>
          <w:szCs w:val="24"/>
          <w:lang w:val="en-US"/>
        </w:rPr>
        <w:t>has been developed, bui</w:t>
      </w:r>
      <w:r w:rsidR="00522AB3">
        <w:rPr>
          <w:rFonts w:ascii="Arial" w:hAnsi="Arial" w:cs="Arial"/>
          <w:sz w:val="24"/>
          <w:szCs w:val="24"/>
          <w:lang w:val="en-US"/>
        </w:rPr>
        <w:t>l</w:t>
      </w:r>
      <w:r w:rsidR="00AA5748" w:rsidRPr="00CC7E17">
        <w:rPr>
          <w:rFonts w:ascii="Arial" w:hAnsi="Arial" w:cs="Arial"/>
          <w:sz w:val="24"/>
          <w:szCs w:val="24"/>
          <w:lang w:val="en-US"/>
        </w:rPr>
        <w:t>ding on a paper-based extraction system that had been used to test the feasibility of BRiskeT in 2012</w:t>
      </w:r>
      <w:r w:rsidR="00C9632D">
        <w:rPr>
          <w:rFonts w:ascii="Arial" w:hAnsi="Arial" w:cs="Arial"/>
          <w:sz w:val="24"/>
          <w:szCs w:val="24"/>
          <w:lang w:val="en-US"/>
        </w:rPr>
        <w:t>.</w:t>
      </w:r>
      <w:r w:rsidR="00AA5748" w:rsidRPr="00CC7E17">
        <w:rPr>
          <w:rFonts w:ascii="Arial" w:hAnsi="Arial" w:cs="Arial"/>
          <w:sz w:val="24"/>
          <w:szCs w:val="24"/>
          <w:lang w:val="en-US"/>
        </w:rPr>
        <w:t xml:space="preserve"> The goal of t</w:t>
      </w:r>
      <w:r w:rsidR="00387933" w:rsidRPr="00CC7E17">
        <w:rPr>
          <w:rFonts w:ascii="Arial" w:hAnsi="Arial" w:cs="Arial"/>
          <w:sz w:val="24"/>
          <w:szCs w:val="24"/>
          <w:lang w:val="en-US"/>
        </w:rPr>
        <w:t>his thesis</w:t>
      </w:r>
      <w:r w:rsidR="00AA5748" w:rsidRPr="00CC7E17">
        <w:rPr>
          <w:rFonts w:ascii="Arial" w:hAnsi="Arial" w:cs="Arial"/>
          <w:sz w:val="24"/>
          <w:szCs w:val="24"/>
          <w:lang w:val="en-US"/>
        </w:rPr>
        <w:t xml:space="preserve"> is to investigate</w:t>
      </w:r>
      <w:r w:rsidR="00387933" w:rsidRPr="00CC7E17">
        <w:rPr>
          <w:rFonts w:ascii="Arial" w:hAnsi="Arial" w:cs="Arial"/>
          <w:sz w:val="24"/>
          <w:szCs w:val="24"/>
          <w:lang w:val="en-US"/>
        </w:rPr>
        <w:t xml:space="preserve"> whether this newly developed online method of extraction and entry allowed for quicker extraction and whether the </w:t>
      </w:r>
      <w:r w:rsidR="00EE02D4">
        <w:rPr>
          <w:rFonts w:ascii="Arial" w:hAnsi="Arial" w:cs="Arial"/>
          <w:sz w:val="24"/>
          <w:szCs w:val="24"/>
          <w:lang w:val="en-US"/>
        </w:rPr>
        <w:t xml:space="preserve">eForm-based </w:t>
      </w:r>
      <w:r w:rsidR="00387933" w:rsidRPr="00CC7E17">
        <w:rPr>
          <w:rFonts w:ascii="Arial" w:hAnsi="Arial" w:cs="Arial"/>
          <w:sz w:val="24"/>
          <w:szCs w:val="24"/>
          <w:lang w:val="en-US"/>
        </w:rPr>
        <w:t>model would allow for greater efficiency of baseline risk data extraction</w:t>
      </w:r>
      <w:r w:rsidR="00AA5748" w:rsidRPr="00CC7E17">
        <w:rPr>
          <w:rFonts w:ascii="Arial" w:hAnsi="Arial" w:cs="Arial"/>
          <w:sz w:val="24"/>
          <w:szCs w:val="24"/>
          <w:lang w:val="en-US"/>
        </w:rPr>
        <w:t xml:space="preserve"> when compared to the pa</w:t>
      </w:r>
      <w:r w:rsidR="004226F0" w:rsidRPr="00CC7E17">
        <w:rPr>
          <w:rFonts w:ascii="Arial" w:hAnsi="Arial" w:cs="Arial"/>
          <w:sz w:val="24"/>
          <w:szCs w:val="24"/>
          <w:lang w:val="en-US"/>
        </w:rPr>
        <w:t>per based</w:t>
      </w:r>
      <w:r w:rsidR="00A43D10" w:rsidRPr="00CC7E17">
        <w:rPr>
          <w:rFonts w:ascii="Arial" w:hAnsi="Arial" w:cs="Arial"/>
          <w:sz w:val="24"/>
          <w:szCs w:val="24"/>
          <w:lang w:val="en-US"/>
        </w:rPr>
        <w:t xml:space="preserve"> </w:t>
      </w:r>
      <w:r w:rsidR="00AA5748" w:rsidRPr="00CC7E17">
        <w:rPr>
          <w:rFonts w:ascii="Arial" w:hAnsi="Arial" w:cs="Arial"/>
          <w:sz w:val="24"/>
          <w:szCs w:val="24"/>
          <w:lang w:val="en-US"/>
        </w:rPr>
        <w:t>method.</w:t>
      </w:r>
    </w:p>
    <w:p w14:paraId="386BA6E6" w14:textId="77777777" w:rsidR="0068497D" w:rsidRPr="00CC7E17" w:rsidRDefault="0068497D" w:rsidP="0009624B">
      <w:pPr>
        <w:pStyle w:val="Heading1"/>
        <w:spacing w:line="360" w:lineRule="auto"/>
        <w:rPr>
          <w:rFonts w:ascii="Arial" w:hAnsi="Arial" w:cs="Arial"/>
        </w:rPr>
      </w:pPr>
      <w:bookmarkStart w:id="17" w:name="_Toc286437116"/>
      <w:r w:rsidRPr="00CC7E17">
        <w:rPr>
          <w:rFonts w:ascii="Arial" w:hAnsi="Arial" w:cs="Arial"/>
        </w:rPr>
        <w:t>Methods</w:t>
      </w:r>
      <w:bookmarkEnd w:id="17"/>
      <w:r w:rsidRPr="00CC7E17">
        <w:rPr>
          <w:rFonts w:ascii="Arial" w:hAnsi="Arial" w:cs="Arial"/>
        </w:rPr>
        <w:t xml:space="preserve"> </w:t>
      </w:r>
    </w:p>
    <w:p w14:paraId="45589CC0" w14:textId="1C1A119C" w:rsidR="00BE064E" w:rsidRPr="00CC7E17" w:rsidRDefault="00E04F8E" w:rsidP="00ED7C8D">
      <w:pPr>
        <w:pStyle w:val="Heading3"/>
        <w:spacing w:line="360" w:lineRule="auto"/>
      </w:pPr>
      <w:bookmarkStart w:id="18" w:name="_Toc286437117"/>
      <w:r w:rsidRPr="00CC7E17">
        <w:rPr>
          <w:rFonts w:ascii="Arial" w:hAnsi="Arial" w:cs="Arial"/>
        </w:rPr>
        <w:t xml:space="preserve">Overview of </w:t>
      </w:r>
      <w:r w:rsidR="00AA5748" w:rsidRPr="00CC7E17">
        <w:rPr>
          <w:rFonts w:ascii="Arial" w:hAnsi="Arial" w:cs="Arial"/>
        </w:rPr>
        <w:t>BRiskeT</w:t>
      </w:r>
      <w:bookmarkEnd w:id="18"/>
    </w:p>
    <w:p w14:paraId="045F8EDE" w14:textId="58E5CAEA" w:rsidR="00A70E96" w:rsidRPr="00CC7E17" w:rsidRDefault="00A70E96" w:rsidP="009E57CF">
      <w:pPr>
        <w:pStyle w:val="Default"/>
        <w:spacing w:after="240" w:line="360" w:lineRule="auto"/>
        <w:rPr>
          <w:rFonts w:ascii="Arial" w:hAnsi="Arial" w:cs="Arial"/>
          <w:sz w:val="24"/>
          <w:szCs w:val="24"/>
          <w:lang w:val="en-US"/>
        </w:rPr>
      </w:pPr>
      <w:r w:rsidRPr="00CC7E17">
        <w:rPr>
          <w:rFonts w:ascii="Arial" w:hAnsi="Arial" w:cs="Arial"/>
          <w:sz w:val="24"/>
          <w:szCs w:val="24"/>
          <w:lang w:val="en-US"/>
        </w:rPr>
        <w:t xml:space="preserve">McMaster </w:t>
      </w:r>
      <w:r w:rsidR="00732894" w:rsidRPr="00CC7E17">
        <w:rPr>
          <w:rFonts w:ascii="Arial" w:hAnsi="Arial" w:cs="Arial"/>
          <w:sz w:val="24"/>
          <w:szCs w:val="24"/>
          <w:lang w:val="en-US"/>
        </w:rPr>
        <w:t>U</w:t>
      </w:r>
      <w:r w:rsidRPr="00CC7E17">
        <w:rPr>
          <w:rFonts w:ascii="Arial" w:hAnsi="Arial" w:cs="Arial"/>
          <w:sz w:val="24"/>
          <w:szCs w:val="24"/>
          <w:lang w:val="en-US"/>
        </w:rPr>
        <w:t xml:space="preserve">niversity through HIRU has </w:t>
      </w:r>
      <w:r w:rsidR="003925F0" w:rsidRPr="00CC7E17">
        <w:rPr>
          <w:rFonts w:ascii="Arial" w:hAnsi="Arial" w:cs="Arial"/>
          <w:sz w:val="24"/>
          <w:szCs w:val="24"/>
          <w:lang w:val="en-US"/>
        </w:rPr>
        <w:t>begun</w:t>
      </w:r>
      <w:r w:rsidRPr="00CC7E17">
        <w:rPr>
          <w:rFonts w:ascii="Arial" w:hAnsi="Arial" w:cs="Arial"/>
          <w:sz w:val="24"/>
          <w:szCs w:val="24"/>
          <w:lang w:val="en-US"/>
        </w:rPr>
        <w:t xml:space="preserve"> to develop a tool </w:t>
      </w:r>
      <w:r w:rsidR="00732894" w:rsidRPr="00CC7E17">
        <w:rPr>
          <w:rFonts w:ascii="Arial" w:hAnsi="Arial" w:cs="Arial"/>
          <w:sz w:val="24"/>
          <w:szCs w:val="24"/>
          <w:lang w:val="en-US"/>
        </w:rPr>
        <w:t xml:space="preserve">named </w:t>
      </w:r>
      <w:r w:rsidR="00AA5748" w:rsidRPr="00CC7E17">
        <w:rPr>
          <w:rFonts w:ascii="Arial" w:hAnsi="Arial" w:cs="Arial"/>
          <w:sz w:val="24"/>
          <w:szCs w:val="24"/>
          <w:lang w:val="en-US"/>
        </w:rPr>
        <w:t>BRiskeT</w:t>
      </w:r>
      <w:r w:rsidR="00732894" w:rsidRPr="00CC7E17">
        <w:rPr>
          <w:rFonts w:ascii="Arial" w:hAnsi="Arial" w:cs="Arial"/>
          <w:sz w:val="24"/>
          <w:szCs w:val="24"/>
          <w:lang w:val="en-US"/>
        </w:rPr>
        <w:t xml:space="preserve">. </w:t>
      </w:r>
      <w:r w:rsidRPr="00CC7E17">
        <w:rPr>
          <w:rFonts w:ascii="Arial" w:hAnsi="Arial" w:cs="Arial"/>
          <w:sz w:val="24"/>
          <w:szCs w:val="24"/>
          <w:lang w:val="en-US"/>
        </w:rPr>
        <w:t>Its goal is to provide baseline risk information that can be used when prognostic information is needed by clinicians, families and patients.</w:t>
      </w:r>
      <w:r w:rsidR="00A50237">
        <w:rPr>
          <w:rFonts w:ascii="Arial" w:hAnsi="Arial" w:cs="Arial"/>
          <w:sz w:val="24"/>
          <w:szCs w:val="24"/>
          <w:lang w:val="en-US"/>
        </w:rPr>
        <w:t xml:space="preserve"> </w:t>
      </w:r>
      <w:r w:rsidRPr="00CC7E17">
        <w:rPr>
          <w:rFonts w:ascii="Arial" w:hAnsi="Arial" w:cs="Arial"/>
          <w:sz w:val="24"/>
          <w:szCs w:val="24"/>
          <w:lang w:val="en-US"/>
        </w:rPr>
        <w:t xml:space="preserve">The </w:t>
      </w:r>
      <w:r w:rsidR="00AA5748" w:rsidRPr="00CC7E17">
        <w:rPr>
          <w:rFonts w:ascii="Arial" w:hAnsi="Arial" w:cs="Arial"/>
          <w:sz w:val="24"/>
          <w:szCs w:val="24"/>
          <w:lang w:val="da-DK"/>
        </w:rPr>
        <w:t>BRiskeT</w:t>
      </w:r>
      <w:r w:rsidRPr="00CC7E17">
        <w:rPr>
          <w:rFonts w:ascii="Arial" w:hAnsi="Arial" w:cs="Arial"/>
          <w:sz w:val="24"/>
          <w:szCs w:val="24"/>
          <w:lang w:val="en-US"/>
        </w:rPr>
        <w:t xml:space="preserve"> database will contain the extracted data from important prognostic research articles.</w:t>
      </w:r>
      <w:r w:rsidR="003925F0" w:rsidRPr="00CC7E17">
        <w:rPr>
          <w:rFonts w:ascii="Arial" w:hAnsi="Arial" w:cs="Arial"/>
          <w:sz w:val="24"/>
          <w:szCs w:val="24"/>
          <w:lang w:val="en-US"/>
        </w:rPr>
        <w:t xml:space="preserve"> </w:t>
      </w:r>
      <w:r w:rsidR="00416E4F" w:rsidRPr="00CC7E17">
        <w:rPr>
          <w:rFonts w:ascii="Arial" w:hAnsi="Arial" w:cs="Arial"/>
          <w:sz w:val="24"/>
          <w:szCs w:val="24"/>
          <w:lang w:val="en-US"/>
        </w:rPr>
        <w:t>The database</w:t>
      </w:r>
      <w:r w:rsidRPr="00CC7E17">
        <w:rPr>
          <w:rFonts w:ascii="Arial" w:hAnsi="Arial" w:cs="Arial"/>
          <w:sz w:val="24"/>
          <w:szCs w:val="24"/>
          <w:lang w:val="en-US"/>
        </w:rPr>
        <w:t xml:space="preserve"> will utilize information from high quality observational studies which have passed through the PLUS database’s inclusion criteria. </w:t>
      </w:r>
      <w:r w:rsidRPr="00CC7E17">
        <w:rPr>
          <w:rFonts w:ascii="Arial" w:hAnsi="Arial" w:cs="Arial"/>
          <w:sz w:val="24"/>
          <w:szCs w:val="24"/>
          <w:lang w:val="da-DK"/>
        </w:rPr>
        <w:t xml:space="preserve">Studies </w:t>
      </w:r>
      <w:r w:rsidR="003925F0" w:rsidRPr="00CC7E17">
        <w:rPr>
          <w:rFonts w:ascii="Arial" w:hAnsi="Arial" w:cs="Arial"/>
          <w:sz w:val="24"/>
          <w:szCs w:val="24"/>
          <w:lang w:val="da-DK"/>
        </w:rPr>
        <w:t xml:space="preserve">which </w:t>
      </w:r>
      <w:r w:rsidRPr="00CC7E17">
        <w:rPr>
          <w:rFonts w:ascii="Arial" w:hAnsi="Arial" w:cs="Arial"/>
          <w:sz w:val="24"/>
          <w:szCs w:val="24"/>
          <w:lang w:val="da-DK"/>
        </w:rPr>
        <w:t xml:space="preserve">have </w:t>
      </w:r>
      <w:r w:rsidRPr="00CC7E17">
        <w:rPr>
          <w:rFonts w:ascii="Arial" w:hAnsi="Arial" w:cs="Arial"/>
          <w:sz w:val="24"/>
          <w:szCs w:val="24"/>
          <w:lang w:val="en-US"/>
        </w:rPr>
        <w:t>met PLUS criteria (See Appendix 1) are fed into an online interface</w:t>
      </w:r>
      <w:r w:rsidR="00551CB4" w:rsidRPr="00CC7E17">
        <w:rPr>
          <w:rFonts w:ascii="Arial" w:hAnsi="Arial" w:cs="Arial"/>
          <w:sz w:val="24"/>
          <w:szCs w:val="24"/>
          <w:lang w:val="en-US"/>
        </w:rPr>
        <w:t xml:space="preserve"> named MacPrognosis</w:t>
      </w:r>
      <w:r w:rsidRPr="00CC7E17">
        <w:rPr>
          <w:rFonts w:ascii="Arial" w:hAnsi="Arial" w:cs="Arial"/>
          <w:sz w:val="24"/>
          <w:szCs w:val="24"/>
          <w:lang w:val="en-US"/>
        </w:rPr>
        <w:t>. Information pertaining to baseline risk for any outcome is extracted</w:t>
      </w:r>
      <w:r w:rsidR="008341F9">
        <w:rPr>
          <w:rFonts w:ascii="Arial" w:hAnsi="Arial" w:cs="Arial"/>
          <w:sz w:val="24"/>
          <w:szCs w:val="24"/>
          <w:lang w:val="en-US"/>
        </w:rPr>
        <w:t xml:space="preserve"> manually</w:t>
      </w:r>
      <w:r w:rsidRPr="00CC7E17">
        <w:rPr>
          <w:rFonts w:ascii="Arial" w:hAnsi="Arial" w:cs="Arial"/>
          <w:sz w:val="24"/>
          <w:szCs w:val="24"/>
          <w:lang w:val="en-US"/>
        </w:rPr>
        <w:t xml:space="preserve"> along with the condition, sub condition and outcome name as well as a text excerpt which describes the baseline risk statement within the study</w:t>
      </w:r>
      <w:r w:rsidR="008341F9">
        <w:rPr>
          <w:rFonts w:ascii="Arial" w:hAnsi="Arial" w:cs="Arial"/>
          <w:sz w:val="24"/>
          <w:szCs w:val="24"/>
          <w:lang w:val="en-US"/>
        </w:rPr>
        <w:t xml:space="preserve"> by a user of the MacPrognosis system</w:t>
      </w:r>
      <w:r w:rsidRPr="00CC7E17">
        <w:rPr>
          <w:rFonts w:ascii="Arial" w:hAnsi="Arial" w:cs="Arial"/>
          <w:sz w:val="24"/>
          <w:szCs w:val="24"/>
          <w:lang w:val="en-US"/>
        </w:rPr>
        <w:t xml:space="preserve">. This extraction process involves searching the journal articles for information to populate predefined fields reflecting baseline risk. These pieces of data are then placed into a database, which can subsequently be searched for on the basis of </w:t>
      </w:r>
      <w:r w:rsidR="00416E4F" w:rsidRPr="00CC7E17">
        <w:rPr>
          <w:rFonts w:ascii="Arial" w:hAnsi="Arial" w:cs="Arial"/>
          <w:sz w:val="24"/>
          <w:szCs w:val="24"/>
          <w:lang w:val="en-US"/>
        </w:rPr>
        <w:t>c</w:t>
      </w:r>
      <w:r w:rsidRPr="00CC7E17">
        <w:rPr>
          <w:rFonts w:ascii="Arial" w:hAnsi="Arial" w:cs="Arial"/>
          <w:sz w:val="24"/>
          <w:szCs w:val="24"/>
          <w:lang w:val="en-US"/>
        </w:rPr>
        <w:t xml:space="preserve">onditions and outcomes as well as indexing terms through a user-friendly interface. Information pertaining to risk that meets the user’s search criteria is then displayed </w:t>
      </w:r>
      <w:r w:rsidR="00E04F8E" w:rsidRPr="00CC7E17">
        <w:rPr>
          <w:rFonts w:ascii="Arial" w:hAnsi="Arial" w:cs="Arial"/>
          <w:sz w:val="24"/>
          <w:szCs w:val="24"/>
          <w:lang w:val="en-US"/>
        </w:rPr>
        <w:t xml:space="preserve">in a tabular format, where one row </w:t>
      </w:r>
      <w:r w:rsidR="00CD790D" w:rsidRPr="00CC7E17">
        <w:rPr>
          <w:rFonts w:ascii="Arial" w:hAnsi="Arial" w:cs="Arial"/>
          <w:sz w:val="24"/>
          <w:szCs w:val="24"/>
          <w:lang w:val="en-US"/>
        </w:rPr>
        <w:t xml:space="preserve">in the table </w:t>
      </w:r>
      <w:r w:rsidR="00E04F8E" w:rsidRPr="00CC7E17">
        <w:rPr>
          <w:rFonts w:ascii="Arial" w:hAnsi="Arial" w:cs="Arial"/>
          <w:sz w:val="24"/>
          <w:szCs w:val="24"/>
          <w:lang w:val="en-US"/>
        </w:rPr>
        <w:t>represents</w:t>
      </w:r>
      <w:r w:rsidR="00A50237">
        <w:rPr>
          <w:rFonts w:ascii="Arial" w:hAnsi="Arial" w:cs="Arial"/>
          <w:sz w:val="24"/>
          <w:szCs w:val="24"/>
          <w:lang w:val="en-US"/>
        </w:rPr>
        <w:t xml:space="preserve"> </w:t>
      </w:r>
      <w:r w:rsidR="00E04F8E" w:rsidRPr="00CC7E17">
        <w:rPr>
          <w:rFonts w:ascii="Arial" w:hAnsi="Arial" w:cs="Arial"/>
          <w:sz w:val="24"/>
          <w:szCs w:val="24"/>
          <w:lang w:val="en-US"/>
        </w:rPr>
        <w:t>baseline risk data</w:t>
      </w:r>
      <w:r w:rsidR="005937FF" w:rsidRPr="00CC7E17">
        <w:rPr>
          <w:rFonts w:ascii="Arial" w:hAnsi="Arial" w:cs="Arial"/>
          <w:sz w:val="24"/>
          <w:szCs w:val="24"/>
          <w:lang w:val="en-US"/>
        </w:rPr>
        <w:t xml:space="preserve"> for one outcome from one study</w:t>
      </w:r>
      <w:r w:rsidR="00E04F8E" w:rsidRPr="00CC7E17">
        <w:rPr>
          <w:rFonts w:ascii="Arial" w:hAnsi="Arial" w:cs="Arial"/>
          <w:sz w:val="24"/>
          <w:szCs w:val="24"/>
          <w:lang w:val="en-US"/>
        </w:rPr>
        <w:t>.</w:t>
      </w:r>
    </w:p>
    <w:p w14:paraId="2A7CFD36" w14:textId="180AD943" w:rsidR="00E04F8E" w:rsidRPr="00CC7E17" w:rsidRDefault="00E04F8E" w:rsidP="0009624B">
      <w:pPr>
        <w:pStyle w:val="Heading3"/>
        <w:spacing w:line="360" w:lineRule="auto"/>
        <w:rPr>
          <w:rFonts w:ascii="Arial" w:hAnsi="Arial" w:cs="Arial"/>
        </w:rPr>
      </w:pPr>
      <w:bookmarkStart w:id="19" w:name="_Toc286437118"/>
      <w:r w:rsidRPr="00CC7E17">
        <w:rPr>
          <w:rFonts w:ascii="Arial" w:hAnsi="Arial" w:cs="Arial"/>
        </w:rPr>
        <w:t>Scope of Current Study</w:t>
      </w:r>
      <w:bookmarkEnd w:id="19"/>
    </w:p>
    <w:p w14:paraId="39E179C4" w14:textId="02A64821" w:rsidR="00A70E96" w:rsidRPr="00CC7E17" w:rsidRDefault="00A70E96" w:rsidP="0009624B">
      <w:pPr>
        <w:pStyle w:val="Default"/>
        <w:spacing w:after="240" w:line="360" w:lineRule="auto"/>
        <w:rPr>
          <w:rFonts w:ascii="Arial" w:hAnsi="Arial" w:cs="Arial"/>
        </w:rPr>
      </w:pPr>
      <w:r w:rsidRPr="00CC7E17">
        <w:rPr>
          <w:rFonts w:ascii="Arial" w:hAnsi="Arial" w:cs="Arial"/>
          <w:sz w:val="24"/>
          <w:szCs w:val="24"/>
          <w:lang w:val="en-US"/>
        </w:rPr>
        <w:t xml:space="preserve">Work toward the realization of the </w:t>
      </w:r>
      <w:r w:rsidR="00AA5748" w:rsidRPr="00CC7E17">
        <w:rPr>
          <w:rFonts w:ascii="Arial" w:hAnsi="Arial" w:cs="Arial"/>
          <w:sz w:val="24"/>
          <w:szCs w:val="24"/>
          <w:lang w:val="en-US"/>
        </w:rPr>
        <w:t>BRiskeT</w:t>
      </w:r>
      <w:r w:rsidRPr="00CC7E17">
        <w:rPr>
          <w:rFonts w:ascii="Arial" w:hAnsi="Arial" w:cs="Arial"/>
          <w:sz w:val="24"/>
          <w:szCs w:val="24"/>
          <w:lang w:val="en-US"/>
        </w:rPr>
        <w:t xml:space="preserve"> database is ongoing. </w:t>
      </w:r>
      <w:r w:rsidR="005937FF" w:rsidRPr="00CC7E17">
        <w:rPr>
          <w:rFonts w:ascii="Arial" w:hAnsi="Arial" w:cs="Arial"/>
          <w:sz w:val="24"/>
          <w:szCs w:val="24"/>
          <w:lang w:val="en-US"/>
        </w:rPr>
        <w:t>T</w:t>
      </w:r>
      <w:r w:rsidRPr="00CC7E17">
        <w:rPr>
          <w:rFonts w:ascii="Arial" w:hAnsi="Arial" w:cs="Arial"/>
          <w:sz w:val="24"/>
          <w:szCs w:val="24"/>
          <w:lang w:val="en-US"/>
        </w:rPr>
        <w:t>he feasibility of a database for baseline risk information has been tested (Jacob, 2012). During this feasibility</w:t>
      </w:r>
      <w:r w:rsidR="00CD790D" w:rsidRPr="00CC7E17">
        <w:rPr>
          <w:rFonts w:ascii="Arial" w:hAnsi="Arial" w:cs="Arial"/>
          <w:sz w:val="24"/>
          <w:szCs w:val="24"/>
          <w:lang w:val="en-US"/>
        </w:rPr>
        <w:t xml:space="preserve">-testing </w:t>
      </w:r>
      <w:r w:rsidRPr="00CC7E17">
        <w:rPr>
          <w:rFonts w:ascii="Arial" w:hAnsi="Arial" w:cs="Arial"/>
          <w:sz w:val="24"/>
          <w:szCs w:val="24"/>
          <w:lang w:val="en-US"/>
        </w:rPr>
        <w:t xml:space="preserve">phase a paper-based extraction system was </w:t>
      </w:r>
      <w:r w:rsidR="00CD790D" w:rsidRPr="00CC7E17">
        <w:rPr>
          <w:rFonts w:ascii="Arial" w:hAnsi="Arial" w:cs="Arial"/>
          <w:sz w:val="24"/>
          <w:szCs w:val="24"/>
          <w:lang w:val="en-US"/>
        </w:rPr>
        <w:t xml:space="preserve">developed and </w:t>
      </w:r>
      <w:r w:rsidRPr="00CC7E17">
        <w:rPr>
          <w:rFonts w:ascii="Arial" w:hAnsi="Arial" w:cs="Arial"/>
          <w:sz w:val="24"/>
          <w:szCs w:val="24"/>
          <w:lang w:val="en-US"/>
        </w:rPr>
        <w:t>employed which utilized a</w:t>
      </w:r>
      <w:r w:rsidR="00CD790D" w:rsidRPr="00CC7E17">
        <w:rPr>
          <w:rFonts w:ascii="Arial" w:hAnsi="Arial" w:cs="Arial"/>
          <w:sz w:val="24"/>
          <w:szCs w:val="24"/>
          <w:lang w:val="en-US"/>
        </w:rPr>
        <w:t xml:space="preserve"> printed</w:t>
      </w:r>
      <w:r w:rsidRPr="00CC7E17">
        <w:rPr>
          <w:rFonts w:ascii="Arial" w:hAnsi="Arial" w:cs="Arial"/>
          <w:sz w:val="24"/>
          <w:szCs w:val="24"/>
          <w:lang w:val="en-US"/>
        </w:rPr>
        <w:t xml:space="preserve"> form to prompt extractors to look for certain data within an article</w:t>
      </w:r>
      <w:r w:rsidR="00A43D10" w:rsidRPr="00CC7E17">
        <w:rPr>
          <w:rFonts w:ascii="Arial" w:hAnsi="Arial" w:cs="Arial"/>
          <w:sz w:val="24"/>
          <w:szCs w:val="24"/>
          <w:lang w:val="en-US"/>
        </w:rPr>
        <w:t>.</w:t>
      </w:r>
      <w:r w:rsidRPr="00CC7E17">
        <w:rPr>
          <w:rFonts w:ascii="Arial" w:hAnsi="Arial" w:cs="Arial"/>
          <w:sz w:val="24"/>
          <w:szCs w:val="24"/>
          <w:lang w:val="en-US"/>
        </w:rPr>
        <w:t xml:space="preserve"> These data were </w:t>
      </w:r>
      <w:r w:rsidR="00CD790D" w:rsidRPr="00CC7E17">
        <w:rPr>
          <w:rFonts w:ascii="Arial" w:hAnsi="Arial" w:cs="Arial"/>
          <w:sz w:val="24"/>
          <w:szCs w:val="24"/>
          <w:lang w:val="en-US"/>
        </w:rPr>
        <w:t>manually transcribed</w:t>
      </w:r>
      <w:r w:rsidRPr="00CC7E17">
        <w:rPr>
          <w:rFonts w:ascii="Arial" w:hAnsi="Arial" w:cs="Arial"/>
          <w:sz w:val="24"/>
          <w:szCs w:val="24"/>
          <w:lang w:val="en-US"/>
        </w:rPr>
        <w:t xml:space="preserve"> from the forms to an Excel </w:t>
      </w:r>
      <w:r w:rsidR="00E07E27" w:rsidRPr="00CC7E17">
        <w:rPr>
          <w:rFonts w:ascii="Arial" w:hAnsi="Arial" w:cs="Arial"/>
          <w:sz w:val="24"/>
          <w:szCs w:val="24"/>
          <w:lang w:val="en-US"/>
        </w:rPr>
        <w:t>spreadsheet that</w:t>
      </w:r>
      <w:r w:rsidRPr="00CC7E17">
        <w:rPr>
          <w:rFonts w:ascii="Arial" w:hAnsi="Arial" w:cs="Arial"/>
          <w:sz w:val="24"/>
          <w:szCs w:val="24"/>
          <w:lang w:val="en-US"/>
        </w:rPr>
        <w:t xml:space="preserve"> could then be searched. This extraction and entry process was laborious and prone to transcription errors. </w:t>
      </w:r>
    </w:p>
    <w:p w14:paraId="1A091578" w14:textId="7481D2E8" w:rsidR="00A70E96" w:rsidRPr="00CC7E17" w:rsidRDefault="00A70E96" w:rsidP="0009624B">
      <w:pPr>
        <w:pStyle w:val="Default"/>
        <w:spacing w:after="240" w:line="360" w:lineRule="auto"/>
        <w:rPr>
          <w:rFonts w:ascii="Arial" w:hAnsi="Arial" w:cs="Arial"/>
        </w:rPr>
      </w:pPr>
      <w:r w:rsidRPr="00CC7E17">
        <w:rPr>
          <w:rFonts w:ascii="Arial" w:hAnsi="Arial" w:cs="Arial"/>
          <w:sz w:val="24"/>
          <w:szCs w:val="24"/>
          <w:lang w:val="en-US"/>
        </w:rPr>
        <w:t>The formal question</w:t>
      </w:r>
      <w:r w:rsidR="00A50237">
        <w:rPr>
          <w:rFonts w:ascii="Arial" w:hAnsi="Arial" w:cs="Arial"/>
          <w:sz w:val="24"/>
          <w:szCs w:val="24"/>
          <w:lang w:val="en-US"/>
        </w:rPr>
        <w:t xml:space="preserve"> for this thesis</w:t>
      </w:r>
      <w:r w:rsidRPr="00CC7E17">
        <w:rPr>
          <w:rFonts w:ascii="Arial" w:hAnsi="Arial" w:cs="Arial"/>
          <w:sz w:val="24"/>
          <w:szCs w:val="24"/>
          <w:lang w:val="en-US"/>
        </w:rPr>
        <w:t xml:space="preserve"> was whether this newly developed online method of extraction and entry allowed for quicker extraction and whether the </w:t>
      </w:r>
      <w:r w:rsidR="00EE02D4">
        <w:rPr>
          <w:rFonts w:ascii="Arial" w:hAnsi="Arial" w:cs="Arial"/>
          <w:sz w:val="24"/>
          <w:szCs w:val="24"/>
          <w:lang w:val="en-US"/>
        </w:rPr>
        <w:t>eForm-based</w:t>
      </w:r>
      <w:r w:rsidRPr="00CC7E17">
        <w:rPr>
          <w:rFonts w:ascii="Arial" w:hAnsi="Arial" w:cs="Arial"/>
          <w:sz w:val="24"/>
          <w:szCs w:val="24"/>
          <w:lang w:val="en-US"/>
        </w:rPr>
        <w:t xml:space="preserve"> model would allow for </w:t>
      </w:r>
      <w:r w:rsidR="00CD790D" w:rsidRPr="00CC7E17">
        <w:rPr>
          <w:rFonts w:ascii="Arial" w:hAnsi="Arial" w:cs="Arial"/>
          <w:sz w:val="24"/>
          <w:szCs w:val="24"/>
          <w:lang w:val="en-US"/>
        </w:rPr>
        <w:t xml:space="preserve">greater efficiency of </w:t>
      </w:r>
      <w:r w:rsidRPr="00CC7E17">
        <w:rPr>
          <w:rFonts w:ascii="Arial" w:hAnsi="Arial" w:cs="Arial"/>
          <w:sz w:val="24"/>
          <w:szCs w:val="24"/>
          <w:lang w:val="en-US"/>
        </w:rPr>
        <w:t xml:space="preserve">baseline risk </w:t>
      </w:r>
      <w:r w:rsidR="003A0E34" w:rsidRPr="00CC7E17">
        <w:rPr>
          <w:rFonts w:ascii="Arial" w:hAnsi="Arial" w:cs="Arial"/>
          <w:sz w:val="24"/>
          <w:szCs w:val="24"/>
          <w:lang w:val="en-US"/>
        </w:rPr>
        <w:t xml:space="preserve">data </w:t>
      </w:r>
      <w:r w:rsidRPr="00CC7E17">
        <w:rPr>
          <w:rFonts w:ascii="Arial" w:hAnsi="Arial" w:cs="Arial"/>
          <w:sz w:val="24"/>
          <w:szCs w:val="24"/>
          <w:lang w:val="en-US"/>
        </w:rPr>
        <w:t xml:space="preserve">extraction. In this current study, the new </w:t>
      </w:r>
      <w:r w:rsidR="00EE02D4">
        <w:rPr>
          <w:rFonts w:ascii="Arial" w:hAnsi="Arial" w:cs="Arial"/>
          <w:sz w:val="24"/>
          <w:szCs w:val="24"/>
          <w:lang w:val="en-US"/>
        </w:rPr>
        <w:t>eForm-based</w:t>
      </w:r>
      <w:r w:rsidRPr="00CC7E17">
        <w:rPr>
          <w:rFonts w:ascii="Arial" w:hAnsi="Arial" w:cs="Arial"/>
          <w:sz w:val="24"/>
          <w:szCs w:val="24"/>
          <w:lang w:val="en-US"/>
        </w:rPr>
        <w:t xml:space="preserve"> extractor interface (named MacPrognosis) was tested for data entry into </w:t>
      </w:r>
      <w:r w:rsidR="00AA5748" w:rsidRPr="00CC7E17">
        <w:rPr>
          <w:rFonts w:ascii="Arial" w:hAnsi="Arial" w:cs="Arial"/>
          <w:sz w:val="24"/>
          <w:szCs w:val="24"/>
          <w:lang w:val="en-US"/>
        </w:rPr>
        <w:t>BRiskeT</w:t>
      </w:r>
      <w:r w:rsidRPr="00CC7E17">
        <w:rPr>
          <w:rFonts w:ascii="Arial" w:hAnsi="Arial" w:cs="Arial"/>
          <w:sz w:val="24"/>
          <w:szCs w:val="24"/>
          <w:lang w:val="en-US"/>
        </w:rPr>
        <w:t xml:space="preserve"> and compared against the paper-based process, used during feasibility testing. </w:t>
      </w:r>
    </w:p>
    <w:p w14:paraId="760AD4E6" w14:textId="1D85BB9B" w:rsidR="00BE064E" w:rsidRPr="00CC7E17" w:rsidRDefault="00A76168" w:rsidP="0009624B">
      <w:pPr>
        <w:pStyle w:val="Heading3"/>
        <w:spacing w:line="360" w:lineRule="auto"/>
        <w:rPr>
          <w:rFonts w:ascii="Arial" w:hAnsi="Arial" w:cs="Arial"/>
        </w:rPr>
      </w:pPr>
      <w:bookmarkStart w:id="20" w:name="_Toc286437119"/>
      <w:r w:rsidRPr="00CC7E17">
        <w:rPr>
          <w:rFonts w:ascii="Arial" w:hAnsi="Arial" w:cs="Arial"/>
        </w:rPr>
        <w:t xml:space="preserve">Development of First iteration of </w:t>
      </w:r>
      <w:r w:rsidR="00AA5748" w:rsidRPr="00CC7E17">
        <w:rPr>
          <w:rFonts w:ascii="Arial" w:hAnsi="Arial" w:cs="Arial"/>
        </w:rPr>
        <w:t>Extractor interface</w:t>
      </w:r>
      <w:bookmarkEnd w:id="20"/>
      <w:r w:rsidR="00AA5748" w:rsidRPr="00CC7E17">
        <w:rPr>
          <w:rFonts w:ascii="Arial" w:hAnsi="Arial" w:cs="Arial"/>
        </w:rPr>
        <w:t xml:space="preserve"> </w:t>
      </w:r>
    </w:p>
    <w:p w14:paraId="0E6D6F82" w14:textId="36A14E8E" w:rsidR="0013048B" w:rsidRPr="00CC7E17" w:rsidRDefault="0068497D" w:rsidP="00C2560F">
      <w:pPr>
        <w:pStyle w:val="Body"/>
        <w:spacing w:line="360" w:lineRule="auto"/>
        <w:rPr>
          <w:rFonts w:ascii="Arial" w:hAnsi="Arial" w:cs="Arial"/>
          <w:sz w:val="24"/>
          <w:szCs w:val="24"/>
        </w:rPr>
      </w:pPr>
      <w:r w:rsidRPr="00CC7E17">
        <w:rPr>
          <w:rFonts w:ascii="Arial" w:hAnsi="Arial" w:cs="Arial"/>
          <w:sz w:val="24"/>
          <w:szCs w:val="24"/>
        </w:rPr>
        <w:t xml:space="preserve">In this study, a new extractor interface was developed with the help of McMaster University’s </w:t>
      </w:r>
      <w:r w:rsidR="00FD1853" w:rsidRPr="00CC7E17">
        <w:rPr>
          <w:rFonts w:ascii="Arial" w:hAnsi="Arial" w:cs="Arial"/>
          <w:sz w:val="24"/>
          <w:szCs w:val="24"/>
        </w:rPr>
        <w:t>H</w:t>
      </w:r>
      <w:r w:rsidR="00522AB3">
        <w:rPr>
          <w:rFonts w:ascii="Arial" w:hAnsi="Arial" w:cs="Arial"/>
          <w:sz w:val="24"/>
          <w:szCs w:val="24"/>
        </w:rPr>
        <w:t>I</w:t>
      </w:r>
      <w:r w:rsidR="00FD1853" w:rsidRPr="00CC7E17">
        <w:rPr>
          <w:rFonts w:ascii="Arial" w:hAnsi="Arial" w:cs="Arial"/>
          <w:sz w:val="24"/>
          <w:szCs w:val="24"/>
        </w:rPr>
        <w:t>RU.</w:t>
      </w:r>
      <w:r w:rsidR="001A3D2E" w:rsidRPr="00CC7E17">
        <w:rPr>
          <w:rFonts w:ascii="Arial" w:hAnsi="Arial" w:cs="Arial"/>
          <w:sz w:val="24"/>
          <w:szCs w:val="24"/>
        </w:rPr>
        <w:t xml:space="preserve"> The extractor interface was to serve as the layer that sat between the PLUS database </w:t>
      </w:r>
      <w:r w:rsidR="005741BE" w:rsidRPr="00CC7E17">
        <w:rPr>
          <w:rFonts w:ascii="Arial" w:hAnsi="Arial" w:cs="Arial"/>
          <w:sz w:val="24"/>
          <w:szCs w:val="24"/>
        </w:rPr>
        <w:t xml:space="preserve">which enforces inclusion and exclusion criteria for articles to be included </w:t>
      </w:r>
      <w:r w:rsidR="001A3D2E" w:rsidRPr="00CC7E17">
        <w:rPr>
          <w:rFonts w:ascii="Arial" w:hAnsi="Arial" w:cs="Arial"/>
          <w:sz w:val="24"/>
          <w:szCs w:val="24"/>
        </w:rPr>
        <w:t xml:space="preserve">and the </w:t>
      </w:r>
      <w:r w:rsidR="00AA5748" w:rsidRPr="00CC7E17">
        <w:rPr>
          <w:rFonts w:ascii="Arial" w:hAnsi="Arial" w:cs="Arial"/>
          <w:sz w:val="24"/>
          <w:szCs w:val="24"/>
        </w:rPr>
        <w:t>BRiskeT</w:t>
      </w:r>
      <w:r w:rsidR="001A3D2E" w:rsidRPr="00CC7E17">
        <w:rPr>
          <w:rFonts w:ascii="Arial" w:hAnsi="Arial" w:cs="Arial"/>
          <w:sz w:val="24"/>
          <w:szCs w:val="24"/>
        </w:rPr>
        <w:t xml:space="preserve"> database which</w:t>
      </w:r>
      <w:r w:rsidR="00E97EBA" w:rsidRPr="00CC7E17">
        <w:rPr>
          <w:rFonts w:ascii="Arial" w:hAnsi="Arial" w:cs="Arial"/>
          <w:sz w:val="24"/>
          <w:szCs w:val="24"/>
        </w:rPr>
        <w:t xml:space="preserve"> will</w:t>
      </w:r>
      <w:r w:rsidR="001A3D2E" w:rsidRPr="00CC7E17">
        <w:rPr>
          <w:rFonts w:ascii="Arial" w:hAnsi="Arial" w:cs="Arial"/>
          <w:sz w:val="24"/>
          <w:szCs w:val="24"/>
        </w:rPr>
        <w:t xml:space="preserve"> house the baseline risk information.</w:t>
      </w:r>
      <w:r w:rsidRPr="00CC7E17">
        <w:rPr>
          <w:rFonts w:ascii="Arial" w:hAnsi="Arial" w:cs="Arial"/>
          <w:sz w:val="24"/>
          <w:szCs w:val="24"/>
        </w:rPr>
        <w:t xml:space="preserve"> This interface built on</w:t>
      </w:r>
      <w:r w:rsidR="009142A3" w:rsidRPr="00CC7E17">
        <w:rPr>
          <w:rFonts w:ascii="Arial" w:hAnsi="Arial" w:cs="Arial"/>
          <w:sz w:val="24"/>
          <w:szCs w:val="24"/>
        </w:rPr>
        <w:t xml:space="preserve"> the </w:t>
      </w:r>
      <w:r w:rsidR="00B26779" w:rsidRPr="00CC7E17">
        <w:rPr>
          <w:rFonts w:ascii="Arial" w:hAnsi="Arial" w:cs="Arial"/>
          <w:sz w:val="24"/>
          <w:szCs w:val="24"/>
        </w:rPr>
        <w:t>logic that</w:t>
      </w:r>
      <w:r w:rsidR="009142A3" w:rsidRPr="00CC7E17">
        <w:rPr>
          <w:rFonts w:ascii="Arial" w:hAnsi="Arial" w:cs="Arial"/>
          <w:sz w:val="24"/>
          <w:szCs w:val="24"/>
        </w:rPr>
        <w:t xml:space="preserve"> had </w:t>
      </w:r>
      <w:r w:rsidRPr="00CC7E17">
        <w:rPr>
          <w:rFonts w:ascii="Arial" w:hAnsi="Arial" w:cs="Arial"/>
          <w:sz w:val="24"/>
          <w:szCs w:val="24"/>
        </w:rPr>
        <w:t xml:space="preserve">been developed </w:t>
      </w:r>
      <w:r w:rsidR="00CF44CC" w:rsidRPr="00CC7E17">
        <w:rPr>
          <w:rFonts w:ascii="Arial" w:hAnsi="Arial" w:cs="Arial"/>
          <w:sz w:val="24"/>
          <w:szCs w:val="24"/>
        </w:rPr>
        <w:t xml:space="preserve">in the feasibility testing (the </w:t>
      </w:r>
      <w:r w:rsidR="00AF55E5" w:rsidRPr="00CC7E17">
        <w:rPr>
          <w:rFonts w:ascii="Arial" w:hAnsi="Arial" w:cs="Arial"/>
          <w:sz w:val="24"/>
          <w:szCs w:val="24"/>
        </w:rPr>
        <w:t xml:space="preserve">details of the development of this extraction process can be seen in </w:t>
      </w:r>
      <w:r w:rsidR="00614645" w:rsidRPr="009E57CF">
        <w:rPr>
          <w:rFonts w:ascii="Arial" w:hAnsi="Arial" w:cs="Arial"/>
          <w:sz w:val="24"/>
          <w:szCs w:val="24"/>
        </w:rPr>
        <w:fldChar w:fldCharType="begin"/>
      </w:r>
      <w:r w:rsidR="00614645" w:rsidRPr="00CC7E17">
        <w:rPr>
          <w:rFonts w:ascii="Arial" w:hAnsi="Arial" w:cs="Arial"/>
          <w:sz w:val="24"/>
          <w:szCs w:val="24"/>
        </w:rPr>
        <w:instrText xml:space="preserve"> REF _Ref271784139 \h </w:instrText>
      </w:r>
      <w:r w:rsidR="0009624B" w:rsidRPr="00CC7E17">
        <w:rPr>
          <w:rFonts w:ascii="Arial" w:hAnsi="Arial" w:cs="Arial"/>
          <w:sz w:val="24"/>
          <w:szCs w:val="24"/>
        </w:rPr>
        <w:instrText xml:space="preserve"> \* MERGEFORMAT </w:instrText>
      </w:r>
      <w:r w:rsidR="00614645" w:rsidRPr="009E57CF">
        <w:rPr>
          <w:rFonts w:ascii="Arial" w:hAnsi="Arial" w:cs="Arial"/>
          <w:sz w:val="24"/>
          <w:szCs w:val="24"/>
        </w:rPr>
      </w:r>
      <w:r w:rsidR="00614645" w:rsidRPr="009E57CF">
        <w:rPr>
          <w:rFonts w:ascii="Arial" w:hAnsi="Arial" w:cs="Arial"/>
          <w:sz w:val="24"/>
          <w:szCs w:val="24"/>
        </w:rPr>
        <w:fldChar w:fldCharType="separate"/>
      </w:r>
      <w:r w:rsidR="00614645" w:rsidRPr="00CC7E17">
        <w:rPr>
          <w:rFonts w:ascii="Arial" w:hAnsi="Arial" w:cs="Arial"/>
        </w:rPr>
        <w:t>Appendix 2</w:t>
      </w:r>
      <w:r w:rsidR="00614645" w:rsidRPr="009E57CF">
        <w:rPr>
          <w:rFonts w:ascii="Arial" w:hAnsi="Arial" w:cs="Arial"/>
          <w:sz w:val="24"/>
          <w:szCs w:val="24"/>
        </w:rPr>
        <w:fldChar w:fldCharType="end"/>
      </w:r>
      <w:r w:rsidR="00AF55E5" w:rsidRPr="00CC7E17">
        <w:rPr>
          <w:rFonts w:ascii="Arial" w:hAnsi="Arial" w:cs="Arial"/>
          <w:sz w:val="24"/>
          <w:szCs w:val="24"/>
        </w:rPr>
        <w:t>)</w:t>
      </w:r>
      <w:r w:rsidR="009142A3" w:rsidRPr="00CC7E17">
        <w:rPr>
          <w:rFonts w:ascii="Arial" w:hAnsi="Arial" w:cs="Arial"/>
          <w:sz w:val="24"/>
          <w:szCs w:val="24"/>
        </w:rPr>
        <w:t xml:space="preserve">. </w:t>
      </w:r>
    </w:p>
    <w:p w14:paraId="4DEB515F" w14:textId="654F607F" w:rsidR="00E04F8E" w:rsidRPr="00ED7C8D" w:rsidRDefault="00462074" w:rsidP="0009624B">
      <w:pPr>
        <w:pStyle w:val="Heading4"/>
        <w:spacing w:line="360" w:lineRule="auto"/>
        <w:rPr>
          <w:rFonts w:ascii="Arial" w:hAnsi="Arial" w:cs="Arial"/>
        </w:rPr>
      </w:pPr>
      <w:r w:rsidRPr="00ED7C8D">
        <w:rPr>
          <w:rFonts w:ascii="Arial" w:hAnsi="Arial" w:cs="Arial"/>
        </w:rPr>
        <w:t>First</w:t>
      </w:r>
      <w:r w:rsidR="00A50237" w:rsidRPr="00ED7C8D">
        <w:rPr>
          <w:rFonts w:ascii="Arial" w:hAnsi="Arial" w:cs="Arial"/>
        </w:rPr>
        <w:t xml:space="preserve"> </w:t>
      </w:r>
      <w:r w:rsidRPr="00ED7C8D">
        <w:rPr>
          <w:rFonts w:ascii="Arial" w:hAnsi="Arial" w:cs="Arial"/>
        </w:rPr>
        <w:t xml:space="preserve">Iteration </w:t>
      </w:r>
      <w:r w:rsidR="004B5775" w:rsidRPr="00ED7C8D">
        <w:rPr>
          <w:rFonts w:ascii="Arial" w:hAnsi="Arial" w:cs="Arial"/>
        </w:rPr>
        <w:t xml:space="preserve">Feature List </w:t>
      </w:r>
    </w:p>
    <w:p w14:paraId="6FB63F64" w14:textId="3F203AEC" w:rsidR="004B5775" w:rsidRPr="00CC7E17" w:rsidRDefault="004B5775" w:rsidP="0009624B">
      <w:pPr>
        <w:pStyle w:val="Body"/>
        <w:spacing w:line="360" w:lineRule="auto"/>
        <w:rPr>
          <w:rFonts w:ascii="Arial" w:hAnsi="Arial" w:cs="Arial"/>
          <w:sz w:val="24"/>
          <w:szCs w:val="24"/>
        </w:rPr>
      </w:pPr>
      <w:r w:rsidRPr="00CC7E17">
        <w:rPr>
          <w:rFonts w:ascii="Arial" w:hAnsi="Arial" w:cs="Arial"/>
          <w:sz w:val="24"/>
          <w:szCs w:val="24"/>
        </w:rPr>
        <w:t xml:space="preserve">The first step in developing the new </w:t>
      </w:r>
      <w:r w:rsidR="00AA5748" w:rsidRPr="00CC7E17">
        <w:rPr>
          <w:rFonts w:ascii="Arial" w:hAnsi="Arial" w:cs="Arial"/>
          <w:sz w:val="24"/>
          <w:szCs w:val="24"/>
        </w:rPr>
        <w:t>extractor interface</w:t>
      </w:r>
      <w:r w:rsidR="00A50237">
        <w:rPr>
          <w:rFonts w:ascii="Arial" w:hAnsi="Arial" w:cs="Arial"/>
          <w:sz w:val="24"/>
          <w:szCs w:val="24"/>
        </w:rPr>
        <w:t xml:space="preserve"> </w:t>
      </w:r>
      <w:r w:rsidRPr="00CC7E17">
        <w:rPr>
          <w:rFonts w:ascii="Arial" w:hAnsi="Arial" w:cs="Arial"/>
          <w:sz w:val="24"/>
          <w:szCs w:val="24"/>
        </w:rPr>
        <w:t>was to build a list of features to be included.</w:t>
      </w:r>
      <w:r w:rsidR="00A50237">
        <w:rPr>
          <w:rFonts w:ascii="Arial" w:hAnsi="Arial" w:cs="Arial"/>
          <w:sz w:val="24"/>
          <w:szCs w:val="24"/>
        </w:rPr>
        <w:t xml:space="preserve"> </w:t>
      </w:r>
      <w:r w:rsidRPr="00CC7E17">
        <w:rPr>
          <w:rFonts w:ascii="Arial" w:hAnsi="Arial" w:cs="Arial"/>
          <w:sz w:val="24"/>
          <w:szCs w:val="24"/>
        </w:rPr>
        <w:t xml:space="preserve">In this way, the development process followed the agile model, with </w:t>
      </w:r>
      <w:r w:rsidR="00E97EBA" w:rsidRPr="00CC7E17">
        <w:rPr>
          <w:rFonts w:ascii="Arial" w:hAnsi="Arial" w:cs="Arial"/>
          <w:sz w:val="24"/>
          <w:szCs w:val="24"/>
        </w:rPr>
        <w:t xml:space="preserve">potential </w:t>
      </w:r>
      <w:r w:rsidRPr="00CC7E17">
        <w:rPr>
          <w:rFonts w:ascii="Arial" w:hAnsi="Arial" w:cs="Arial"/>
          <w:sz w:val="24"/>
          <w:szCs w:val="24"/>
        </w:rPr>
        <w:t>users of the software developing feature lists that drove development forward, and thereby allowing mutual feedback between users and developers (Johannessen,</w:t>
      </w:r>
      <w:r w:rsidR="00A50237">
        <w:rPr>
          <w:rFonts w:ascii="Arial" w:hAnsi="Arial" w:cs="Arial"/>
          <w:sz w:val="24"/>
          <w:szCs w:val="24"/>
        </w:rPr>
        <w:t xml:space="preserve"> </w:t>
      </w:r>
      <w:r w:rsidRPr="00CC7E17">
        <w:rPr>
          <w:rFonts w:ascii="Arial" w:hAnsi="Arial" w:cs="Arial"/>
          <w:sz w:val="24"/>
          <w:szCs w:val="24"/>
        </w:rPr>
        <w:t>2010).</w:t>
      </w:r>
    </w:p>
    <w:p w14:paraId="0EAF21F4" w14:textId="77777777" w:rsidR="004B5775" w:rsidRPr="00CC7E17" w:rsidRDefault="004B5775" w:rsidP="0009624B">
      <w:pPr>
        <w:pStyle w:val="Body"/>
        <w:spacing w:line="360" w:lineRule="auto"/>
        <w:rPr>
          <w:rFonts w:ascii="Arial" w:hAnsi="Arial" w:cs="Arial"/>
          <w:b/>
          <w:sz w:val="24"/>
          <w:szCs w:val="24"/>
          <w:u w:val="single"/>
        </w:rPr>
      </w:pPr>
    </w:p>
    <w:p w14:paraId="1C1B3A2A" w14:textId="1A83C406" w:rsidR="001A3D2E" w:rsidRPr="00CC7E17" w:rsidRDefault="001A3D2E" w:rsidP="0009624B">
      <w:pPr>
        <w:pStyle w:val="Body"/>
        <w:spacing w:line="360" w:lineRule="auto"/>
        <w:rPr>
          <w:rFonts w:ascii="Arial" w:hAnsi="Arial" w:cs="Arial"/>
          <w:sz w:val="24"/>
          <w:szCs w:val="24"/>
        </w:rPr>
      </w:pPr>
      <w:r w:rsidRPr="00CC7E17">
        <w:rPr>
          <w:rFonts w:ascii="Arial" w:hAnsi="Arial" w:cs="Arial"/>
          <w:sz w:val="24"/>
          <w:szCs w:val="24"/>
        </w:rPr>
        <w:t xml:space="preserve">The first feature </w:t>
      </w:r>
      <w:r w:rsidR="00966B04" w:rsidRPr="00CC7E17">
        <w:rPr>
          <w:rFonts w:ascii="Arial" w:hAnsi="Arial" w:cs="Arial"/>
          <w:sz w:val="24"/>
          <w:szCs w:val="24"/>
        </w:rPr>
        <w:t>requested</w:t>
      </w:r>
      <w:r w:rsidRPr="00CC7E17">
        <w:rPr>
          <w:rFonts w:ascii="Arial" w:hAnsi="Arial" w:cs="Arial"/>
          <w:sz w:val="24"/>
          <w:szCs w:val="24"/>
        </w:rPr>
        <w:t xml:space="preserve"> was the need for online hosting. This feature was necessary to centralize access to the </w:t>
      </w:r>
      <w:r w:rsidR="00AA5748" w:rsidRPr="00CC7E17">
        <w:rPr>
          <w:rFonts w:ascii="Arial" w:hAnsi="Arial" w:cs="Arial"/>
          <w:sz w:val="24"/>
          <w:szCs w:val="24"/>
        </w:rPr>
        <w:t>extractor interface</w:t>
      </w:r>
      <w:r w:rsidR="00C9632D">
        <w:rPr>
          <w:rFonts w:ascii="Arial" w:hAnsi="Arial" w:cs="Arial"/>
          <w:sz w:val="24"/>
          <w:szCs w:val="24"/>
        </w:rPr>
        <w:t>.</w:t>
      </w:r>
      <w:r w:rsidRPr="00CC7E17">
        <w:rPr>
          <w:rFonts w:ascii="Arial" w:hAnsi="Arial" w:cs="Arial"/>
          <w:sz w:val="24"/>
          <w:szCs w:val="24"/>
        </w:rPr>
        <w:t xml:space="preserve"> The full release of the </w:t>
      </w:r>
      <w:r w:rsidR="00AA5748" w:rsidRPr="00CC7E17">
        <w:rPr>
          <w:rFonts w:ascii="Arial" w:hAnsi="Arial" w:cs="Arial"/>
          <w:sz w:val="24"/>
          <w:szCs w:val="24"/>
        </w:rPr>
        <w:t>BRiskeT</w:t>
      </w:r>
      <w:r w:rsidRPr="00CC7E17">
        <w:rPr>
          <w:rFonts w:ascii="Arial" w:hAnsi="Arial" w:cs="Arial"/>
          <w:sz w:val="24"/>
          <w:szCs w:val="24"/>
        </w:rPr>
        <w:t xml:space="preserve"> </w:t>
      </w:r>
      <w:r w:rsidR="005937FF" w:rsidRPr="00CC7E17">
        <w:rPr>
          <w:rFonts w:ascii="Arial" w:hAnsi="Arial" w:cs="Arial"/>
          <w:sz w:val="24"/>
          <w:szCs w:val="24"/>
        </w:rPr>
        <w:t>d</w:t>
      </w:r>
      <w:r w:rsidRPr="00CC7E17">
        <w:rPr>
          <w:rFonts w:ascii="Arial" w:hAnsi="Arial" w:cs="Arial"/>
          <w:sz w:val="24"/>
          <w:szCs w:val="24"/>
        </w:rPr>
        <w:t xml:space="preserve">atabase </w:t>
      </w:r>
      <w:r w:rsidR="005378EB" w:rsidRPr="00CC7E17">
        <w:rPr>
          <w:rFonts w:ascii="Arial" w:hAnsi="Arial" w:cs="Arial"/>
          <w:sz w:val="24"/>
          <w:szCs w:val="24"/>
        </w:rPr>
        <w:t xml:space="preserve">would require baseline risk information from a random sample of articles to be extracted by more than one extractor. By conducting the extraction in duplicate, the accuracy of the each extractor’s work </w:t>
      </w:r>
      <w:r w:rsidR="00A50237">
        <w:rPr>
          <w:rFonts w:ascii="Arial" w:hAnsi="Arial" w:cs="Arial"/>
          <w:sz w:val="24"/>
          <w:szCs w:val="24"/>
        </w:rPr>
        <w:t>c</w:t>
      </w:r>
      <w:r w:rsidR="005378EB" w:rsidRPr="00CC7E17">
        <w:rPr>
          <w:rFonts w:ascii="Arial" w:hAnsi="Arial" w:cs="Arial"/>
          <w:sz w:val="24"/>
          <w:szCs w:val="24"/>
        </w:rPr>
        <w:t>ould be evaluated by comparing the extractors’ results for the same article.</w:t>
      </w:r>
      <w:r w:rsidR="00A50237">
        <w:rPr>
          <w:rFonts w:ascii="Arial" w:hAnsi="Arial" w:cs="Arial"/>
          <w:sz w:val="24"/>
          <w:szCs w:val="24"/>
        </w:rPr>
        <w:t xml:space="preserve"> </w:t>
      </w:r>
      <w:r w:rsidRPr="00CC7E17">
        <w:rPr>
          <w:rFonts w:ascii="Arial" w:hAnsi="Arial" w:cs="Arial"/>
          <w:sz w:val="24"/>
          <w:szCs w:val="24"/>
        </w:rPr>
        <w:t xml:space="preserve">This would mean that two extractors would have to be able to access the same database. It was determined that the most scalable solution to this issue would be to host the </w:t>
      </w:r>
      <w:r w:rsidR="00AA5748" w:rsidRPr="00CC7E17">
        <w:rPr>
          <w:rFonts w:ascii="Arial" w:hAnsi="Arial" w:cs="Arial"/>
          <w:sz w:val="24"/>
          <w:szCs w:val="24"/>
        </w:rPr>
        <w:t>extractor interface</w:t>
      </w:r>
      <w:r w:rsidR="00A50237">
        <w:rPr>
          <w:rFonts w:ascii="Arial" w:hAnsi="Arial" w:cs="Arial"/>
          <w:sz w:val="24"/>
          <w:szCs w:val="24"/>
        </w:rPr>
        <w:t xml:space="preserve"> </w:t>
      </w:r>
      <w:r w:rsidRPr="00CC7E17">
        <w:rPr>
          <w:rFonts w:ascii="Arial" w:hAnsi="Arial" w:cs="Arial"/>
          <w:sz w:val="24"/>
          <w:szCs w:val="24"/>
        </w:rPr>
        <w:t xml:space="preserve">online. </w:t>
      </w:r>
    </w:p>
    <w:p w14:paraId="6AEE5B0E" w14:textId="77777777" w:rsidR="001A3D2E" w:rsidRPr="00CC7E17" w:rsidRDefault="001A3D2E" w:rsidP="0009624B">
      <w:pPr>
        <w:pStyle w:val="Body"/>
        <w:spacing w:line="360" w:lineRule="auto"/>
        <w:rPr>
          <w:rFonts w:ascii="Arial" w:hAnsi="Arial" w:cs="Arial"/>
          <w:sz w:val="24"/>
          <w:szCs w:val="24"/>
        </w:rPr>
      </w:pPr>
    </w:p>
    <w:p w14:paraId="00A43060" w14:textId="137A80EF" w:rsidR="001A3D2E" w:rsidRPr="00CC7E17" w:rsidRDefault="001A3D2E" w:rsidP="0009624B">
      <w:pPr>
        <w:pStyle w:val="Body"/>
        <w:spacing w:line="360" w:lineRule="auto"/>
        <w:rPr>
          <w:rFonts w:ascii="Arial" w:hAnsi="Arial" w:cs="Arial"/>
          <w:sz w:val="24"/>
          <w:szCs w:val="24"/>
        </w:rPr>
      </w:pPr>
      <w:r w:rsidRPr="00CC7E17">
        <w:rPr>
          <w:rFonts w:ascii="Arial" w:hAnsi="Arial" w:cs="Arial"/>
          <w:sz w:val="24"/>
          <w:szCs w:val="24"/>
        </w:rPr>
        <w:t>Next</w:t>
      </w:r>
      <w:r w:rsidR="00966B04" w:rsidRPr="00CC7E17">
        <w:rPr>
          <w:rFonts w:ascii="Arial" w:hAnsi="Arial" w:cs="Arial"/>
          <w:sz w:val="24"/>
          <w:szCs w:val="24"/>
        </w:rPr>
        <w:t>,</w:t>
      </w:r>
      <w:r w:rsidRPr="00CC7E17">
        <w:rPr>
          <w:rFonts w:ascii="Arial" w:hAnsi="Arial" w:cs="Arial"/>
          <w:sz w:val="24"/>
          <w:szCs w:val="24"/>
        </w:rPr>
        <w:t xml:space="preserve"> it was determined </w:t>
      </w:r>
      <w:r w:rsidR="004C7D20" w:rsidRPr="00CC7E17">
        <w:rPr>
          <w:rFonts w:ascii="Arial" w:hAnsi="Arial" w:cs="Arial"/>
          <w:sz w:val="24"/>
          <w:szCs w:val="24"/>
        </w:rPr>
        <w:t>that it would be helpful for</w:t>
      </w:r>
      <w:r w:rsidR="00966B04" w:rsidRPr="00CC7E17">
        <w:rPr>
          <w:rFonts w:ascii="Arial" w:hAnsi="Arial" w:cs="Arial"/>
          <w:sz w:val="24"/>
          <w:szCs w:val="24"/>
        </w:rPr>
        <w:t xml:space="preserve"> certain</w:t>
      </w:r>
      <w:r w:rsidR="004C7D20" w:rsidRPr="00CC7E17">
        <w:rPr>
          <w:rFonts w:ascii="Arial" w:hAnsi="Arial" w:cs="Arial"/>
          <w:sz w:val="24"/>
          <w:szCs w:val="24"/>
        </w:rPr>
        <w:t xml:space="preserve"> data to be pulled directly from the PLUS database. Articles within the PLUS database are tagged with a variety of information including disciplines, indexing terms and information about populations contained within the article. In the paper-based model, this information was extracted by hand, which </w:t>
      </w:r>
      <w:r w:rsidR="00BE064E" w:rsidRPr="00CC7E17">
        <w:rPr>
          <w:rFonts w:ascii="Arial" w:hAnsi="Arial" w:cs="Arial"/>
          <w:sz w:val="24"/>
          <w:szCs w:val="24"/>
        </w:rPr>
        <w:t>is</w:t>
      </w:r>
      <w:r w:rsidR="004C7D20" w:rsidRPr="00CC7E17">
        <w:rPr>
          <w:rFonts w:ascii="Arial" w:hAnsi="Arial" w:cs="Arial"/>
          <w:sz w:val="24"/>
          <w:szCs w:val="24"/>
        </w:rPr>
        <w:t xml:space="preserve"> laborious and prone to error. The HiRU technical team was able to help define which fields </w:t>
      </w:r>
      <w:r w:rsidR="00966B04" w:rsidRPr="00CC7E17">
        <w:rPr>
          <w:rFonts w:ascii="Arial" w:hAnsi="Arial" w:cs="Arial"/>
          <w:sz w:val="24"/>
          <w:szCs w:val="24"/>
        </w:rPr>
        <w:t xml:space="preserve">could </w:t>
      </w:r>
      <w:r w:rsidR="004C7D20" w:rsidRPr="00CC7E17">
        <w:rPr>
          <w:rFonts w:ascii="Arial" w:hAnsi="Arial" w:cs="Arial"/>
          <w:sz w:val="24"/>
          <w:szCs w:val="24"/>
        </w:rPr>
        <w:t>be pulled directly from the</w:t>
      </w:r>
      <w:r w:rsidR="00A50237">
        <w:rPr>
          <w:rFonts w:ascii="Arial" w:hAnsi="Arial" w:cs="Arial"/>
          <w:sz w:val="24"/>
          <w:szCs w:val="24"/>
        </w:rPr>
        <w:t xml:space="preserve"> </w:t>
      </w:r>
      <w:r w:rsidR="004C7D20" w:rsidRPr="00CC7E17">
        <w:rPr>
          <w:rFonts w:ascii="Arial" w:hAnsi="Arial" w:cs="Arial"/>
          <w:sz w:val="24"/>
          <w:szCs w:val="24"/>
        </w:rPr>
        <w:t xml:space="preserve">PLUS database. These fields have been noted in </w:t>
      </w:r>
      <w:r w:rsidR="00A43D10" w:rsidRPr="00CC7E17">
        <w:rPr>
          <w:rFonts w:ascii="Arial" w:hAnsi="Arial" w:cs="Arial"/>
          <w:sz w:val="24"/>
          <w:szCs w:val="24"/>
        </w:rPr>
        <w:t>Table 1</w:t>
      </w:r>
      <w:r w:rsidR="004C7D20" w:rsidRPr="00CC7E17">
        <w:rPr>
          <w:rFonts w:ascii="Arial" w:hAnsi="Arial" w:cs="Arial"/>
          <w:sz w:val="24"/>
          <w:szCs w:val="24"/>
        </w:rPr>
        <w:t>.</w:t>
      </w:r>
    </w:p>
    <w:p w14:paraId="2D17205C" w14:textId="77777777" w:rsidR="004C7D20" w:rsidRPr="00CC7E17" w:rsidRDefault="004C7D20" w:rsidP="0009624B">
      <w:pPr>
        <w:pStyle w:val="Body"/>
        <w:spacing w:line="360" w:lineRule="auto"/>
        <w:rPr>
          <w:rFonts w:ascii="Arial" w:hAnsi="Arial" w:cs="Arial"/>
          <w:sz w:val="24"/>
          <w:szCs w:val="24"/>
        </w:rPr>
      </w:pPr>
    </w:p>
    <w:p w14:paraId="6B413DDD" w14:textId="5DB0FA42" w:rsidR="004C7D20" w:rsidRPr="00CC7E17" w:rsidRDefault="004C7D20" w:rsidP="0009624B">
      <w:pPr>
        <w:pStyle w:val="Body"/>
        <w:spacing w:line="360" w:lineRule="auto"/>
        <w:rPr>
          <w:rFonts w:ascii="Arial" w:hAnsi="Arial" w:cs="Arial"/>
          <w:sz w:val="24"/>
          <w:szCs w:val="24"/>
        </w:rPr>
      </w:pPr>
      <w:r w:rsidRPr="00CC7E17">
        <w:rPr>
          <w:rFonts w:ascii="Arial" w:hAnsi="Arial" w:cs="Arial"/>
          <w:sz w:val="24"/>
          <w:szCs w:val="24"/>
        </w:rPr>
        <w:t xml:space="preserve">The next feature that was deemed necessary was to allow for a single step input of information. Previously, it had been necessary to re-enter information from a paper-based extraction form into an </w:t>
      </w:r>
      <w:r w:rsidR="005937FF" w:rsidRPr="00CC7E17">
        <w:rPr>
          <w:rFonts w:ascii="Arial" w:hAnsi="Arial" w:cs="Arial"/>
          <w:sz w:val="24"/>
          <w:szCs w:val="24"/>
        </w:rPr>
        <w:t>E</w:t>
      </w:r>
      <w:r w:rsidRPr="00CC7E17">
        <w:rPr>
          <w:rFonts w:ascii="Arial" w:hAnsi="Arial" w:cs="Arial"/>
          <w:sz w:val="24"/>
          <w:szCs w:val="24"/>
        </w:rPr>
        <w:t>xcel spreadsheet which acted as a database. This process was prone to transcription error.</w:t>
      </w:r>
      <w:r w:rsidR="00A50237">
        <w:rPr>
          <w:rFonts w:ascii="Arial" w:hAnsi="Arial" w:cs="Arial"/>
          <w:sz w:val="24"/>
          <w:szCs w:val="24"/>
        </w:rPr>
        <w:t xml:space="preserve"> </w:t>
      </w:r>
      <w:r w:rsidR="00BE064E" w:rsidRPr="00CC7E17">
        <w:rPr>
          <w:rFonts w:ascii="Arial" w:hAnsi="Arial" w:cs="Arial"/>
          <w:sz w:val="24"/>
          <w:szCs w:val="24"/>
        </w:rPr>
        <w:t>T</w:t>
      </w:r>
      <w:r w:rsidRPr="00CC7E17">
        <w:rPr>
          <w:rFonts w:ascii="Arial" w:hAnsi="Arial" w:cs="Arial"/>
          <w:sz w:val="24"/>
          <w:szCs w:val="24"/>
        </w:rPr>
        <w:t xml:space="preserve">o reduce this error, we dictated that the process of entering information should only </w:t>
      </w:r>
      <w:r w:rsidR="00BE064E" w:rsidRPr="00CC7E17">
        <w:rPr>
          <w:rFonts w:ascii="Arial" w:hAnsi="Arial" w:cs="Arial"/>
          <w:sz w:val="24"/>
          <w:szCs w:val="24"/>
        </w:rPr>
        <w:t>be done</w:t>
      </w:r>
      <w:r w:rsidRPr="00CC7E17">
        <w:rPr>
          <w:rFonts w:ascii="Arial" w:hAnsi="Arial" w:cs="Arial"/>
          <w:sz w:val="24"/>
          <w:szCs w:val="24"/>
        </w:rPr>
        <w:t xml:space="preserve"> once. </w:t>
      </w:r>
    </w:p>
    <w:p w14:paraId="36F22442" w14:textId="77777777" w:rsidR="00966B04" w:rsidRPr="00CC7E17" w:rsidRDefault="00966B04" w:rsidP="0009624B">
      <w:pPr>
        <w:pStyle w:val="Body"/>
        <w:spacing w:line="360" w:lineRule="auto"/>
        <w:rPr>
          <w:rFonts w:ascii="Arial" w:hAnsi="Arial" w:cs="Arial"/>
          <w:sz w:val="24"/>
          <w:szCs w:val="24"/>
        </w:rPr>
      </w:pPr>
    </w:p>
    <w:p w14:paraId="537AF33E" w14:textId="63837DEE" w:rsidR="004C7D20" w:rsidRPr="00CC7E17" w:rsidRDefault="004C7D20" w:rsidP="0009624B">
      <w:pPr>
        <w:pStyle w:val="Body"/>
        <w:spacing w:line="360" w:lineRule="auto"/>
        <w:rPr>
          <w:rFonts w:ascii="Arial" w:hAnsi="Arial" w:cs="Arial"/>
          <w:sz w:val="24"/>
          <w:szCs w:val="24"/>
        </w:rPr>
      </w:pPr>
      <w:r w:rsidRPr="00CC7E17">
        <w:rPr>
          <w:rFonts w:ascii="Arial" w:hAnsi="Arial" w:cs="Arial"/>
          <w:sz w:val="24"/>
          <w:szCs w:val="24"/>
        </w:rPr>
        <w:t xml:space="preserve">Another useful </w:t>
      </w:r>
      <w:r w:rsidR="00E07E27" w:rsidRPr="00CC7E17">
        <w:rPr>
          <w:rFonts w:ascii="Arial" w:hAnsi="Arial" w:cs="Arial"/>
          <w:sz w:val="24"/>
          <w:szCs w:val="24"/>
        </w:rPr>
        <w:t>feature that we thought would save a large amount of time</w:t>
      </w:r>
      <w:r w:rsidRPr="00CC7E17">
        <w:rPr>
          <w:rFonts w:ascii="Arial" w:hAnsi="Arial" w:cs="Arial"/>
          <w:sz w:val="24"/>
          <w:szCs w:val="24"/>
        </w:rPr>
        <w:t xml:space="preserve"> was direct access to the PDF version of articles through the </w:t>
      </w:r>
      <w:r w:rsidR="00AA5748" w:rsidRPr="00CC7E17">
        <w:rPr>
          <w:rFonts w:ascii="Arial" w:hAnsi="Arial" w:cs="Arial"/>
          <w:sz w:val="24"/>
          <w:szCs w:val="24"/>
        </w:rPr>
        <w:t>extractor interface</w:t>
      </w:r>
      <w:r w:rsidR="00C9632D">
        <w:rPr>
          <w:rFonts w:ascii="Arial" w:hAnsi="Arial" w:cs="Arial"/>
          <w:sz w:val="24"/>
          <w:szCs w:val="24"/>
        </w:rPr>
        <w:t>.</w:t>
      </w:r>
      <w:r w:rsidRPr="00CC7E17">
        <w:rPr>
          <w:rFonts w:ascii="Arial" w:hAnsi="Arial" w:cs="Arial"/>
          <w:sz w:val="24"/>
          <w:szCs w:val="24"/>
        </w:rPr>
        <w:t xml:space="preserve"> Previously, each article that had been selected for inclusion in the </w:t>
      </w:r>
      <w:r w:rsidR="00AA5748" w:rsidRPr="00CC7E17">
        <w:rPr>
          <w:rFonts w:ascii="Arial" w:hAnsi="Arial" w:cs="Arial"/>
          <w:sz w:val="24"/>
          <w:szCs w:val="24"/>
        </w:rPr>
        <w:t>BRiskeT</w:t>
      </w:r>
      <w:r w:rsidRPr="00CC7E17">
        <w:rPr>
          <w:rFonts w:ascii="Arial" w:hAnsi="Arial" w:cs="Arial"/>
          <w:sz w:val="24"/>
          <w:szCs w:val="24"/>
        </w:rPr>
        <w:t xml:space="preserve"> database had to be searched </w:t>
      </w:r>
      <w:r w:rsidR="00BE064E" w:rsidRPr="00CC7E17">
        <w:rPr>
          <w:rFonts w:ascii="Arial" w:hAnsi="Arial" w:cs="Arial"/>
          <w:sz w:val="24"/>
          <w:szCs w:val="24"/>
        </w:rPr>
        <w:t>in</w:t>
      </w:r>
      <w:r w:rsidRPr="00CC7E17">
        <w:rPr>
          <w:rFonts w:ascii="Arial" w:hAnsi="Arial" w:cs="Arial"/>
          <w:sz w:val="24"/>
          <w:szCs w:val="24"/>
        </w:rPr>
        <w:t xml:space="preserve"> PubMed. After this the articles had to be saved as a PDF in folders organized by discipline. This process was very time consuming. </w:t>
      </w:r>
      <w:r w:rsidR="00BE064E" w:rsidRPr="00CC7E17">
        <w:rPr>
          <w:rFonts w:ascii="Arial" w:hAnsi="Arial" w:cs="Arial"/>
          <w:sz w:val="24"/>
          <w:szCs w:val="24"/>
        </w:rPr>
        <w:t>T</w:t>
      </w:r>
      <w:r w:rsidRPr="00CC7E17">
        <w:rPr>
          <w:rFonts w:ascii="Arial" w:hAnsi="Arial" w:cs="Arial"/>
          <w:sz w:val="24"/>
          <w:szCs w:val="24"/>
        </w:rPr>
        <w:t>o change this, we requested that the extractor interface display a link directly to the full PDF.</w:t>
      </w:r>
    </w:p>
    <w:p w14:paraId="3199B8BD" w14:textId="77777777" w:rsidR="004C7D20" w:rsidRPr="00CC7E17" w:rsidRDefault="004C7D20" w:rsidP="0009624B">
      <w:pPr>
        <w:pStyle w:val="Body"/>
        <w:spacing w:line="360" w:lineRule="auto"/>
        <w:rPr>
          <w:rFonts w:ascii="Arial" w:hAnsi="Arial" w:cs="Arial"/>
          <w:sz w:val="24"/>
          <w:szCs w:val="24"/>
        </w:rPr>
      </w:pPr>
    </w:p>
    <w:p w14:paraId="7150F00B" w14:textId="2D3476D4" w:rsidR="004C7D20" w:rsidRPr="00CC7E17" w:rsidRDefault="004C7D20" w:rsidP="0009624B">
      <w:pPr>
        <w:pStyle w:val="Body"/>
        <w:spacing w:line="360" w:lineRule="auto"/>
        <w:rPr>
          <w:rFonts w:ascii="Arial" w:hAnsi="Arial" w:cs="Arial"/>
          <w:sz w:val="24"/>
          <w:szCs w:val="24"/>
        </w:rPr>
      </w:pPr>
      <w:r w:rsidRPr="00CC7E17">
        <w:rPr>
          <w:rFonts w:ascii="Arial" w:hAnsi="Arial" w:cs="Arial"/>
          <w:sz w:val="24"/>
          <w:szCs w:val="24"/>
        </w:rPr>
        <w:t xml:space="preserve">Lastly, although the idea was thought of in </w:t>
      </w:r>
      <w:r w:rsidR="00AA5748" w:rsidRPr="00CC7E17">
        <w:rPr>
          <w:rFonts w:ascii="Arial" w:hAnsi="Arial" w:cs="Arial"/>
          <w:sz w:val="24"/>
          <w:szCs w:val="24"/>
        </w:rPr>
        <w:t>BRiskeT</w:t>
      </w:r>
      <w:r w:rsidRPr="00CC7E17">
        <w:rPr>
          <w:rFonts w:ascii="Arial" w:hAnsi="Arial" w:cs="Arial"/>
          <w:sz w:val="24"/>
          <w:szCs w:val="24"/>
        </w:rPr>
        <w:t xml:space="preserve">’s infancy, HiRU </w:t>
      </w:r>
      <w:r w:rsidR="00BE064E" w:rsidRPr="00CC7E17">
        <w:rPr>
          <w:rFonts w:ascii="Arial" w:hAnsi="Arial" w:cs="Arial"/>
          <w:sz w:val="24"/>
          <w:szCs w:val="24"/>
        </w:rPr>
        <w:t>provided</w:t>
      </w:r>
      <w:r w:rsidRPr="00CC7E17">
        <w:rPr>
          <w:rFonts w:ascii="Arial" w:hAnsi="Arial" w:cs="Arial"/>
          <w:sz w:val="24"/>
          <w:szCs w:val="24"/>
        </w:rPr>
        <w:t xml:space="preserve"> tools to allow for SNOMED disease code indexing within </w:t>
      </w:r>
      <w:r w:rsidR="00AA5748" w:rsidRPr="00CC7E17">
        <w:rPr>
          <w:rFonts w:ascii="Arial" w:hAnsi="Arial" w:cs="Arial"/>
          <w:sz w:val="24"/>
          <w:szCs w:val="24"/>
        </w:rPr>
        <w:t>BRiskeT</w:t>
      </w:r>
      <w:r w:rsidRPr="00CC7E17">
        <w:rPr>
          <w:rFonts w:ascii="Arial" w:hAnsi="Arial" w:cs="Arial"/>
          <w:sz w:val="24"/>
          <w:szCs w:val="24"/>
        </w:rPr>
        <w:t xml:space="preserve">. SNOMED is </w:t>
      </w:r>
      <w:r w:rsidR="006422A7" w:rsidRPr="00CC7E17">
        <w:rPr>
          <w:rFonts w:ascii="Arial" w:hAnsi="Arial" w:cs="Arial"/>
          <w:sz w:val="24"/>
          <w:szCs w:val="24"/>
        </w:rPr>
        <w:t xml:space="preserve">a codified set of clinical </w:t>
      </w:r>
      <w:r w:rsidR="00E07E27" w:rsidRPr="00CC7E17">
        <w:rPr>
          <w:rFonts w:ascii="Arial" w:hAnsi="Arial" w:cs="Arial"/>
          <w:sz w:val="24"/>
          <w:szCs w:val="24"/>
        </w:rPr>
        <w:t>terminology that</w:t>
      </w:r>
      <w:r w:rsidR="006422A7" w:rsidRPr="00CC7E17">
        <w:rPr>
          <w:rFonts w:ascii="Arial" w:hAnsi="Arial" w:cs="Arial"/>
          <w:sz w:val="24"/>
          <w:szCs w:val="24"/>
        </w:rPr>
        <w:t xml:space="preserve"> allows for a standard code to apply to medical terms (Allones, 2014). Previously, all conditions and sub</w:t>
      </w:r>
      <w:r w:rsidR="00090822">
        <w:rPr>
          <w:rFonts w:ascii="Arial" w:hAnsi="Arial" w:cs="Arial"/>
          <w:sz w:val="24"/>
          <w:szCs w:val="24"/>
        </w:rPr>
        <w:t>-</w:t>
      </w:r>
      <w:r w:rsidR="006422A7" w:rsidRPr="00CC7E17">
        <w:rPr>
          <w:rFonts w:ascii="Arial" w:hAnsi="Arial" w:cs="Arial"/>
          <w:sz w:val="24"/>
          <w:szCs w:val="24"/>
        </w:rPr>
        <w:t>conditions were described using their names. These names are often interchangeable with other terms, which makes indexing difficult</w:t>
      </w:r>
      <w:r w:rsidR="005937FF" w:rsidRPr="00CC7E17">
        <w:rPr>
          <w:rFonts w:ascii="Arial" w:hAnsi="Arial" w:cs="Arial"/>
          <w:sz w:val="24"/>
          <w:szCs w:val="24"/>
        </w:rPr>
        <w:t xml:space="preserve"> and inconsistent</w:t>
      </w:r>
      <w:r w:rsidR="006422A7" w:rsidRPr="00CC7E17">
        <w:rPr>
          <w:rFonts w:ascii="Arial" w:hAnsi="Arial" w:cs="Arial"/>
          <w:sz w:val="24"/>
          <w:szCs w:val="24"/>
        </w:rPr>
        <w:t xml:space="preserve">. </w:t>
      </w:r>
      <w:r w:rsidR="005937FF" w:rsidRPr="00CC7E17">
        <w:rPr>
          <w:rFonts w:ascii="Arial" w:hAnsi="Arial" w:cs="Arial"/>
          <w:sz w:val="24"/>
          <w:szCs w:val="24"/>
        </w:rPr>
        <w:t>T</w:t>
      </w:r>
      <w:r w:rsidR="006422A7" w:rsidRPr="00CC7E17">
        <w:rPr>
          <w:rFonts w:ascii="Arial" w:hAnsi="Arial" w:cs="Arial"/>
          <w:sz w:val="24"/>
          <w:szCs w:val="24"/>
        </w:rPr>
        <w:t xml:space="preserve">o </w:t>
      </w:r>
      <w:r w:rsidR="00966B04" w:rsidRPr="00CC7E17">
        <w:rPr>
          <w:rFonts w:ascii="Arial" w:hAnsi="Arial" w:cs="Arial"/>
          <w:sz w:val="24"/>
          <w:szCs w:val="24"/>
        </w:rPr>
        <w:t>translate</w:t>
      </w:r>
      <w:r w:rsidR="006422A7" w:rsidRPr="00CC7E17">
        <w:rPr>
          <w:rFonts w:ascii="Arial" w:hAnsi="Arial" w:cs="Arial"/>
          <w:sz w:val="24"/>
          <w:szCs w:val="24"/>
        </w:rPr>
        <w:t xml:space="preserve"> these condition names into SNOMED codes, it was necessary to look up each disease name for an associated SNOMED number. </w:t>
      </w:r>
      <w:r w:rsidR="00BE064E" w:rsidRPr="00CC7E17">
        <w:rPr>
          <w:rFonts w:ascii="Arial" w:hAnsi="Arial" w:cs="Arial"/>
          <w:sz w:val="24"/>
          <w:szCs w:val="24"/>
        </w:rPr>
        <w:t>T</w:t>
      </w:r>
      <w:r w:rsidR="006422A7" w:rsidRPr="00CC7E17">
        <w:rPr>
          <w:rFonts w:ascii="Arial" w:hAnsi="Arial" w:cs="Arial"/>
          <w:sz w:val="24"/>
          <w:szCs w:val="24"/>
        </w:rPr>
        <w:t>o speed up this process, we incorporated HiRU’s SNOMED tool, which allows the user to search disease names and provides related diseases and their associated SNOMED numbers.</w:t>
      </w:r>
    </w:p>
    <w:p w14:paraId="2985D5F2" w14:textId="77777777" w:rsidR="0013048B" w:rsidRPr="00CC7E17" w:rsidRDefault="0013048B" w:rsidP="0009624B">
      <w:pPr>
        <w:pStyle w:val="Body"/>
        <w:spacing w:line="360" w:lineRule="auto"/>
        <w:rPr>
          <w:rFonts w:ascii="Arial" w:hAnsi="Arial" w:cs="Arial"/>
          <w:sz w:val="24"/>
          <w:szCs w:val="24"/>
        </w:rPr>
      </w:pPr>
    </w:p>
    <w:p w14:paraId="56039630" w14:textId="28F98C0A" w:rsidR="00AF55E5" w:rsidRPr="00CC7E17" w:rsidRDefault="004B5775" w:rsidP="0009624B">
      <w:pPr>
        <w:pStyle w:val="Heading4"/>
        <w:spacing w:line="360" w:lineRule="auto"/>
        <w:rPr>
          <w:rFonts w:ascii="Arial" w:hAnsi="Arial" w:cs="Arial"/>
        </w:rPr>
      </w:pPr>
      <w:r w:rsidRPr="00CC7E17">
        <w:rPr>
          <w:rFonts w:ascii="Arial" w:hAnsi="Arial" w:cs="Arial"/>
        </w:rPr>
        <w:t>Modifications to the database schema</w:t>
      </w:r>
    </w:p>
    <w:p w14:paraId="2CD2318D" w14:textId="4D978F27" w:rsidR="00B26779" w:rsidRPr="00CC7E17" w:rsidRDefault="00DE3375" w:rsidP="0009624B">
      <w:pPr>
        <w:pStyle w:val="Body"/>
        <w:spacing w:line="360" w:lineRule="auto"/>
        <w:rPr>
          <w:rFonts w:ascii="Arial" w:hAnsi="Arial" w:cs="Arial"/>
          <w:sz w:val="24"/>
          <w:szCs w:val="24"/>
        </w:rPr>
      </w:pPr>
      <w:r w:rsidRPr="00CC7E17">
        <w:rPr>
          <w:rFonts w:ascii="Arial" w:hAnsi="Arial" w:cs="Arial"/>
          <w:sz w:val="24"/>
          <w:szCs w:val="24"/>
        </w:rPr>
        <w:t>Following the development of a feature list, the database schema</w:t>
      </w:r>
      <w:r w:rsidR="00D707B6" w:rsidRPr="00CC7E17">
        <w:rPr>
          <w:rFonts w:ascii="Arial" w:hAnsi="Arial" w:cs="Arial"/>
          <w:sz w:val="24"/>
          <w:szCs w:val="24"/>
        </w:rPr>
        <w:t xml:space="preserve"> that </w:t>
      </w:r>
      <w:r w:rsidR="00AF55E5" w:rsidRPr="00CC7E17">
        <w:rPr>
          <w:rFonts w:ascii="Arial" w:hAnsi="Arial" w:cs="Arial"/>
          <w:sz w:val="24"/>
          <w:szCs w:val="24"/>
        </w:rPr>
        <w:t xml:space="preserve">had been developed for the feasibility testing </w:t>
      </w:r>
      <w:r w:rsidR="00B26779" w:rsidRPr="00CC7E17">
        <w:rPr>
          <w:rFonts w:ascii="Arial" w:hAnsi="Arial" w:cs="Arial"/>
          <w:sz w:val="24"/>
          <w:szCs w:val="24"/>
        </w:rPr>
        <w:t>was remodelled</w:t>
      </w:r>
      <w:r w:rsidR="00305B47" w:rsidRPr="00CC7E17">
        <w:rPr>
          <w:rFonts w:ascii="Arial" w:hAnsi="Arial" w:cs="Arial"/>
          <w:sz w:val="24"/>
          <w:szCs w:val="24"/>
        </w:rPr>
        <w:t xml:space="preserve"> to allow </w:t>
      </w:r>
      <w:r w:rsidR="00EB34B1" w:rsidRPr="00CC7E17">
        <w:rPr>
          <w:rFonts w:ascii="Arial" w:hAnsi="Arial" w:cs="Arial"/>
          <w:sz w:val="24"/>
          <w:szCs w:val="24"/>
        </w:rPr>
        <w:t>for inc</w:t>
      </w:r>
      <w:r w:rsidR="009009E4" w:rsidRPr="00CC7E17">
        <w:rPr>
          <w:rFonts w:ascii="Arial" w:hAnsi="Arial" w:cs="Arial"/>
          <w:sz w:val="24"/>
          <w:szCs w:val="24"/>
        </w:rPr>
        <w:t>lusion of the necessary fields</w:t>
      </w:r>
      <w:r w:rsidR="004B5775" w:rsidRPr="00CC7E17">
        <w:rPr>
          <w:rFonts w:ascii="Arial" w:hAnsi="Arial" w:cs="Arial"/>
          <w:sz w:val="24"/>
          <w:szCs w:val="24"/>
        </w:rPr>
        <w:t xml:space="preserve">. </w:t>
      </w:r>
      <w:r w:rsidR="001A3D2E" w:rsidRPr="00CC7E17">
        <w:rPr>
          <w:rFonts w:ascii="Arial" w:hAnsi="Arial" w:cs="Arial"/>
          <w:sz w:val="24"/>
          <w:szCs w:val="24"/>
        </w:rPr>
        <w:t>The database schema represents the organization of information within a database</w:t>
      </w:r>
      <w:r w:rsidR="00834C7C" w:rsidRPr="00CC7E17">
        <w:rPr>
          <w:rFonts w:ascii="Arial" w:hAnsi="Arial" w:cs="Arial"/>
          <w:sz w:val="24"/>
          <w:szCs w:val="24"/>
        </w:rPr>
        <w:t>.</w:t>
      </w:r>
      <w:r w:rsidR="001A3D2E" w:rsidRPr="00CC7E17">
        <w:rPr>
          <w:rFonts w:ascii="Arial" w:hAnsi="Arial" w:cs="Arial"/>
          <w:sz w:val="24"/>
          <w:szCs w:val="24"/>
        </w:rPr>
        <w:t xml:space="preserve"> In the first iteration of the extraction process, the focus was largely on incorporating the </w:t>
      </w:r>
      <w:r w:rsidR="00495CC0" w:rsidRPr="00CC7E17">
        <w:rPr>
          <w:rFonts w:ascii="Arial" w:hAnsi="Arial" w:cs="Arial"/>
          <w:sz w:val="24"/>
          <w:szCs w:val="24"/>
        </w:rPr>
        <w:t>appropriate</w:t>
      </w:r>
      <w:r w:rsidR="001A3D2E" w:rsidRPr="00CC7E17">
        <w:rPr>
          <w:rFonts w:ascii="Arial" w:hAnsi="Arial" w:cs="Arial"/>
          <w:sz w:val="24"/>
          <w:szCs w:val="24"/>
        </w:rPr>
        <w:t xml:space="preserve"> </w:t>
      </w:r>
      <w:r w:rsidR="00A43D10" w:rsidRPr="00CC7E17">
        <w:rPr>
          <w:rFonts w:ascii="Arial" w:hAnsi="Arial" w:cs="Arial"/>
          <w:sz w:val="24"/>
          <w:szCs w:val="24"/>
        </w:rPr>
        <w:t xml:space="preserve">number </w:t>
      </w:r>
      <w:r w:rsidR="001A3D2E" w:rsidRPr="00CC7E17">
        <w:rPr>
          <w:rFonts w:ascii="Arial" w:hAnsi="Arial" w:cs="Arial"/>
          <w:sz w:val="24"/>
          <w:szCs w:val="24"/>
        </w:rPr>
        <w:t>of fields. The correct number of fields would allow any person to easily interpret the information presented.</w:t>
      </w:r>
      <w:r w:rsidR="009009E4" w:rsidRPr="00CC7E17">
        <w:rPr>
          <w:rFonts w:ascii="Arial" w:hAnsi="Arial" w:cs="Arial"/>
          <w:sz w:val="24"/>
          <w:szCs w:val="24"/>
        </w:rPr>
        <w:t xml:space="preserve"> We began </w:t>
      </w:r>
      <w:r w:rsidR="00495CC0" w:rsidRPr="00CC7E17">
        <w:rPr>
          <w:rFonts w:ascii="Arial" w:hAnsi="Arial" w:cs="Arial"/>
          <w:sz w:val="24"/>
          <w:szCs w:val="24"/>
        </w:rPr>
        <w:t xml:space="preserve">planning for the most appropriate fields </w:t>
      </w:r>
      <w:r w:rsidR="009009E4" w:rsidRPr="00CC7E17">
        <w:rPr>
          <w:rFonts w:ascii="Arial" w:hAnsi="Arial" w:cs="Arial"/>
          <w:sz w:val="24"/>
          <w:szCs w:val="24"/>
        </w:rPr>
        <w:t>with the schema that had been previously created for the feasibility study:</w:t>
      </w:r>
    </w:p>
    <w:p w14:paraId="03E4A086" w14:textId="74EEE754" w:rsidR="009009E4" w:rsidRPr="00CC7E17" w:rsidRDefault="009009E4" w:rsidP="0009624B">
      <w:pPr>
        <w:pStyle w:val="Body"/>
        <w:spacing w:line="360" w:lineRule="auto"/>
        <w:rPr>
          <w:rFonts w:ascii="Arial" w:hAnsi="Arial" w:cs="Arial"/>
          <w:sz w:val="24"/>
          <w:szCs w:val="24"/>
        </w:rPr>
      </w:pPr>
      <w:r w:rsidRPr="009E57CF">
        <w:rPr>
          <w:rFonts w:ascii="Arial" w:eastAsia="Arial" w:hAnsi="Arial" w:cs="Arial"/>
          <w:noProof/>
          <w:lang w:val="en-US"/>
        </w:rPr>
        <w:drawing>
          <wp:inline distT="0" distB="0" distL="0" distR="0" wp14:anchorId="0C2D79A1" wp14:editId="6D4CC9D2">
            <wp:extent cx="5486400" cy="3894717"/>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13" cstate="email">
                      <a:extLst>
                        <a:ext uri="{28A0092B-C50C-407E-A947-70E740481C1C}">
                          <a14:useLocalDpi xmlns:a14="http://schemas.microsoft.com/office/drawing/2010/main"/>
                        </a:ext>
                      </a:extLst>
                    </a:blip>
                    <a:stretch>
                      <a:fillRect/>
                    </a:stretch>
                  </pic:blipFill>
                  <pic:spPr>
                    <a:xfrm>
                      <a:off x="0" y="0"/>
                      <a:ext cx="5486400" cy="3894717"/>
                    </a:xfrm>
                    <a:prstGeom prst="rect">
                      <a:avLst/>
                    </a:prstGeom>
                    <a:ln w="12700" cap="flat">
                      <a:noFill/>
                      <a:miter lim="400000"/>
                    </a:ln>
                    <a:effectLst/>
                  </pic:spPr>
                </pic:pic>
              </a:graphicData>
            </a:graphic>
          </wp:inline>
        </w:drawing>
      </w:r>
    </w:p>
    <w:p w14:paraId="62A5A00E" w14:textId="3DB26B62" w:rsidR="00AF55E5" w:rsidRPr="00CC7E17" w:rsidRDefault="00A43D10" w:rsidP="0009624B">
      <w:pPr>
        <w:pStyle w:val="Caption"/>
        <w:spacing w:line="360" w:lineRule="auto"/>
        <w:rPr>
          <w:rFonts w:ascii="Arial" w:hAnsi="Arial" w:cs="Arial"/>
          <w:sz w:val="24"/>
          <w:szCs w:val="24"/>
        </w:rPr>
      </w:pPr>
      <w:bookmarkStart w:id="21" w:name="_Toc286417153"/>
      <w:r w:rsidRPr="00CC7E17">
        <w:rPr>
          <w:rFonts w:ascii="Arial" w:hAnsi="Arial" w:cs="Arial"/>
        </w:rPr>
        <w:t xml:space="preserve">Figure </w:t>
      </w:r>
      <w:r w:rsidRPr="009E57CF">
        <w:rPr>
          <w:rFonts w:ascii="Arial" w:hAnsi="Arial" w:cs="Arial"/>
        </w:rPr>
        <w:fldChar w:fldCharType="begin"/>
      </w:r>
      <w:r w:rsidRPr="00CC7E17">
        <w:rPr>
          <w:rFonts w:ascii="Arial" w:hAnsi="Arial" w:cs="Arial"/>
        </w:rPr>
        <w:instrText xml:space="preserve"> SEQ Figure \* ARABIC </w:instrText>
      </w:r>
      <w:r w:rsidRPr="009E57CF">
        <w:rPr>
          <w:rFonts w:ascii="Arial" w:hAnsi="Arial" w:cs="Arial"/>
        </w:rPr>
        <w:fldChar w:fldCharType="separate"/>
      </w:r>
      <w:r w:rsidRPr="00CC7E17">
        <w:rPr>
          <w:rFonts w:ascii="Arial" w:hAnsi="Arial" w:cs="Arial"/>
          <w:noProof/>
        </w:rPr>
        <w:t>1</w:t>
      </w:r>
      <w:r w:rsidRPr="009E57CF">
        <w:rPr>
          <w:rFonts w:ascii="Arial" w:hAnsi="Arial" w:cs="Arial"/>
        </w:rPr>
        <w:fldChar w:fldCharType="end"/>
      </w:r>
      <w:r w:rsidR="00AF55E5" w:rsidRPr="00CC7E17">
        <w:rPr>
          <w:rFonts w:ascii="Arial" w:hAnsi="Arial" w:cs="Arial"/>
        </w:rPr>
        <w:t>: feasibility testing database schema</w:t>
      </w:r>
      <w:bookmarkEnd w:id="21"/>
    </w:p>
    <w:p w14:paraId="35E76584" w14:textId="77777777" w:rsidR="009009E4" w:rsidRPr="00CC7E17" w:rsidRDefault="009009E4" w:rsidP="0009624B">
      <w:pPr>
        <w:pStyle w:val="Body"/>
        <w:spacing w:line="360" w:lineRule="auto"/>
        <w:rPr>
          <w:rFonts w:ascii="Arial" w:hAnsi="Arial" w:cs="Arial"/>
          <w:sz w:val="24"/>
          <w:szCs w:val="24"/>
        </w:rPr>
      </w:pPr>
    </w:p>
    <w:p w14:paraId="684C2D46" w14:textId="5B14C706" w:rsidR="00504A23" w:rsidRPr="00CC7E17" w:rsidRDefault="009009E4" w:rsidP="0009624B">
      <w:pPr>
        <w:pStyle w:val="Body"/>
        <w:spacing w:line="360" w:lineRule="auto"/>
        <w:rPr>
          <w:rFonts w:ascii="Arial" w:hAnsi="Arial" w:cs="Arial"/>
          <w:sz w:val="24"/>
          <w:szCs w:val="24"/>
        </w:rPr>
      </w:pPr>
      <w:r w:rsidRPr="00CC7E17">
        <w:rPr>
          <w:rFonts w:ascii="Arial" w:hAnsi="Arial" w:cs="Arial"/>
          <w:sz w:val="24"/>
          <w:szCs w:val="24"/>
        </w:rPr>
        <w:t>We clarif</w:t>
      </w:r>
      <w:r w:rsidR="00C422CE" w:rsidRPr="00CC7E17">
        <w:rPr>
          <w:rFonts w:ascii="Arial" w:hAnsi="Arial" w:cs="Arial"/>
          <w:sz w:val="24"/>
          <w:szCs w:val="24"/>
        </w:rPr>
        <w:t>ied</w:t>
      </w:r>
      <w:r w:rsidRPr="00CC7E17">
        <w:rPr>
          <w:rFonts w:ascii="Arial" w:hAnsi="Arial" w:cs="Arial"/>
          <w:sz w:val="24"/>
          <w:szCs w:val="24"/>
        </w:rPr>
        <w:t xml:space="preserve"> the definitions of all fields and specif</w:t>
      </w:r>
      <w:r w:rsidR="00C422CE" w:rsidRPr="00CC7E17">
        <w:rPr>
          <w:rFonts w:ascii="Arial" w:hAnsi="Arial" w:cs="Arial"/>
          <w:sz w:val="24"/>
          <w:szCs w:val="24"/>
        </w:rPr>
        <w:t>ied</w:t>
      </w:r>
      <w:r w:rsidRPr="00CC7E17">
        <w:rPr>
          <w:rFonts w:ascii="Arial" w:hAnsi="Arial" w:cs="Arial"/>
          <w:sz w:val="24"/>
          <w:szCs w:val="24"/>
        </w:rPr>
        <w:t xml:space="preserve"> whether each field </w:t>
      </w:r>
      <w:r w:rsidR="00AF55E5" w:rsidRPr="00CC7E17">
        <w:rPr>
          <w:rFonts w:ascii="Arial" w:hAnsi="Arial" w:cs="Arial"/>
          <w:sz w:val="24"/>
          <w:szCs w:val="24"/>
        </w:rPr>
        <w:t>was</w:t>
      </w:r>
      <w:r w:rsidRPr="00CC7E17">
        <w:rPr>
          <w:rFonts w:ascii="Arial" w:hAnsi="Arial" w:cs="Arial"/>
          <w:sz w:val="24"/>
          <w:szCs w:val="24"/>
        </w:rPr>
        <w:t xml:space="preserve"> a text, numeric or alphanumeric field.</w:t>
      </w:r>
      <w:r w:rsidR="00A50237">
        <w:rPr>
          <w:rFonts w:ascii="Arial" w:hAnsi="Arial" w:cs="Arial"/>
          <w:sz w:val="24"/>
          <w:szCs w:val="24"/>
        </w:rPr>
        <w:t xml:space="preserve"> </w:t>
      </w:r>
      <w:r w:rsidRPr="00CC7E17">
        <w:rPr>
          <w:rFonts w:ascii="Arial" w:hAnsi="Arial" w:cs="Arial"/>
          <w:sz w:val="24"/>
          <w:szCs w:val="24"/>
        </w:rPr>
        <w:t xml:space="preserve">The </w:t>
      </w:r>
      <w:r w:rsidR="00504A23" w:rsidRPr="00CC7E17">
        <w:rPr>
          <w:rFonts w:ascii="Arial" w:hAnsi="Arial" w:cs="Arial"/>
          <w:sz w:val="24"/>
          <w:szCs w:val="24"/>
        </w:rPr>
        <w:t>details of these fields are</w:t>
      </w:r>
      <w:r w:rsidRPr="00CC7E17">
        <w:rPr>
          <w:rFonts w:ascii="Arial" w:hAnsi="Arial" w:cs="Arial"/>
          <w:sz w:val="24"/>
          <w:szCs w:val="24"/>
        </w:rPr>
        <w:t xml:space="preserve"> presented i</w:t>
      </w:r>
      <w:r w:rsidR="00682FCA" w:rsidRPr="00CC7E17">
        <w:rPr>
          <w:rFonts w:ascii="Arial" w:hAnsi="Arial" w:cs="Arial"/>
          <w:sz w:val="24"/>
          <w:szCs w:val="24"/>
        </w:rPr>
        <w:t xml:space="preserve">n </w:t>
      </w:r>
      <w:r w:rsidR="00614645" w:rsidRPr="009E57CF">
        <w:rPr>
          <w:rFonts w:ascii="Arial" w:hAnsi="Arial" w:cs="Arial"/>
        </w:rPr>
        <w:fldChar w:fldCharType="begin"/>
      </w:r>
      <w:r w:rsidR="00614645" w:rsidRPr="00CC7E17">
        <w:rPr>
          <w:rFonts w:ascii="Arial" w:hAnsi="Arial" w:cs="Arial"/>
          <w:sz w:val="24"/>
          <w:szCs w:val="24"/>
        </w:rPr>
        <w:instrText xml:space="preserve"> REF _Ref271784360 \h </w:instrText>
      </w:r>
      <w:r w:rsidR="0009624B" w:rsidRPr="00CC7E17">
        <w:rPr>
          <w:rFonts w:ascii="Arial" w:hAnsi="Arial" w:cs="Arial"/>
          <w:sz w:val="24"/>
          <w:szCs w:val="24"/>
        </w:rPr>
        <w:instrText xml:space="preserve"> \* MERGEFORMAT </w:instrText>
      </w:r>
      <w:r w:rsidR="00614645" w:rsidRPr="009E57CF">
        <w:rPr>
          <w:rFonts w:ascii="Arial" w:hAnsi="Arial" w:cs="Arial"/>
        </w:rPr>
      </w:r>
      <w:r w:rsidR="00614645" w:rsidRPr="009E57CF">
        <w:rPr>
          <w:rFonts w:ascii="Arial" w:hAnsi="Arial" w:cs="Arial"/>
        </w:rPr>
        <w:fldChar w:fldCharType="separate"/>
      </w:r>
      <w:r w:rsidR="00614645" w:rsidRPr="00CC7E17">
        <w:rPr>
          <w:rFonts w:ascii="Arial" w:hAnsi="Arial" w:cs="Arial"/>
        </w:rPr>
        <w:t>Appendix 3</w:t>
      </w:r>
      <w:r w:rsidR="00614645" w:rsidRPr="009E57CF">
        <w:rPr>
          <w:rFonts w:ascii="Arial" w:hAnsi="Arial" w:cs="Arial"/>
        </w:rPr>
        <w:fldChar w:fldCharType="end"/>
      </w:r>
      <w:r w:rsidR="00682FCA" w:rsidRPr="00CC7E17">
        <w:rPr>
          <w:rFonts w:ascii="Arial" w:hAnsi="Arial" w:cs="Arial"/>
          <w:sz w:val="24"/>
          <w:szCs w:val="24"/>
        </w:rPr>
        <w:t xml:space="preserve">. </w:t>
      </w:r>
      <w:r w:rsidR="005378EB" w:rsidRPr="00CC7E17">
        <w:rPr>
          <w:rFonts w:ascii="Arial" w:hAnsi="Arial" w:cs="Arial"/>
          <w:sz w:val="24"/>
          <w:szCs w:val="24"/>
        </w:rPr>
        <w:t>Figure 3</w:t>
      </w:r>
      <w:r w:rsidR="00682FCA" w:rsidRPr="00CC7E17">
        <w:rPr>
          <w:rFonts w:ascii="Arial" w:hAnsi="Arial" w:cs="Arial"/>
          <w:sz w:val="24"/>
          <w:szCs w:val="24"/>
        </w:rPr>
        <w:t xml:space="preserve"> reflects the changes made to the structure of the tables and the fields found therein</w:t>
      </w:r>
      <w:r w:rsidR="00DE3375" w:rsidRPr="00CC7E17">
        <w:rPr>
          <w:rFonts w:ascii="Arial" w:hAnsi="Arial" w:cs="Arial"/>
          <w:sz w:val="24"/>
          <w:szCs w:val="24"/>
        </w:rPr>
        <w:t xml:space="preserve"> in the first round of development</w:t>
      </w:r>
      <w:r w:rsidR="00682FCA" w:rsidRPr="00CC7E17">
        <w:rPr>
          <w:rFonts w:ascii="Arial" w:hAnsi="Arial" w:cs="Arial"/>
          <w:sz w:val="24"/>
          <w:szCs w:val="24"/>
        </w:rPr>
        <w:t>:</w:t>
      </w:r>
    </w:p>
    <w:p w14:paraId="2A69FE65" w14:textId="77777777" w:rsidR="009009E4" w:rsidRPr="00CC7E17" w:rsidRDefault="009009E4" w:rsidP="0009624B">
      <w:pPr>
        <w:pStyle w:val="Body"/>
        <w:spacing w:line="360" w:lineRule="auto"/>
        <w:rPr>
          <w:rFonts w:ascii="Arial" w:hAnsi="Arial" w:cs="Arial"/>
          <w:sz w:val="24"/>
          <w:szCs w:val="24"/>
        </w:rPr>
      </w:pPr>
    </w:p>
    <w:p w14:paraId="16C3C571" w14:textId="77777777" w:rsidR="00305B47" w:rsidRPr="00CC7E17" w:rsidRDefault="00EB34B1" w:rsidP="0009624B">
      <w:pPr>
        <w:pStyle w:val="Body"/>
        <w:spacing w:line="360" w:lineRule="auto"/>
        <w:rPr>
          <w:rFonts w:ascii="Arial" w:hAnsi="Arial" w:cs="Arial"/>
          <w:sz w:val="24"/>
          <w:szCs w:val="24"/>
        </w:rPr>
      </w:pPr>
      <w:r w:rsidRPr="009E57CF">
        <w:rPr>
          <w:rFonts w:ascii="Arial" w:eastAsia="Arial" w:hAnsi="Arial" w:cs="Arial"/>
          <w:noProof/>
          <w:lang w:val="en-US"/>
        </w:rPr>
        <w:drawing>
          <wp:inline distT="0" distB="0" distL="0" distR="0" wp14:anchorId="5F31D3C7" wp14:editId="1596529C">
            <wp:extent cx="4682490" cy="1824990"/>
            <wp:effectExtent l="0" t="0" r="0" b="3810"/>
            <wp:docPr id="3"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pic:nvPicPr>
                  <pic:blipFill>
                    <a:blip r:embed="rId14" cstate="email">
                      <a:extLst>
                        <a:ext uri="{28A0092B-C50C-407E-A947-70E740481C1C}">
                          <a14:useLocalDpi xmlns:a14="http://schemas.microsoft.com/office/drawing/2010/main"/>
                        </a:ext>
                      </a:extLst>
                    </a:blip>
                    <a:stretch>
                      <a:fillRect/>
                    </a:stretch>
                  </pic:blipFill>
                  <pic:spPr>
                    <a:xfrm>
                      <a:off x="0" y="0"/>
                      <a:ext cx="4683157" cy="1825250"/>
                    </a:xfrm>
                    <a:prstGeom prst="rect">
                      <a:avLst/>
                    </a:prstGeom>
                    <a:ln w="12700" cap="flat">
                      <a:noFill/>
                      <a:miter lim="400000"/>
                    </a:ln>
                    <a:effectLst/>
                  </pic:spPr>
                </pic:pic>
              </a:graphicData>
            </a:graphic>
          </wp:inline>
        </w:drawing>
      </w:r>
    </w:p>
    <w:p w14:paraId="42417751" w14:textId="511D1E91" w:rsidR="00AF55E5" w:rsidRPr="00CC7E17" w:rsidRDefault="00A43D10" w:rsidP="00ED7C8D">
      <w:pPr>
        <w:pStyle w:val="Caption"/>
        <w:spacing w:line="360" w:lineRule="auto"/>
      </w:pPr>
      <w:bookmarkStart w:id="22" w:name="_Toc286417154"/>
      <w:r w:rsidRPr="00CC7E17">
        <w:rPr>
          <w:rFonts w:ascii="Arial" w:hAnsi="Arial" w:cs="Arial"/>
        </w:rPr>
        <w:t xml:space="preserve">Figure </w:t>
      </w:r>
      <w:r w:rsidRPr="009E57CF">
        <w:rPr>
          <w:rFonts w:ascii="Arial" w:hAnsi="Arial" w:cs="Arial"/>
        </w:rPr>
        <w:fldChar w:fldCharType="begin"/>
      </w:r>
      <w:r w:rsidRPr="00CC7E17">
        <w:rPr>
          <w:rFonts w:ascii="Arial" w:hAnsi="Arial" w:cs="Arial"/>
        </w:rPr>
        <w:instrText xml:space="preserve"> SEQ Figure \* ARABIC </w:instrText>
      </w:r>
      <w:r w:rsidRPr="009E57CF">
        <w:rPr>
          <w:rFonts w:ascii="Arial" w:hAnsi="Arial" w:cs="Arial"/>
        </w:rPr>
        <w:fldChar w:fldCharType="separate"/>
      </w:r>
      <w:r w:rsidRPr="00CC7E17">
        <w:rPr>
          <w:rFonts w:ascii="Arial" w:hAnsi="Arial" w:cs="Arial"/>
          <w:noProof/>
        </w:rPr>
        <w:t>2</w:t>
      </w:r>
      <w:r w:rsidRPr="009E57CF">
        <w:rPr>
          <w:rFonts w:ascii="Arial" w:hAnsi="Arial" w:cs="Arial"/>
        </w:rPr>
        <w:fldChar w:fldCharType="end"/>
      </w:r>
      <w:r w:rsidR="00AF55E5" w:rsidRPr="00CC7E17">
        <w:rPr>
          <w:rFonts w:ascii="Arial" w:hAnsi="Arial" w:cs="Arial"/>
        </w:rPr>
        <w:t xml:space="preserve">: First iteration of </w:t>
      </w:r>
      <w:r w:rsidR="00EE02D4">
        <w:rPr>
          <w:rFonts w:ascii="Arial" w:hAnsi="Arial" w:cs="Arial"/>
        </w:rPr>
        <w:t xml:space="preserve">eform based </w:t>
      </w:r>
      <w:r w:rsidR="00AF55E5" w:rsidRPr="00CC7E17">
        <w:rPr>
          <w:rFonts w:ascii="Arial" w:hAnsi="Arial" w:cs="Arial"/>
        </w:rPr>
        <w:t>database schema</w:t>
      </w:r>
      <w:bookmarkEnd w:id="22"/>
    </w:p>
    <w:p w14:paraId="6E0DACF7" w14:textId="2CAD48F8" w:rsidR="004074DD" w:rsidRPr="00CC7E17" w:rsidRDefault="004074DD" w:rsidP="0009624B">
      <w:pPr>
        <w:pStyle w:val="Body"/>
        <w:spacing w:after="200" w:line="360" w:lineRule="auto"/>
        <w:rPr>
          <w:rFonts w:ascii="Arial" w:eastAsia="Cambria" w:hAnsi="Arial" w:cs="Arial"/>
          <w:sz w:val="24"/>
          <w:szCs w:val="24"/>
          <w:u w:color="000000"/>
          <w:lang w:val="en-US"/>
        </w:rPr>
      </w:pPr>
      <w:r w:rsidRPr="00CC7E17">
        <w:rPr>
          <w:rFonts w:ascii="Arial" w:hAnsi="Arial" w:cs="Arial"/>
          <w:sz w:val="24"/>
          <w:szCs w:val="24"/>
        </w:rPr>
        <w:t>The Tab</w:t>
      </w:r>
      <w:r w:rsidR="00682FCA" w:rsidRPr="00CC7E17">
        <w:rPr>
          <w:rFonts w:ascii="Arial" w:hAnsi="Arial" w:cs="Arial"/>
          <w:sz w:val="24"/>
          <w:szCs w:val="24"/>
        </w:rPr>
        <w:t xml:space="preserve">les in the Schema represent the </w:t>
      </w:r>
      <w:r w:rsidRPr="00CC7E17">
        <w:rPr>
          <w:rFonts w:ascii="Arial" w:hAnsi="Arial" w:cs="Arial"/>
          <w:sz w:val="24"/>
          <w:szCs w:val="24"/>
        </w:rPr>
        <w:t xml:space="preserve">general structure of the database. </w:t>
      </w:r>
      <w:r w:rsidR="00D707B6" w:rsidRPr="00CC7E17">
        <w:rPr>
          <w:rFonts w:ascii="Arial" w:hAnsi="Arial" w:cs="Arial"/>
          <w:sz w:val="24"/>
          <w:szCs w:val="24"/>
        </w:rPr>
        <w:t xml:space="preserve">The </w:t>
      </w:r>
      <w:r w:rsidRPr="00CC7E17">
        <w:rPr>
          <w:rFonts w:ascii="Arial" w:eastAsia="Cambria" w:hAnsi="Arial" w:cs="Arial"/>
          <w:bCs/>
          <w:sz w:val="24"/>
          <w:szCs w:val="24"/>
          <w:u w:color="000000"/>
        </w:rPr>
        <w:t>Main</w:t>
      </w:r>
      <w:r w:rsidRPr="00CC7E17">
        <w:rPr>
          <w:rFonts w:ascii="Arial" w:eastAsia="Cambria" w:hAnsi="Arial" w:cs="Arial"/>
          <w:sz w:val="24"/>
          <w:szCs w:val="24"/>
          <w:u w:color="000000"/>
          <w:lang w:val="en-US"/>
        </w:rPr>
        <w:t xml:space="preserve"> </w:t>
      </w:r>
      <w:r w:rsidR="00D707B6" w:rsidRPr="00CC7E17">
        <w:rPr>
          <w:rFonts w:ascii="Arial" w:eastAsia="Cambria" w:hAnsi="Arial" w:cs="Arial"/>
          <w:sz w:val="24"/>
          <w:szCs w:val="24"/>
          <w:u w:color="000000"/>
          <w:lang w:val="en-US"/>
        </w:rPr>
        <w:t xml:space="preserve">table </w:t>
      </w:r>
      <w:r w:rsidRPr="00CC7E17">
        <w:rPr>
          <w:rFonts w:ascii="Arial" w:eastAsia="Cambria" w:hAnsi="Arial" w:cs="Arial"/>
          <w:sz w:val="24"/>
          <w:szCs w:val="24"/>
          <w:u w:color="000000"/>
          <w:lang w:val="en-US"/>
        </w:rPr>
        <w:t xml:space="preserve">contains </w:t>
      </w:r>
      <w:r w:rsidR="00D707B6" w:rsidRPr="00CC7E17">
        <w:rPr>
          <w:rFonts w:ascii="Arial" w:eastAsia="Cambria" w:hAnsi="Arial" w:cs="Arial"/>
          <w:sz w:val="24"/>
          <w:szCs w:val="24"/>
          <w:u w:color="000000"/>
          <w:lang w:val="en-US"/>
        </w:rPr>
        <w:t>bibliographic as well as indexing-related</w:t>
      </w:r>
      <w:r w:rsidRPr="00CC7E17">
        <w:rPr>
          <w:rFonts w:ascii="Arial" w:eastAsia="Cambria" w:hAnsi="Arial" w:cs="Arial"/>
          <w:sz w:val="24"/>
          <w:szCs w:val="24"/>
          <w:u w:color="000000"/>
          <w:lang w:val="en-US"/>
        </w:rPr>
        <w:t xml:space="preserve"> information for articles from the PLUS system.</w:t>
      </w:r>
      <w:r w:rsidRPr="00CC7E17">
        <w:rPr>
          <w:rFonts w:ascii="Arial" w:eastAsia="Cambria" w:hAnsi="Arial" w:cs="Arial"/>
          <w:bCs/>
          <w:sz w:val="24"/>
          <w:szCs w:val="24"/>
          <w:u w:color="000000"/>
          <w:lang w:val="en-US"/>
        </w:rPr>
        <w:t xml:space="preserve"> </w:t>
      </w:r>
      <w:r w:rsidR="00682FCA" w:rsidRPr="00CC7E17">
        <w:rPr>
          <w:rFonts w:ascii="Arial" w:eastAsia="Cambria" w:hAnsi="Arial" w:cs="Arial"/>
          <w:bCs/>
          <w:sz w:val="24"/>
          <w:szCs w:val="24"/>
          <w:u w:color="000000"/>
          <w:lang w:val="en-US"/>
        </w:rPr>
        <w:t>The Eligibility</w:t>
      </w:r>
      <w:r w:rsidR="00957030" w:rsidRPr="00CC7E17">
        <w:rPr>
          <w:rFonts w:ascii="Arial" w:eastAsia="Cambria" w:hAnsi="Arial" w:cs="Arial"/>
          <w:bCs/>
          <w:sz w:val="24"/>
          <w:szCs w:val="24"/>
          <w:u w:color="000000"/>
          <w:lang w:val="en-US"/>
        </w:rPr>
        <w:t xml:space="preserve"> t</w:t>
      </w:r>
      <w:r w:rsidRPr="00CC7E17">
        <w:rPr>
          <w:rFonts w:ascii="Arial" w:eastAsia="Cambria" w:hAnsi="Arial" w:cs="Arial"/>
          <w:bCs/>
          <w:sz w:val="24"/>
          <w:szCs w:val="24"/>
          <w:u w:color="000000"/>
          <w:lang w:val="en-US"/>
        </w:rPr>
        <w:t>able</w:t>
      </w:r>
      <w:r w:rsidRPr="00CC7E17">
        <w:rPr>
          <w:rFonts w:ascii="Arial" w:eastAsia="Cambria" w:hAnsi="Arial" w:cs="Arial"/>
          <w:sz w:val="24"/>
          <w:szCs w:val="24"/>
          <w:u w:color="000000"/>
          <w:lang w:val="en-US"/>
        </w:rPr>
        <w:t xml:space="preserve"> determines if articles can be included into the database.</w:t>
      </w:r>
      <w:r w:rsidR="00957030" w:rsidRPr="00CC7E17">
        <w:rPr>
          <w:rFonts w:ascii="Arial" w:eastAsia="Cambria" w:hAnsi="Arial" w:cs="Arial"/>
          <w:sz w:val="24"/>
          <w:szCs w:val="24"/>
          <w:u w:color="000000"/>
          <w:lang w:val="en-US"/>
        </w:rPr>
        <w:t xml:space="preserve"> The D</w:t>
      </w:r>
      <w:r w:rsidR="00682FCA" w:rsidRPr="00CC7E17">
        <w:rPr>
          <w:rFonts w:ascii="Arial" w:eastAsia="Cambria" w:hAnsi="Arial" w:cs="Arial"/>
          <w:sz w:val="24"/>
          <w:szCs w:val="24"/>
          <w:u w:color="000000"/>
          <w:lang w:val="en-US"/>
        </w:rPr>
        <w:t>iscipline table</w:t>
      </w:r>
      <w:r w:rsidR="00957030" w:rsidRPr="00CC7E17">
        <w:rPr>
          <w:rFonts w:ascii="Arial" w:eastAsia="Cambria" w:hAnsi="Arial" w:cs="Arial"/>
          <w:sz w:val="24"/>
          <w:szCs w:val="24"/>
          <w:u w:color="000000"/>
          <w:lang w:val="en-US"/>
        </w:rPr>
        <w:t xml:space="preserve"> </w:t>
      </w:r>
      <w:r w:rsidR="00BE064E" w:rsidRPr="00CC7E17">
        <w:rPr>
          <w:rFonts w:ascii="Arial" w:eastAsia="Cambria" w:hAnsi="Arial" w:cs="Arial"/>
          <w:sz w:val="24"/>
          <w:szCs w:val="24"/>
          <w:u w:color="000000"/>
          <w:lang w:val="en-US"/>
        </w:rPr>
        <w:t>r</w:t>
      </w:r>
      <w:r w:rsidR="00957030" w:rsidRPr="00CC7E17">
        <w:rPr>
          <w:rFonts w:ascii="Arial" w:eastAsia="Cambria" w:hAnsi="Arial" w:cs="Arial"/>
          <w:sz w:val="24"/>
          <w:szCs w:val="24"/>
          <w:u w:color="000000"/>
          <w:lang w:val="en-US"/>
        </w:rPr>
        <w:t>elates</w:t>
      </w:r>
      <w:r w:rsidR="00DE3375" w:rsidRPr="00CC7E17">
        <w:rPr>
          <w:rFonts w:ascii="Arial" w:eastAsia="Cambria" w:hAnsi="Arial" w:cs="Arial"/>
          <w:sz w:val="24"/>
          <w:szCs w:val="24"/>
          <w:u w:color="000000"/>
          <w:lang w:val="en-US"/>
        </w:rPr>
        <w:t xml:space="preserve"> medical</w:t>
      </w:r>
      <w:r w:rsidR="00957030" w:rsidRPr="00CC7E17">
        <w:rPr>
          <w:rFonts w:ascii="Arial" w:eastAsia="Cambria" w:hAnsi="Arial" w:cs="Arial"/>
          <w:sz w:val="24"/>
          <w:szCs w:val="24"/>
          <w:u w:color="000000"/>
          <w:lang w:val="en-US"/>
        </w:rPr>
        <w:t xml:space="preserve"> disciplines to Pubmed </w:t>
      </w:r>
      <w:r w:rsidRPr="00CC7E17">
        <w:rPr>
          <w:rFonts w:ascii="Arial" w:eastAsia="Cambria" w:hAnsi="Arial" w:cs="Arial"/>
          <w:sz w:val="24"/>
          <w:szCs w:val="24"/>
          <w:u w:color="000000"/>
          <w:lang w:val="en-US"/>
        </w:rPr>
        <w:t xml:space="preserve">ID </w:t>
      </w:r>
      <w:r w:rsidR="00DE3375" w:rsidRPr="00CC7E17">
        <w:rPr>
          <w:rFonts w:ascii="Arial" w:eastAsia="Cambria" w:hAnsi="Arial" w:cs="Arial"/>
          <w:sz w:val="24"/>
          <w:szCs w:val="24"/>
          <w:u w:color="000000"/>
          <w:lang w:val="en-US"/>
        </w:rPr>
        <w:t xml:space="preserve">(a number from the PubMed database which </w:t>
      </w:r>
      <w:r w:rsidR="00BE064E" w:rsidRPr="00CC7E17">
        <w:rPr>
          <w:rFonts w:ascii="Arial" w:eastAsia="Cambria" w:hAnsi="Arial" w:cs="Arial"/>
          <w:sz w:val="24"/>
          <w:szCs w:val="24"/>
          <w:u w:color="000000"/>
          <w:lang w:val="en-US"/>
        </w:rPr>
        <w:t>is</w:t>
      </w:r>
      <w:r w:rsidR="00DE3375" w:rsidRPr="00CC7E17">
        <w:rPr>
          <w:rFonts w:ascii="Arial" w:eastAsia="Cambria" w:hAnsi="Arial" w:cs="Arial"/>
          <w:sz w:val="24"/>
          <w:szCs w:val="24"/>
          <w:u w:color="000000"/>
          <w:lang w:val="en-US"/>
        </w:rPr>
        <w:t xml:space="preserve"> a</w:t>
      </w:r>
      <w:r w:rsidR="00BE064E" w:rsidRPr="00CC7E17">
        <w:rPr>
          <w:rFonts w:ascii="Arial" w:eastAsia="Cambria" w:hAnsi="Arial" w:cs="Arial"/>
          <w:sz w:val="24"/>
          <w:szCs w:val="24"/>
          <w:u w:color="000000"/>
          <w:lang w:val="en-US"/>
        </w:rPr>
        <w:t xml:space="preserve"> unique accessi</w:t>
      </w:r>
      <w:r w:rsidR="00495CC0" w:rsidRPr="00CC7E17">
        <w:rPr>
          <w:rFonts w:ascii="Arial" w:eastAsia="Cambria" w:hAnsi="Arial" w:cs="Arial"/>
          <w:sz w:val="24"/>
          <w:szCs w:val="24"/>
          <w:u w:color="000000"/>
          <w:lang w:val="en-US"/>
        </w:rPr>
        <w:t>o</w:t>
      </w:r>
      <w:r w:rsidR="00BE064E" w:rsidRPr="00CC7E17">
        <w:rPr>
          <w:rFonts w:ascii="Arial" w:eastAsia="Cambria" w:hAnsi="Arial" w:cs="Arial"/>
          <w:sz w:val="24"/>
          <w:szCs w:val="24"/>
          <w:u w:color="000000"/>
          <w:lang w:val="en-US"/>
        </w:rPr>
        <w:t>n</w:t>
      </w:r>
      <w:r w:rsidR="00DE3375" w:rsidRPr="00CC7E17">
        <w:rPr>
          <w:rFonts w:ascii="Arial" w:eastAsia="Cambria" w:hAnsi="Arial" w:cs="Arial"/>
          <w:sz w:val="24"/>
          <w:szCs w:val="24"/>
          <w:u w:color="000000"/>
          <w:lang w:val="en-US"/>
        </w:rPr>
        <w:t xml:space="preserve"> number) </w:t>
      </w:r>
      <w:r w:rsidRPr="00CC7E17">
        <w:rPr>
          <w:rFonts w:ascii="Arial" w:eastAsia="Cambria" w:hAnsi="Arial" w:cs="Arial"/>
          <w:sz w:val="24"/>
          <w:szCs w:val="24"/>
          <w:u w:color="000000"/>
          <w:lang w:val="en-US"/>
        </w:rPr>
        <w:t>allowing the database to be searchable by Discipline</w:t>
      </w:r>
      <w:r w:rsidR="00462074" w:rsidRPr="00CC7E17">
        <w:rPr>
          <w:rFonts w:ascii="Arial" w:eastAsia="Cambria" w:hAnsi="Arial" w:cs="Arial"/>
          <w:sz w:val="24"/>
          <w:szCs w:val="24"/>
          <w:u w:color="000000"/>
          <w:lang w:val="en-US"/>
        </w:rPr>
        <w:t>. The M</w:t>
      </w:r>
      <w:r w:rsidR="00495CC0" w:rsidRPr="00CC7E17">
        <w:rPr>
          <w:rFonts w:ascii="Arial" w:eastAsia="Cambria" w:hAnsi="Arial" w:cs="Arial"/>
          <w:sz w:val="24"/>
          <w:szCs w:val="24"/>
          <w:u w:color="000000"/>
          <w:lang w:val="en-US"/>
        </w:rPr>
        <w:t>e</w:t>
      </w:r>
      <w:r w:rsidR="00462074" w:rsidRPr="00CC7E17">
        <w:rPr>
          <w:rFonts w:ascii="Arial" w:eastAsia="Cambria" w:hAnsi="Arial" w:cs="Arial"/>
          <w:sz w:val="24"/>
          <w:szCs w:val="24"/>
          <w:u w:color="000000"/>
          <w:lang w:val="en-US"/>
        </w:rPr>
        <w:t>SH tables are dependent on MeSH terms, which are pulled from PubMed. MeSH terms are Medical Sub</w:t>
      </w:r>
      <w:r w:rsidR="00495CC0" w:rsidRPr="00CC7E17">
        <w:rPr>
          <w:rFonts w:ascii="Arial" w:eastAsia="Cambria" w:hAnsi="Arial" w:cs="Arial"/>
          <w:sz w:val="24"/>
          <w:szCs w:val="24"/>
          <w:u w:color="000000"/>
          <w:lang w:val="en-US"/>
        </w:rPr>
        <w:t>ject</w:t>
      </w:r>
      <w:r w:rsidR="00462074" w:rsidRPr="00CC7E17">
        <w:rPr>
          <w:rFonts w:ascii="Arial" w:eastAsia="Cambria" w:hAnsi="Arial" w:cs="Arial"/>
          <w:sz w:val="24"/>
          <w:szCs w:val="24"/>
          <w:u w:color="000000"/>
          <w:lang w:val="en-US"/>
        </w:rPr>
        <w:t xml:space="preserve"> terms which relate to the US National Library of Medicine’s indexing system (National Library of Medicine, 2014). </w:t>
      </w:r>
      <w:r w:rsidR="00957030" w:rsidRPr="00CC7E17">
        <w:rPr>
          <w:rFonts w:ascii="Arial" w:eastAsia="Cambria" w:hAnsi="Arial" w:cs="Arial"/>
          <w:sz w:val="24"/>
          <w:szCs w:val="24"/>
          <w:u w:color="000000"/>
          <w:lang w:val="en-US"/>
        </w:rPr>
        <w:t>The</w:t>
      </w:r>
      <w:r w:rsidRPr="00CC7E17">
        <w:rPr>
          <w:rFonts w:ascii="Arial" w:eastAsia="Cambria" w:hAnsi="Arial" w:cs="Arial"/>
          <w:sz w:val="24"/>
          <w:szCs w:val="24"/>
          <w:u w:color="000000"/>
          <w:lang w:val="en-US"/>
        </w:rPr>
        <w:t xml:space="preserve"> </w:t>
      </w:r>
      <w:r w:rsidRPr="00CC7E17">
        <w:rPr>
          <w:rFonts w:ascii="Arial" w:eastAsia="Cambria" w:hAnsi="Arial" w:cs="Arial"/>
          <w:bCs/>
          <w:sz w:val="24"/>
          <w:szCs w:val="24"/>
          <w:u w:color="000000"/>
        </w:rPr>
        <w:t xml:space="preserve">MeSH </w:t>
      </w:r>
      <w:r w:rsidRPr="00CC7E17">
        <w:rPr>
          <w:rFonts w:ascii="Arial" w:eastAsia="Cambria" w:hAnsi="Arial" w:cs="Arial"/>
          <w:sz w:val="24"/>
          <w:szCs w:val="24"/>
          <w:u w:color="000000"/>
          <w:lang w:val="en-US"/>
        </w:rPr>
        <w:t>terms (</w:t>
      </w:r>
      <w:r w:rsidR="008C2FD2" w:rsidRPr="00CC7E17">
        <w:rPr>
          <w:rFonts w:ascii="Arial" w:eastAsia="Cambria" w:hAnsi="Arial" w:cs="Arial"/>
          <w:sz w:val="24"/>
          <w:szCs w:val="24"/>
          <w:u w:color="000000"/>
          <w:lang w:val="en-US"/>
        </w:rPr>
        <w:t xml:space="preserve">which are used as </w:t>
      </w:r>
      <w:r w:rsidRPr="00CC7E17">
        <w:rPr>
          <w:rFonts w:ascii="Arial" w:eastAsia="Cambria" w:hAnsi="Arial" w:cs="Arial"/>
          <w:sz w:val="24"/>
          <w:szCs w:val="24"/>
          <w:u w:color="000000"/>
          <w:lang w:val="en-US"/>
        </w:rPr>
        <w:t xml:space="preserve">indexing </w:t>
      </w:r>
      <w:r w:rsidR="008C2FD2" w:rsidRPr="00CC7E17">
        <w:rPr>
          <w:rFonts w:ascii="Arial" w:eastAsia="Cambria" w:hAnsi="Arial" w:cs="Arial"/>
          <w:sz w:val="24"/>
          <w:szCs w:val="24"/>
          <w:u w:color="000000"/>
          <w:lang w:val="en-US"/>
        </w:rPr>
        <w:t xml:space="preserve">search </w:t>
      </w:r>
      <w:r w:rsidRPr="00CC7E17">
        <w:rPr>
          <w:rFonts w:ascii="Arial" w:eastAsia="Cambria" w:hAnsi="Arial" w:cs="Arial"/>
          <w:sz w:val="24"/>
          <w:szCs w:val="24"/>
          <w:u w:color="000000"/>
          <w:lang w:val="en-US"/>
        </w:rPr>
        <w:t>ter</w:t>
      </w:r>
      <w:r w:rsidR="00957030" w:rsidRPr="00CC7E17">
        <w:rPr>
          <w:rFonts w:ascii="Arial" w:eastAsia="Cambria" w:hAnsi="Arial" w:cs="Arial"/>
          <w:sz w:val="24"/>
          <w:szCs w:val="24"/>
          <w:u w:color="000000"/>
          <w:lang w:val="en-US"/>
        </w:rPr>
        <w:t>ms</w:t>
      </w:r>
      <w:r w:rsidR="008C2FD2" w:rsidRPr="00CC7E17">
        <w:rPr>
          <w:rFonts w:ascii="Arial" w:eastAsia="Cambria" w:hAnsi="Arial" w:cs="Arial"/>
          <w:sz w:val="24"/>
          <w:szCs w:val="24"/>
          <w:u w:color="000000"/>
          <w:lang w:val="en-US"/>
        </w:rPr>
        <w:t xml:space="preserve"> within </w:t>
      </w:r>
      <w:r w:rsidR="00AA5748" w:rsidRPr="00CC7E17">
        <w:rPr>
          <w:rFonts w:ascii="Arial" w:eastAsia="Cambria" w:hAnsi="Arial" w:cs="Arial"/>
          <w:sz w:val="24"/>
          <w:szCs w:val="24"/>
          <w:u w:color="000000"/>
          <w:lang w:val="en-US"/>
        </w:rPr>
        <w:t>BRiskeT</w:t>
      </w:r>
      <w:r w:rsidR="00957030" w:rsidRPr="00CC7E17">
        <w:rPr>
          <w:rFonts w:ascii="Arial" w:eastAsia="Cambria" w:hAnsi="Arial" w:cs="Arial"/>
          <w:sz w:val="24"/>
          <w:szCs w:val="24"/>
          <w:u w:color="000000"/>
          <w:lang w:val="en-US"/>
        </w:rPr>
        <w:t xml:space="preserve">) </w:t>
      </w:r>
      <w:r w:rsidR="00462074" w:rsidRPr="00CC7E17">
        <w:rPr>
          <w:rFonts w:ascii="Arial" w:eastAsia="Cambria" w:hAnsi="Arial" w:cs="Arial"/>
          <w:sz w:val="24"/>
          <w:szCs w:val="24"/>
          <w:u w:color="000000"/>
          <w:lang w:val="en-US"/>
        </w:rPr>
        <w:t xml:space="preserve">are related </w:t>
      </w:r>
      <w:r w:rsidR="00957030" w:rsidRPr="00CC7E17">
        <w:rPr>
          <w:rFonts w:ascii="Arial" w:eastAsia="Cambria" w:hAnsi="Arial" w:cs="Arial"/>
          <w:sz w:val="24"/>
          <w:szCs w:val="24"/>
          <w:u w:color="000000"/>
          <w:lang w:val="en-US"/>
        </w:rPr>
        <w:t xml:space="preserve">to the PubMed </w:t>
      </w:r>
      <w:r w:rsidRPr="00CC7E17">
        <w:rPr>
          <w:rFonts w:ascii="Arial" w:eastAsia="Cambria" w:hAnsi="Arial" w:cs="Arial"/>
          <w:sz w:val="24"/>
          <w:szCs w:val="24"/>
          <w:u w:color="000000"/>
          <w:lang w:val="en-US"/>
        </w:rPr>
        <w:t>ID</w:t>
      </w:r>
      <w:r w:rsidR="00957030" w:rsidRPr="00CC7E17">
        <w:rPr>
          <w:rFonts w:ascii="Arial" w:eastAsia="Cambria" w:hAnsi="Arial" w:cs="Arial"/>
          <w:sz w:val="24"/>
          <w:szCs w:val="24"/>
          <w:u w:color="000000"/>
          <w:lang w:val="en-US"/>
        </w:rPr>
        <w:t xml:space="preserve"> of the article, which allows</w:t>
      </w:r>
      <w:r w:rsidRPr="00CC7E17">
        <w:rPr>
          <w:rFonts w:ascii="Arial" w:eastAsia="Cambria" w:hAnsi="Arial" w:cs="Arial"/>
          <w:sz w:val="24"/>
          <w:szCs w:val="24"/>
          <w:u w:color="000000"/>
          <w:lang w:val="en-US"/>
        </w:rPr>
        <w:t xml:space="preserve"> the dat</w:t>
      </w:r>
      <w:r w:rsidR="00957030" w:rsidRPr="00CC7E17">
        <w:rPr>
          <w:rFonts w:ascii="Arial" w:eastAsia="Cambria" w:hAnsi="Arial" w:cs="Arial"/>
          <w:sz w:val="24"/>
          <w:szCs w:val="24"/>
          <w:u w:color="000000"/>
          <w:lang w:val="en-US"/>
        </w:rPr>
        <w:t xml:space="preserve">abase to be searchable by </w:t>
      </w:r>
      <w:r w:rsidR="00834C7C" w:rsidRPr="00CC7E17">
        <w:rPr>
          <w:rFonts w:ascii="Arial" w:eastAsia="Cambria" w:hAnsi="Arial" w:cs="Arial"/>
          <w:sz w:val="24"/>
          <w:szCs w:val="24"/>
          <w:u w:color="000000"/>
          <w:lang w:val="en-US"/>
        </w:rPr>
        <w:t>MeSH</w:t>
      </w:r>
      <w:r w:rsidR="00957030" w:rsidRPr="00CC7E17">
        <w:rPr>
          <w:rFonts w:ascii="Arial" w:eastAsia="Cambria" w:hAnsi="Arial" w:cs="Arial"/>
          <w:sz w:val="24"/>
          <w:szCs w:val="24"/>
          <w:u w:color="000000"/>
          <w:lang w:val="en-US"/>
        </w:rPr>
        <w:t xml:space="preserve"> terms</w:t>
      </w:r>
      <w:r w:rsidRPr="00CC7E17">
        <w:rPr>
          <w:rFonts w:ascii="Arial" w:eastAsia="Cambria" w:hAnsi="Arial" w:cs="Arial"/>
          <w:sz w:val="24"/>
          <w:szCs w:val="24"/>
          <w:u w:color="000000"/>
          <w:lang w:val="en-US"/>
        </w:rPr>
        <w:t>.</w:t>
      </w:r>
      <w:r w:rsidR="00957030" w:rsidRPr="00CC7E17">
        <w:rPr>
          <w:rFonts w:ascii="Arial" w:eastAsia="Cambria" w:hAnsi="Arial" w:cs="Arial"/>
          <w:sz w:val="24"/>
          <w:szCs w:val="24"/>
          <w:u w:color="000000"/>
          <w:lang w:val="en-US"/>
        </w:rPr>
        <w:t xml:space="preserve"> The</w:t>
      </w:r>
      <w:r w:rsidRPr="00CC7E17">
        <w:rPr>
          <w:rFonts w:ascii="Arial" w:eastAsia="Cambria" w:hAnsi="Arial" w:cs="Arial"/>
          <w:sz w:val="24"/>
          <w:szCs w:val="24"/>
          <w:u w:color="000000"/>
          <w:lang w:val="en-US"/>
        </w:rPr>
        <w:t xml:space="preserve"> </w:t>
      </w:r>
      <w:r w:rsidRPr="00CC7E17">
        <w:rPr>
          <w:rFonts w:ascii="Arial" w:eastAsia="Cambria" w:hAnsi="Arial" w:cs="Arial"/>
          <w:bCs/>
          <w:sz w:val="24"/>
          <w:szCs w:val="24"/>
          <w:u w:color="000000"/>
          <w:lang w:val="en-US"/>
        </w:rPr>
        <w:t>Conditions</w:t>
      </w:r>
      <w:r w:rsidR="00957030" w:rsidRPr="00CC7E17">
        <w:rPr>
          <w:rFonts w:ascii="Arial" w:eastAsia="Cambria" w:hAnsi="Arial" w:cs="Arial"/>
          <w:b/>
          <w:bCs/>
          <w:sz w:val="24"/>
          <w:szCs w:val="24"/>
          <w:u w:color="000000"/>
          <w:lang w:val="en-US"/>
        </w:rPr>
        <w:t xml:space="preserve"> </w:t>
      </w:r>
      <w:r w:rsidR="00957030" w:rsidRPr="00CC7E17">
        <w:rPr>
          <w:rFonts w:ascii="Arial" w:eastAsia="Cambria" w:hAnsi="Arial" w:cs="Arial"/>
          <w:bCs/>
          <w:sz w:val="24"/>
          <w:szCs w:val="24"/>
          <w:u w:color="000000"/>
          <w:lang w:val="en-US"/>
        </w:rPr>
        <w:t>table</w:t>
      </w:r>
      <w:r w:rsidR="00FD1853" w:rsidRPr="00CC7E17">
        <w:rPr>
          <w:rFonts w:ascii="Arial" w:eastAsia="Cambria" w:hAnsi="Arial" w:cs="Arial"/>
          <w:b/>
          <w:bCs/>
          <w:sz w:val="24"/>
          <w:szCs w:val="24"/>
          <w:u w:color="000000"/>
          <w:lang w:val="en-US"/>
        </w:rPr>
        <w:t xml:space="preserve"> </w:t>
      </w:r>
      <w:r w:rsidRPr="00CC7E17">
        <w:rPr>
          <w:rFonts w:ascii="Arial" w:eastAsia="Cambria" w:hAnsi="Arial" w:cs="Arial"/>
          <w:sz w:val="24"/>
          <w:szCs w:val="24"/>
          <w:u w:color="000000"/>
          <w:lang w:val="en-US"/>
        </w:rPr>
        <w:t>gives characteristics of the populat</w:t>
      </w:r>
      <w:r w:rsidR="00957030" w:rsidRPr="00CC7E17">
        <w:rPr>
          <w:rFonts w:ascii="Arial" w:eastAsia="Cambria" w:hAnsi="Arial" w:cs="Arial"/>
          <w:sz w:val="24"/>
          <w:szCs w:val="24"/>
          <w:u w:color="000000"/>
          <w:lang w:val="en-US"/>
        </w:rPr>
        <w:t xml:space="preserve">ion </w:t>
      </w:r>
      <w:r w:rsidR="00BE064E" w:rsidRPr="00CC7E17">
        <w:rPr>
          <w:rFonts w:ascii="Arial" w:eastAsia="Cambria" w:hAnsi="Arial" w:cs="Arial"/>
          <w:sz w:val="24"/>
          <w:szCs w:val="24"/>
          <w:u w:color="000000"/>
          <w:lang w:val="en-US"/>
        </w:rPr>
        <w:t>being studied in the article</w:t>
      </w:r>
      <w:r w:rsidRPr="00CC7E17">
        <w:rPr>
          <w:rFonts w:ascii="Arial" w:eastAsia="Cambria" w:hAnsi="Arial" w:cs="Arial"/>
          <w:sz w:val="24"/>
          <w:szCs w:val="24"/>
          <w:u w:color="000000"/>
          <w:lang w:val="en-US"/>
        </w:rPr>
        <w:t>.</w:t>
      </w:r>
      <w:r w:rsidR="00957030" w:rsidRPr="00CC7E17">
        <w:rPr>
          <w:rFonts w:ascii="Arial" w:eastAsia="Cambria" w:hAnsi="Arial" w:cs="Arial"/>
          <w:sz w:val="24"/>
          <w:szCs w:val="24"/>
          <w:u w:color="000000"/>
          <w:lang w:val="en-US"/>
        </w:rPr>
        <w:t xml:space="preserve"> Finally, the</w:t>
      </w:r>
      <w:r w:rsidRPr="00CC7E17">
        <w:rPr>
          <w:rFonts w:ascii="Arial" w:eastAsia="Cambria" w:hAnsi="Arial" w:cs="Arial"/>
          <w:sz w:val="24"/>
          <w:szCs w:val="24"/>
          <w:u w:color="000000"/>
          <w:lang w:val="en-US"/>
        </w:rPr>
        <w:t xml:space="preserve"> </w:t>
      </w:r>
      <w:r w:rsidR="00957030" w:rsidRPr="00CC7E17">
        <w:rPr>
          <w:rFonts w:ascii="Arial" w:eastAsia="Cambria" w:hAnsi="Arial" w:cs="Arial"/>
          <w:bCs/>
          <w:sz w:val="24"/>
          <w:szCs w:val="24"/>
          <w:u w:color="000000"/>
          <w:lang w:val="en-US"/>
        </w:rPr>
        <w:t xml:space="preserve">Outcome Calculation table </w:t>
      </w:r>
      <w:r w:rsidR="00957030" w:rsidRPr="00CC7E17">
        <w:rPr>
          <w:rFonts w:ascii="Arial" w:eastAsia="Cambria" w:hAnsi="Arial" w:cs="Arial"/>
          <w:sz w:val="24"/>
          <w:szCs w:val="24"/>
          <w:u w:color="000000"/>
          <w:lang w:val="en-US"/>
        </w:rPr>
        <w:t>contains the information related to risk</w:t>
      </w:r>
      <w:r w:rsidRPr="00CC7E17">
        <w:rPr>
          <w:rFonts w:ascii="Arial" w:eastAsia="Cambria" w:hAnsi="Arial" w:cs="Arial"/>
          <w:sz w:val="24"/>
          <w:szCs w:val="24"/>
          <w:u w:color="000000"/>
          <w:lang w:val="en-US"/>
        </w:rPr>
        <w:t xml:space="preserve"> based </w:t>
      </w:r>
      <w:r w:rsidR="00834C7C" w:rsidRPr="00CC7E17">
        <w:rPr>
          <w:rFonts w:ascii="Arial" w:eastAsia="Cambria" w:hAnsi="Arial" w:cs="Arial"/>
          <w:sz w:val="24"/>
          <w:szCs w:val="24"/>
          <w:u w:color="000000"/>
          <w:lang w:val="en-US"/>
        </w:rPr>
        <w:t xml:space="preserve">on </w:t>
      </w:r>
      <w:r w:rsidR="00BE064E" w:rsidRPr="00CC7E17">
        <w:rPr>
          <w:rFonts w:ascii="Arial" w:eastAsia="Cambria" w:hAnsi="Arial" w:cs="Arial"/>
          <w:sz w:val="24"/>
          <w:szCs w:val="24"/>
          <w:u w:color="000000"/>
          <w:lang w:val="en-US"/>
        </w:rPr>
        <w:t>w</w:t>
      </w:r>
      <w:r w:rsidRPr="00CC7E17">
        <w:rPr>
          <w:rFonts w:ascii="Arial" w:eastAsia="Cambria" w:hAnsi="Arial" w:cs="Arial"/>
          <w:sz w:val="24"/>
          <w:szCs w:val="24"/>
          <w:u w:color="000000"/>
          <w:lang w:val="en-US"/>
        </w:rPr>
        <w:t xml:space="preserve">hat </w:t>
      </w:r>
      <w:r w:rsidR="00BE064E" w:rsidRPr="00CC7E17">
        <w:rPr>
          <w:rFonts w:ascii="Arial" w:eastAsia="Cambria" w:hAnsi="Arial" w:cs="Arial"/>
          <w:sz w:val="24"/>
          <w:szCs w:val="24"/>
          <w:u w:color="000000"/>
          <w:lang w:val="en-US"/>
        </w:rPr>
        <w:t>data are</w:t>
      </w:r>
      <w:r w:rsidRPr="00CC7E17">
        <w:rPr>
          <w:rFonts w:ascii="Arial" w:eastAsia="Cambria" w:hAnsi="Arial" w:cs="Arial"/>
          <w:sz w:val="24"/>
          <w:szCs w:val="24"/>
          <w:u w:color="000000"/>
          <w:lang w:val="en-US"/>
        </w:rPr>
        <w:t xml:space="preserve"> found in the articles. </w:t>
      </w:r>
      <w:r w:rsidR="005378EB" w:rsidRPr="00CC7E17">
        <w:rPr>
          <w:rFonts w:ascii="Arial" w:eastAsia="Cambria" w:hAnsi="Arial" w:cs="Arial"/>
          <w:sz w:val="24"/>
          <w:szCs w:val="24"/>
          <w:u w:color="000000"/>
          <w:lang w:val="en-US"/>
        </w:rPr>
        <w:t xml:space="preserve">Table </w:t>
      </w:r>
      <w:r w:rsidR="00F84A40" w:rsidRPr="00CC7E17">
        <w:rPr>
          <w:rFonts w:ascii="Arial" w:eastAsia="Cambria" w:hAnsi="Arial" w:cs="Arial"/>
          <w:sz w:val="24"/>
          <w:szCs w:val="24"/>
          <w:u w:color="000000"/>
          <w:lang w:val="en-US"/>
        </w:rPr>
        <w:t>1</w:t>
      </w:r>
      <w:r w:rsidR="00957030" w:rsidRPr="00CC7E17">
        <w:rPr>
          <w:rFonts w:ascii="Arial" w:eastAsia="Cambria" w:hAnsi="Arial" w:cs="Arial"/>
          <w:sz w:val="24"/>
          <w:szCs w:val="24"/>
          <w:u w:color="000000"/>
          <w:lang w:val="en-US"/>
        </w:rPr>
        <w:t xml:space="preserve"> defines each field found within the tables</w:t>
      </w:r>
      <w:r w:rsidR="00F84A40" w:rsidRPr="00CC7E17">
        <w:rPr>
          <w:rFonts w:ascii="Arial" w:eastAsia="Cambria" w:hAnsi="Arial" w:cs="Arial"/>
          <w:sz w:val="24"/>
          <w:szCs w:val="24"/>
          <w:u w:color="000000"/>
          <w:lang w:val="en-US"/>
        </w:rPr>
        <w:t xml:space="preserve">. In addition, Table 1 also defines where the data </w:t>
      </w:r>
      <w:r w:rsidR="00C9632D">
        <w:rPr>
          <w:rFonts w:ascii="Arial" w:eastAsia="Cambria" w:hAnsi="Arial" w:cs="Arial"/>
          <w:sz w:val="24"/>
          <w:szCs w:val="24"/>
          <w:u w:color="000000"/>
          <w:lang w:val="en-US"/>
        </w:rPr>
        <w:t>are</w:t>
      </w:r>
      <w:r w:rsidR="00F84A40" w:rsidRPr="00CC7E17">
        <w:rPr>
          <w:rFonts w:ascii="Arial" w:eastAsia="Cambria" w:hAnsi="Arial" w:cs="Arial"/>
          <w:sz w:val="24"/>
          <w:szCs w:val="24"/>
          <w:u w:color="000000"/>
          <w:lang w:val="en-US"/>
        </w:rPr>
        <w:t xml:space="preserve"> inputted from, whether it </w:t>
      </w:r>
      <w:r w:rsidR="00E07E27" w:rsidRPr="00CC7E17">
        <w:rPr>
          <w:rFonts w:ascii="Arial" w:eastAsia="Cambria" w:hAnsi="Arial" w:cs="Arial"/>
          <w:sz w:val="24"/>
          <w:szCs w:val="24"/>
          <w:u w:color="000000"/>
          <w:lang w:val="en-US"/>
        </w:rPr>
        <w:t>is</w:t>
      </w:r>
      <w:r w:rsidR="00F84A40" w:rsidRPr="00CC7E17">
        <w:rPr>
          <w:rFonts w:ascii="Arial" w:eastAsia="Cambria" w:hAnsi="Arial" w:cs="Arial"/>
          <w:sz w:val="24"/>
          <w:szCs w:val="24"/>
          <w:u w:color="000000"/>
          <w:lang w:val="en-US"/>
        </w:rPr>
        <w:t xml:space="preserve"> from the PLUS database, or from a data extractor (the users of MacPrognosis.) </w:t>
      </w:r>
    </w:p>
    <w:p w14:paraId="1DB16197" w14:textId="23FCA262" w:rsidR="004074DD" w:rsidRPr="009E57CF" w:rsidRDefault="009C6C02" w:rsidP="009E57CF">
      <w:pPr>
        <w:pStyle w:val="Caption"/>
        <w:spacing w:line="360" w:lineRule="auto"/>
        <w:rPr>
          <w:rFonts w:ascii="Arial" w:hAnsi="Arial" w:cs="Arial"/>
          <w:u w:color="000000"/>
        </w:rPr>
      </w:pPr>
      <w:bookmarkStart w:id="23" w:name="_Toc290901850"/>
      <w:r w:rsidRPr="00CC7E17">
        <w:rPr>
          <w:rFonts w:ascii="Arial" w:hAnsi="Arial" w:cs="Arial"/>
          <w:bCs w:val="0"/>
          <w:caps w:val="0"/>
        </w:rPr>
        <w:t xml:space="preserve">TABLE </w:t>
      </w:r>
      <w:r w:rsidRPr="009E57CF">
        <w:rPr>
          <w:rFonts w:ascii="Arial" w:hAnsi="Arial" w:cs="Arial"/>
        </w:rPr>
        <w:fldChar w:fldCharType="begin"/>
      </w:r>
      <w:r w:rsidRPr="00CC7E17">
        <w:rPr>
          <w:rFonts w:ascii="Arial" w:hAnsi="Arial" w:cs="Arial"/>
          <w:b w:val="0"/>
          <w:bCs w:val="0"/>
          <w:caps w:val="0"/>
        </w:rPr>
        <w:instrText xml:space="preserve"> SEQ Table \* ARABIC </w:instrText>
      </w:r>
      <w:r w:rsidRPr="009E57CF">
        <w:rPr>
          <w:rFonts w:ascii="Arial" w:hAnsi="Arial" w:cs="Arial"/>
        </w:rPr>
        <w:fldChar w:fldCharType="separate"/>
      </w:r>
      <w:r w:rsidRPr="00CC7E17">
        <w:rPr>
          <w:rFonts w:ascii="Arial" w:hAnsi="Arial" w:cs="Arial"/>
          <w:b w:val="0"/>
          <w:bCs w:val="0"/>
          <w:caps w:val="0"/>
          <w:noProof/>
        </w:rPr>
        <w:t>1</w:t>
      </w:r>
      <w:r w:rsidRPr="009E57CF">
        <w:rPr>
          <w:rFonts w:ascii="Arial" w:hAnsi="Arial" w:cs="Arial"/>
        </w:rPr>
        <w:fldChar w:fldCharType="end"/>
      </w:r>
      <w:r w:rsidRPr="00CC7E17">
        <w:rPr>
          <w:rFonts w:ascii="Arial" w:hAnsi="Arial" w:cs="Arial"/>
          <w:bCs w:val="0"/>
          <w:caps w:val="0"/>
        </w:rPr>
        <w:t xml:space="preserve">: </w:t>
      </w:r>
      <w:r w:rsidR="00F84A40" w:rsidRPr="00CC7E17">
        <w:rPr>
          <w:rFonts w:ascii="Arial" w:hAnsi="Arial" w:cs="Arial"/>
        </w:rPr>
        <w:t xml:space="preserve">Field description for first iteration database schema for </w:t>
      </w:r>
      <w:r w:rsidR="004959B9">
        <w:rPr>
          <w:rFonts w:ascii="Arial" w:hAnsi="Arial" w:cs="Arial"/>
        </w:rPr>
        <w:t>eForm-based</w:t>
      </w:r>
      <w:r w:rsidR="00F84A40" w:rsidRPr="00CC7E17">
        <w:rPr>
          <w:rFonts w:ascii="Arial" w:hAnsi="Arial" w:cs="Arial"/>
        </w:rPr>
        <w:t xml:space="preserve"> model</w:t>
      </w:r>
      <w:bookmarkEnd w:id="23"/>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26"/>
        <w:gridCol w:w="1558"/>
        <w:gridCol w:w="3544"/>
        <w:gridCol w:w="1802"/>
      </w:tblGrid>
      <w:tr w:rsidR="00957030" w:rsidRPr="00CC7E17" w14:paraId="0E3E3DD9" w14:textId="77777777" w:rsidTr="00ED7C8D">
        <w:tc>
          <w:tcPr>
            <w:tcW w:w="1526" w:type="dxa"/>
            <w:shd w:val="clear" w:color="auto" w:fill="D9D9D9"/>
          </w:tcPr>
          <w:p w14:paraId="38F99A06"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Field Name</w:t>
            </w:r>
          </w:p>
        </w:tc>
        <w:tc>
          <w:tcPr>
            <w:tcW w:w="1558" w:type="dxa"/>
            <w:shd w:val="clear" w:color="auto" w:fill="D9D9D9"/>
          </w:tcPr>
          <w:p w14:paraId="616664ED"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Inputted From</w:t>
            </w:r>
          </w:p>
        </w:tc>
        <w:tc>
          <w:tcPr>
            <w:tcW w:w="3544" w:type="dxa"/>
            <w:shd w:val="clear" w:color="auto" w:fill="D9D9D9"/>
          </w:tcPr>
          <w:p w14:paraId="303AD1C8"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Description</w:t>
            </w:r>
          </w:p>
        </w:tc>
        <w:tc>
          <w:tcPr>
            <w:tcW w:w="1802" w:type="dxa"/>
            <w:shd w:val="clear" w:color="auto" w:fill="D9D9D9"/>
          </w:tcPr>
          <w:p w14:paraId="5B8EBEE5"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Field Type</w:t>
            </w:r>
          </w:p>
        </w:tc>
      </w:tr>
      <w:tr w:rsidR="00957030" w:rsidRPr="00CC7E17" w14:paraId="27C0AC71" w14:textId="77777777" w:rsidTr="00ED7C8D">
        <w:trPr>
          <w:trHeight w:val="1493"/>
        </w:trPr>
        <w:tc>
          <w:tcPr>
            <w:tcW w:w="1526" w:type="dxa"/>
          </w:tcPr>
          <w:p w14:paraId="04D75B78" w14:textId="0ED50D3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PUBM</w:t>
            </w:r>
            <w:r w:rsidR="00090822">
              <w:rPr>
                <w:rFonts w:ascii="Arial" w:eastAsia="Cambria" w:hAnsi="Arial" w:cs="Arial"/>
                <w:bCs/>
                <w:sz w:val="24"/>
                <w:szCs w:val="24"/>
              </w:rPr>
              <w:t>E</w:t>
            </w:r>
            <w:r w:rsidRPr="00ED7C8D">
              <w:rPr>
                <w:rFonts w:ascii="Arial" w:eastAsia="Cambria" w:hAnsi="Arial" w:cs="Arial"/>
                <w:bCs/>
                <w:sz w:val="24"/>
                <w:szCs w:val="24"/>
              </w:rPr>
              <w:t>D ID</w:t>
            </w:r>
          </w:p>
        </w:tc>
        <w:tc>
          <w:tcPr>
            <w:tcW w:w="1558" w:type="dxa"/>
          </w:tcPr>
          <w:p w14:paraId="3144036E"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19446A54" w14:textId="1E68B686"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Based on Identifiers from the PubMed website (</w:t>
            </w:r>
            <w:hyperlink r:id="rId15" w:history="1">
              <w:r w:rsidRPr="00ED7C8D">
                <w:rPr>
                  <w:rStyle w:val="Hyperlink1"/>
                  <w:rFonts w:ascii="Arial" w:hAnsi="Arial" w:cs="Arial"/>
                  <w:sz w:val="24"/>
                  <w:szCs w:val="24"/>
                </w:rPr>
                <w:t>http://www.ncbi.nlm.nih.gov/pubmed</w:t>
              </w:r>
            </w:hyperlink>
            <w:r w:rsidRPr="00ED7C8D">
              <w:rPr>
                <w:rFonts w:ascii="Arial" w:eastAsia="Cambria" w:hAnsi="Arial" w:cs="Arial"/>
                <w:sz w:val="24"/>
                <w:szCs w:val="24"/>
              </w:rPr>
              <w:t xml:space="preserve">). This is a secondary identifier for </w:t>
            </w:r>
            <w:r w:rsidR="00495CC0" w:rsidRPr="00ED7C8D">
              <w:rPr>
                <w:rFonts w:ascii="Arial" w:eastAsia="Cambria" w:hAnsi="Arial" w:cs="Arial"/>
                <w:sz w:val="24"/>
                <w:szCs w:val="24"/>
              </w:rPr>
              <w:t xml:space="preserve">an article that is providing </w:t>
            </w:r>
            <w:r w:rsidRPr="00ED7C8D">
              <w:rPr>
                <w:rFonts w:ascii="Arial" w:eastAsia="Cambria" w:hAnsi="Arial" w:cs="Arial"/>
                <w:sz w:val="24"/>
                <w:szCs w:val="24"/>
              </w:rPr>
              <w:t xml:space="preserve">data that </w:t>
            </w:r>
            <w:r w:rsidR="00BE064E" w:rsidRPr="00ED7C8D">
              <w:rPr>
                <w:rFonts w:ascii="Arial" w:eastAsia="Cambria" w:hAnsi="Arial" w:cs="Arial"/>
                <w:sz w:val="24"/>
                <w:szCs w:val="24"/>
              </w:rPr>
              <w:t>are</w:t>
            </w:r>
            <w:r w:rsidRPr="00ED7C8D">
              <w:rPr>
                <w:rFonts w:ascii="Arial" w:eastAsia="Cambria" w:hAnsi="Arial" w:cs="Arial"/>
                <w:sz w:val="24"/>
                <w:szCs w:val="24"/>
              </w:rPr>
              <w:t xml:space="preserve"> accepted into the database.</w:t>
            </w:r>
            <w:r w:rsidR="00A50237" w:rsidRPr="00ED7C8D">
              <w:rPr>
                <w:rFonts w:ascii="Arial" w:eastAsia="Cambria" w:hAnsi="Arial" w:cs="Arial"/>
                <w:sz w:val="24"/>
                <w:szCs w:val="24"/>
              </w:rPr>
              <w:t xml:space="preserve"> </w:t>
            </w:r>
            <w:r w:rsidRPr="00ED7C8D">
              <w:rPr>
                <w:rFonts w:ascii="Arial" w:eastAsia="Cambria" w:hAnsi="Arial" w:cs="Arial"/>
                <w:sz w:val="24"/>
                <w:szCs w:val="24"/>
              </w:rPr>
              <w:t>This is a unique identifier.</w:t>
            </w:r>
          </w:p>
        </w:tc>
        <w:tc>
          <w:tcPr>
            <w:tcW w:w="1802" w:type="dxa"/>
          </w:tcPr>
          <w:p w14:paraId="70AFEA69"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102B8A06" w14:textId="77777777" w:rsidTr="00ED7C8D">
        <w:trPr>
          <w:trHeight w:val="3013"/>
        </w:trPr>
        <w:tc>
          <w:tcPr>
            <w:tcW w:w="1526" w:type="dxa"/>
          </w:tcPr>
          <w:p w14:paraId="25A42CEA"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Category ID</w:t>
            </w:r>
          </w:p>
        </w:tc>
        <w:tc>
          <w:tcPr>
            <w:tcW w:w="1558" w:type="dxa"/>
          </w:tcPr>
          <w:p w14:paraId="2CC29AE1"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40BC732B" w14:textId="091A6ABE"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 xml:space="preserve">An ID that refers to the </w:t>
            </w:r>
            <w:r w:rsidR="00BE064E" w:rsidRPr="00ED7C8D">
              <w:rPr>
                <w:rFonts w:ascii="Arial" w:eastAsia="Cambria" w:hAnsi="Arial" w:cs="Arial"/>
                <w:sz w:val="24"/>
                <w:szCs w:val="24"/>
              </w:rPr>
              <w:t>t</w:t>
            </w:r>
            <w:r w:rsidRPr="00ED7C8D">
              <w:rPr>
                <w:rFonts w:ascii="Arial" w:eastAsia="Cambria" w:hAnsi="Arial" w:cs="Arial"/>
                <w:sz w:val="24"/>
                <w:szCs w:val="24"/>
              </w:rPr>
              <w:t xml:space="preserve">ype of article, whether prognosis or </w:t>
            </w:r>
            <w:r w:rsidR="008C2FD2" w:rsidRPr="00ED7C8D">
              <w:rPr>
                <w:rFonts w:ascii="Arial" w:eastAsia="Cambria" w:hAnsi="Arial" w:cs="Arial"/>
                <w:sz w:val="24"/>
                <w:szCs w:val="24"/>
              </w:rPr>
              <w:t>Clinical Prediction Guideline (</w:t>
            </w:r>
            <w:r w:rsidRPr="00ED7C8D">
              <w:rPr>
                <w:rFonts w:ascii="Arial" w:eastAsia="Cambria" w:hAnsi="Arial" w:cs="Arial"/>
                <w:sz w:val="24"/>
                <w:szCs w:val="24"/>
              </w:rPr>
              <w:t>CPG</w:t>
            </w:r>
            <w:r w:rsidR="008C2FD2" w:rsidRPr="00ED7C8D">
              <w:rPr>
                <w:rFonts w:ascii="Arial" w:eastAsia="Cambria" w:hAnsi="Arial" w:cs="Arial"/>
                <w:sz w:val="24"/>
                <w:szCs w:val="24"/>
              </w:rPr>
              <w:t>)</w:t>
            </w:r>
            <w:r w:rsidRPr="00ED7C8D">
              <w:rPr>
                <w:rFonts w:ascii="Arial" w:eastAsia="Cambria" w:hAnsi="Arial" w:cs="Arial"/>
                <w:sz w:val="24"/>
                <w:szCs w:val="24"/>
              </w:rPr>
              <w:t xml:space="preserve">. For the pilot, we </w:t>
            </w:r>
            <w:r w:rsidR="00495CC0" w:rsidRPr="00ED7C8D">
              <w:rPr>
                <w:rFonts w:ascii="Arial" w:eastAsia="Cambria" w:hAnsi="Arial" w:cs="Arial"/>
                <w:sz w:val="24"/>
                <w:szCs w:val="24"/>
              </w:rPr>
              <w:t>used only</w:t>
            </w:r>
            <w:r w:rsidRPr="00ED7C8D">
              <w:rPr>
                <w:rFonts w:ascii="Arial" w:eastAsia="Cambria" w:hAnsi="Arial" w:cs="Arial"/>
                <w:sz w:val="24"/>
                <w:szCs w:val="24"/>
              </w:rPr>
              <w:t xml:space="preserve"> </w:t>
            </w:r>
            <w:r w:rsidR="00BE064E" w:rsidRPr="00ED7C8D">
              <w:rPr>
                <w:rFonts w:ascii="Arial" w:eastAsia="Cambria" w:hAnsi="Arial" w:cs="Arial"/>
                <w:sz w:val="24"/>
                <w:szCs w:val="24"/>
              </w:rPr>
              <w:t>p</w:t>
            </w:r>
            <w:r w:rsidRPr="00ED7C8D">
              <w:rPr>
                <w:rFonts w:ascii="Arial" w:eastAsia="Cambria" w:hAnsi="Arial" w:cs="Arial"/>
                <w:sz w:val="24"/>
                <w:szCs w:val="24"/>
              </w:rPr>
              <w:t>rognosis articles</w:t>
            </w:r>
            <w:r w:rsidR="00495CC0" w:rsidRPr="00ED7C8D">
              <w:rPr>
                <w:rFonts w:ascii="Arial" w:eastAsia="Cambria" w:hAnsi="Arial" w:cs="Arial"/>
                <w:sz w:val="24"/>
                <w:szCs w:val="24"/>
              </w:rPr>
              <w:t>. E</w:t>
            </w:r>
            <w:r w:rsidRPr="00ED7C8D">
              <w:rPr>
                <w:rFonts w:ascii="Arial" w:eastAsia="Cambria" w:hAnsi="Arial" w:cs="Arial"/>
                <w:sz w:val="24"/>
                <w:szCs w:val="24"/>
              </w:rPr>
              <w:t>xpanded functionality will also include C</w:t>
            </w:r>
            <w:r w:rsidR="00BE064E" w:rsidRPr="00ED7C8D">
              <w:rPr>
                <w:rFonts w:ascii="Arial" w:eastAsia="Cambria" w:hAnsi="Arial" w:cs="Arial"/>
                <w:sz w:val="24"/>
                <w:szCs w:val="24"/>
              </w:rPr>
              <w:t>PG</w:t>
            </w:r>
            <w:r w:rsidRPr="00ED7C8D">
              <w:rPr>
                <w:rFonts w:ascii="Arial" w:eastAsia="Cambria" w:hAnsi="Arial" w:cs="Arial"/>
                <w:sz w:val="24"/>
                <w:szCs w:val="24"/>
              </w:rPr>
              <w:t>. (categorized by either 4 or 7 which denote prognosis or CPG articles respectively)</w:t>
            </w:r>
            <w:r w:rsidR="008C2FD2" w:rsidRPr="00ED7C8D">
              <w:rPr>
                <w:rFonts w:ascii="Arial" w:eastAsia="Cambria" w:hAnsi="Arial" w:cs="Arial"/>
                <w:sz w:val="24"/>
                <w:szCs w:val="24"/>
              </w:rPr>
              <w:t xml:space="preserve"> for categorization purposes within the database.</w:t>
            </w:r>
          </w:p>
        </w:tc>
        <w:tc>
          <w:tcPr>
            <w:tcW w:w="1802" w:type="dxa"/>
          </w:tcPr>
          <w:p w14:paraId="189B12C3"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0699CEC8" w14:textId="77777777" w:rsidTr="00ED7C8D">
        <w:tc>
          <w:tcPr>
            <w:tcW w:w="1526" w:type="dxa"/>
          </w:tcPr>
          <w:p w14:paraId="715AD115"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Age of Subjects</w:t>
            </w:r>
          </w:p>
        </w:tc>
        <w:tc>
          <w:tcPr>
            <w:tcW w:w="1558" w:type="dxa"/>
          </w:tcPr>
          <w:p w14:paraId="4F9F3882"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2A47BFE0" w14:textId="4C6E5C22" w:rsidR="00957030" w:rsidRPr="00C2560F" w:rsidRDefault="00957030">
            <w:pPr>
              <w:tabs>
                <w:tab w:val="num" w:pos="690"/>
              </w:tabs>
              <w:spacing w:after="200" w:line="360" w:lineRule="auto"/>
              <w:rPr>
                <w:rFonts w:ascii="Arial" w:eastAsia="Cambria" w:hAnsi="Arial" w:cs="Arial"/>
                <w:sz w:val="24"/>
                <w:szCs w:val="24"/>
                <w:u w:color="000000"/>
                <w:lang w:val="en-US" w:eastAsia="en-US"/>
              </w:rPr>
            </w:pPr>
            <w:r w:rsidRPr="00ED7C8D">
              <w:rPr>
                <w:rFonts w:ascii="Arial" w:eastAsia="Cambria" w:hAnsi="Arial" w:cs="Arial"/>
                <w:sz w:val="24"/>
                <w:szCs w:val="24"/>
              </w:rPr>
              <w:t>Age of subjects</w:t>
            </w:r>
            <w:r w:rsidR="00A50237" w:rsidRPr="00ED7C8D">
              <w:rPr>
                <w:rFonts w:ascii="Arial" w:eastAsia="Cambria" w:hAnsi="Arial" w:cs="Arial"/>
                <w:sz w:val="24"/>
                <w:szCs w:val="24"/>
              </w:rPr>
              <w:t xml:space="preserve"> </w:t>
            </w:r>
            <w:r w:rsidR="0004682C" w:rsidRPr="00ED7C8D">
              <w:rPr>
                <w:rFonts w:ascii="Arial" w:eastAsia="Cambria" w:hAnsi="Arial" w:cs="Arial"/>
                <w:sz w:val="24"/>
                <w:szCs w:val="24"/>
              </w:rPr>
              <w:t xml:space="preserve">in the population as recorded during the Critical Appraisal Process. </w:t>
            </w:r>
          </w:p>
        </w:tc>
        <w:tc>
          <w:tcPr>
            <w:tcW w:w="1802" w:type="dxa"/>
          </w:tcPr>
          <w:p w14:paraId="1D98B664"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957030" w:rsidRPr="00CC7E17" w14:paraId="1C234360" w14:textId="77777777" w:rsidTr="00ED7C8D">
        <w:tc>
          <w:tcPr>
            <w:tcW w:w="1526" w:type="dxa"/>
          </w:tcPr>
          <w:p w14:paraId="559E87D3"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Author/title</w:t>
            </w:r>
          </w:p>
        </w:tc>
        <w:tc>
          <w:tcPr>
            <w:tcW w:w="1558" w:type="dxa"/>
          </w:tcPr>
          <w:p w14:paraId="13A14343"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2C9E25AD" w14:textId="73B0DABB" w:rsidR="00957030" w:rsidRPr="00C2560F" w:rsidRDefault="005378E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All of the included a</w:t>
            </w:r>
            <w:r w:rsidR="00957030" w:rsidRPr="00ED7C8D">
              <w:rPr>
                <w:rFonts w:ascii="Arial" w:eastAsia="Cambria" w:hAnsi="Arial" w:cs="Arial"/>
                <w:sz w:val="24"/>
                <w:szCs w:val="24"/>
              </w:rPr>
              <w:t>uthor</w:t>
            </w:r>
            <w:r w:rsidR="00495CC0" w:rsidRPr="00ED7C8D">
              <w:rPr>
                <w:rFonts w:ascii="Arial" w:eastAsia="Cambria" w:hAnsi="Arial" w:cs="Arial"/>
                <w:sz w:val="24"/>
                <w:szCs w:val="24"/>
              </w:rPr>
              <w:t>s</w:t>
            </w:r>
            <w:r w:rsidRPr="00ED7C8D">
              <w:rPr>
                <w:rFonts w:ascii="Arial" w:eastAsia="Cambria" w:hAnsi="Arial" w:cs="Arial"/>
                <w:sz w:val="24"/>
                <w:szCs w:val="24"/>
              </w:rPr>
              <w:t xml:space="preserve"> names</w:t>
            </w:r>
            <w:r w:rsidR="00957030" w:rsidRPr="00ED7C8D">
              <w:rPr>
                <w:rFonts w:ascii="Arial" w:eastAsia="Cambria" w:hAnsi="Arial" w:cs="Arial"/>
                <w:sz w:val="24"/>
                <w:szCs w:val="24"/>
              </w:rPr>
              <w:t xml:space="preserve"> and title of the individual journal articles.</w:t>
            </w:r>
          </w:p>
        </w:tc>
        <w:tc>
          <w:tcPr>
            <w:tcW w:w="1802" w:type="dxa"/>
          </w:tcPr>
          <w:p w14:paraId="4A182A80"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957030" w:rsidRPr="00CC7E17" w14:paraId="54552C61" w14:textId="77777777" w:rsidTr="00ED7C8D">
        <w:tc>
          <w:tcPr>
            <w:tcW w:w="1526" w:type="dxa"/>
          </w:tcPr>
          <w:p w14:paraId="0FDC694F"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Journal</w:t>
            </w:r>
          </w:p>
        </w:tc>
        <w:tc>
          <w:tcPr>
            <w:tcW w:w="1558" w:type="dxa"/>
          </w:tcPr>
          <w:p w14:paraId="1BED8472"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01FEC36A"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 name of the journal that the article was taken from.</w:t>
            </w:r>
          </w:p>
        </w:tc>
        <w:tc>
          <w:tcPr>
            <w:tcW w:w="1802" w:type="dxa"/>
          </w:tcPr>
          <w:p w14:paraId="259B5D40"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957030" w:rsidRPr="00CC7E17" w14:paraId="001844A8" w14:textId="77777777" w:rsidTr="00ED7C8D">
        <w:tc>
          <w:tcPr>
            <w:tcW w:w="1526" w:type="dxa"/>
          </w:tcPr>
          <w:p w14:paraId="629464B2"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Volume</w:t>
            </w:r>
          </w:p>
        </w:tc>
        <w:tc>
          <w:tcPr>
            <w:tcW w:w="1558" w:type="dxa"/>
          </w:tcPr>
          <w:p w14:paraId="6911FD60"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72323632"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 volume of the journal that the article was taken from.</w:t>
            </w:r>
          </w:p>
        </w:tc>
        <w:tc>
          <w:tcPr>
            <w:tcW w:w="1802" w:type="dxa"/>
          </w:tcPr>
          <w:p w14:paraId="0B5612B4"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1345E540" w14:textId="77777777" w:rsidTr="00ED7C8D">
        <w:tc>
          <w:tcPr>
            <w:tcW w:w="1526" w:type="dxa"/>
          </w:tcPr>
          <w:p w14:paraId="3E0E9C86"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Issue year</w:t>
            </w:r>
          </w:p>
        </w:tc>
        <w:tc>
          <w:tcPr>
            <w:tcW w:w="1558" w:type="dxa"/>
          </w:tcPr>
          <w:p w14:paraId="415770E2"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5292604C" w14:textId="62C436DC"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 xml:space="preserve">The year the article was </w:t>
            </w:r>
            <w:r w:rsidR="0004682C" w:rsidRPr="00ED7C8D">
              <w:rPr>
                <w:rFonts w:ascii="Arial" w:eastAsia="Cambria" w:hAnsi="Arial" w:cs="Arial"/>
                <w:sz w:val="24"/>
                <w:szCs w:val="24"/>
              </w:rPr>
              <w:t>published in paper</w:t>
            </w:r>
            <w:r w:rsidR="00DB7465" w:rsidRPr="00ED7C8D">
              <w:rPr>
                <w:rFonts w:ascii="Arial" w:eastAsia="Cambria" w:hAnsi="Arial" w:cs="Arial"/>
                <w:sz w:val="24"/>
                <w:szCs w:val="24"/>
              </w:rPr>
              <w:t>.</w:t>
            </w:r>
          </w:p>
        </w:tc>
        <w:tc>
          <w:tcPr>
            <w:tcW w:w="1802" w:type="dxa"/>
          </w:tcPr>
          <w:p w14:paraId="5485276A"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03E33BD2" w14:textId="77777777" w:rsidTr="00ED7C8D">
        <w:tc>
          <w:tcPr>
            <w:tcW w:w="1526" w:type="dxa"/>
          </w:tcPr>
          <w:p w14:paraId="7B78969F"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Month Day</w:t>
            </w:r>
          </w:p>
        </w:tc>
        <w:tc>
          <w:tcPr>
            <w:tcW w:w="1558" w:type="dxa"/>
          </w:tcPr>
          <w:p w14:paraId="514A82BC"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32864EE6" w14:textId="04DAD836"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 month and day the article was published</w:t>
            </w:r>
            <w:r w:rsidR="00820F5F" w:rsidRPr="00ED7C8D">
              <w:rPr>
                <w:rFonts w:ascii="Arial" w:eastAsia="Cambria" w:hAnsi="Arial" w:cs="Arial"/>
                <w:sz w:val="24"/>
                <w:szCs w:val="24"/>
              </w:rPr>
              <w:t xml:space="preserve"> for the paper format of the paper</w:t>
            </w:r>
            <w:r w:rsidRPr="00ED7C8D">
              <w:rPr>
                <w:rFonts w:ascii="Arial" w:eastAsia="Cambria" w:hAnsi="Arial" w:cs="Arial"/>
                <w:sz w:val="24"/>
                <w:szCs w:val="24"/>
              </w:rPr>
              <w:t>.</w:t>
            </w:r>
          </w:p>
        </w:tc>
        <w:tc>
          <w:tcPr>
            <w:tcW w:w="1802" w:type="dxa"/>
          </w:tcPr>
          <w:p w14:paraId="658D96E8"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r w:rsidR="00957030" w:rsidRPr="00CC7E17" w14:paraId="4344385A" w14:textId="77777777" w:rsidTr="00ED7C8D">
        <w:tc>
          <w:tcPr>
            <w:tcW w:w="1526" w:type="dxa"/>
          </w:tcPr>
          <w:p w14:paraId="3F7A8C3B"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Pages</w:t>
            </w:r>
          </w:p>
        </w:tc>
        <w:tc>
          <w:tcPr>
            <w:tcW w:w="1558" w:type="dxa"/>
          </w:tcPr>
          <w:p w14:paraId="6C3A85F9"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1C329A18" w14:textId="1FC7E3B3"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 pages that the article in the journal</w:t>
            </w:r>
          </w:p>
        </w:tc>
        <w:tc>
          <w:tcPr>
            <w:tcW w:w="1802" w:type="dxa"/>
          </w:tcPr>
          <w:p w14:paraId="5C4E4F47"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068877B8" w14:textId="77777777" w:rsidTr="00ED7C8D">
        <w:trPr>
          <w:trHeight w:val="1101"/>
        </w:trPr>
        <w:tc>
          <w:tcPr>
            <w:tcW w:w="1526" w:type="dxa"/>
          </w:tcPr>
          <w:p w14:paraId="2B329B34"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Abstract</w:t>
            </w:r>
          </w:p>
        </w:tc>
        <w:tc>
          <w:tcPr>
            <w:tcW w:w="1558" w:type="dxa"/>
          </w:tcPr>
          <w:p w14:paraId="6DBB03A6"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3A87D7F6" w14:textId="39724339"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 xml:space="preserve">A copy of the abstract of </w:t>
            </w:r>
            <w:r w:rsidR="0059199B" w:rsidRPr="00ED7C8D">
              <w:rPr>
                <w:rFonts w:ascii="Arial" w:eastAsia="Cambria" w:hAnsi="Arial" w:cs="Arial"/>
                <w:sz w:val="24"/>
                <w:szCs w:val="24"/>
              </w:rPr>
              <w:t>the</w:t>
            </w:r>
            <w:r w:rsidRPr="00ED7C8D">
              <w:rPr>
                <w:rFonts w:ascii="Arial" w:eastAsia="Cambria" w:hAnsi="Arial" w:cs="Arial"/>
                <w:sz w:val="24"/>
                <w:szCs w:val="24"/>
              </w:rPr>
              <w:t xml:space="preserve"> article, used to </w:t>
            </w:r>
            <w:r w:rsidR="0059199B" w:rsidRPr="00ED7C8D">
              <w:rPr>
                <w:rFonts w:ascii="Arial" w:eastAsia="Cambria" w:hAnsi="Arial" w:cs="Arial"/>
                <w:sz w:val="24"/>
                <w:szCs w:val="24"/>
              </w:rPr>
              <w:t>summarize</w:t>
            </w:r>
            <w:r w:rsidRPr="00ED7C8D">
              <w:rPr>
                <w:rFonts w:ascii="Arial" w:eastAsia="Cambria" w:hAnsi="Arial" w:cs="Arial"/>
                <w:sz w:val="24"/>
                <w:szCs w:val="24"/>
              </w:rPr>
              <w:t xml:space="preserve"> what the article is about and the results attained.</w:t>
            </w:r>
          </w:p>
        </w:tc>
        <w:tc>
          <w:tcPr>
            <w:tcW w:w="1802" w:type="dxa"/>
          </w:tcPr>
          <w:p w14:paraId="0874DE80"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r w:rsidR="00957030" w:rsidRPr="00CC7E17" w14:paraId="45EE8E24" w14:textId="77777777" w:rsidTr="00ED7C8D">
        <w:tc>
          <w:tcPr>
            <w:tcW w:w="1526" w:type="dxa"/>
          </w:tcPr>
          <w:p w14:paraId="3C658F8E"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Source</w:t>
            </w:r>
          </w:p>
        </w:tc>
        <w:tc>
          <w:tcPr>
            <w:tcW w:w="1558" w:type="dxa"/>
          </w:tcPr>
          <w:p w14:paraId="2071377C"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PLUS</w:t>
            </w:r>
          </w:p>
        </w:tc>
        <w:tc>
          <w:tcPr>
            <w:tcW w:w="3544" w:type="dxa"/>
          </w:tcPr>
          <w:p w14:paraId="326A58BA" w14:textId="3B30A092" w:rsidR="00957030" w:rsidRPr="00C2560F" w:rsidRDefault="008C2F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Citation</w:t>
            </w:r>
            <w:r w:rsidR="00957030" w:rsidRPr="00ED7C8D">
              <w:rPr>
                <w:rFonts w:ascii="Arial" w:eastAsia="Cambria" w:hAnsi="Arial" w:cs="Arial"/>
                <w:sz w:val="24"/>
                <w:szCs w:val="24"/>
              </w:rPr>
              <w:t>, including journal</w:t>
            </w:r>
            <w:r w:rsidRPr="00ED7C8D">
              <w:rPr>
                <w:rFonts w:ascii="Arial" w:eastAsia="Cambria" w:hAnsi="Arial" w:cs="Arial"/>
                <w:sz w:val="24"/>
                <w:szCs w:val="24"/>
              </w:rPr>
              <w:t xml:space="preserve"> name</w:t>
            </w:r>
            <w:r w:rsidR="00957030" w:rsidRPr="00ED7C8D">
              <w:rPr>
                <w:rFonts w:ascii="Arial" w:eastAsia="Cambria" w:hAnsi="Arial" w:cs="Arial"/>
                <w:sz w:val="24"/>
                <w:szCs w:val="24"/>
              </w:rPr>
              <w:t>, volume and page number</w:t>
            </w:r>
            <w:r w:rsidRPr="00ED7C8D">
              <w:rPr>
                <w:rFonts w:ascii="Arial" w:eastAsia="Cambria" w:hAnsi="Arial" w:cs="Arial"/>
                <w:sz w:val="24"/>
                <w:szCs w:val="24"/>
              </w:rPr>
              <w:t xml:space="preserve"> that can be used to look up an article</w:t>
            </w:r>
            <w:r w:rsidR="00957030" w:rsidRPr="00ED7C8D">
              <w:rPr>
                <w:rFonts w:ascii="Arial" w:eastAsia="Cambria" w:hAnsi="Arial" w:cs="Arial"/>
                <w:sz w:val="24"/>
                <w:szCs w:val="24"/>
              </w:rPr>
              <w:t>.</w:t>
            </w:r>
          </w:p>
        </w:tc>
        <w:tc>
          <w:tcPr>
            <w:tcW w:w="1802" w:type="dxa"/>
          </w:tcPr>
          <w:p w14:paraId="34DAB8C1"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r w:rsidR="00957030" w:rsidRPr="00CC7E17" w14:paraId="74B8F4E3" w14:textId="77777777" w:rsidTr="00ED7C8D">
        <w:trPr>
          <w:trHeight w:val="2757"/>
        </w:trPr>
        <w:tc>
          <w:tcPr>
            <w:tcW w:w="1526" w:type="dxa"/>
          </w:tcPr>
          <w:p w14:paraId="6BCFE699"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Eligible?</w:t>
            </w:r>
          </w:p>
        </w:tc>
        <w:tc>
          <w:tcPr>
            <w:tcW w:w="1558" w:type="dxa"/>
          </w:tcPr>
          <w:p w14:paraId="0772D6BC" w14:textId="40D16888"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5BA4ABC8" w14:textId="40A558D6"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In (default) and out option for each paper to determine if paper is eligible</w:t>
            </w:r>
            <w:r w:rsidR="008C2FD2" w:rsidRPr="00C2560F">
              <w:rPr>
                <w:rFonts w:ascii="Arial" w:eastAsia="Cambria" w:hAnsi="Arial" w:cs="Arial"/>
                <w:sz w:val="24"/>
                <w:szCs w:val="24"/>
                <w:u w:color="000000"/>
              </w:rPr>
              <w:t xml:space="preserve"> according to whether the extractor is able to extract baseline risk information</w:t>
            </w:r>
            <w:r w:rsidR="00127DD6" w:rsidRPr="00C2560F">
              <w:rPr>
                <w:rFonts w:ascii="Arial" w:eastAsia="Cambria" w:hAnsi="Arial" w:cs="Arial"/>
                <w:sz w:val="24"/>
                <w:szCs w:val="24"/>
                <w:u w:color="000000"/>
              </w:rPr>
              <w:t xml:space="preserve"> for at least one outcome</w:t>
            </w:r>
            <w:r w:rsidR="008C2FD2" w:rsidRPr="00C2560F">
              <w:rPr>
                <w:rFonts w:ascii="Arial" w:eastAsia="Cambria" w:hAnsi="Arial" w:cs="Arial"/>
                <w:sz w:val="24"/>
                <w:szCs w:val="24"/>
                <w:u w:color="000000"/>
              </w:rPr>
              <w:t>.</w:t>
            </w:r>
            <w:r w:rsidR="00127DD6" w:rsidRPr="00C2560F">
              <w:rPr>
                <w:rFonts w:ascii="Arial" w:eastAsia="Cambria" w:hAnsi="Arial" w:cs="Arial"/>
                <w:sz w:val="24"/>
                <w:szCs w:val="24"/>
                <w:u w:color="000000"/>
              </w:rPr>
              <w:t xml:space="preserve"> </w:t>
            </w:r>
          </w:p>
        </w:tc>
        <w:tc>
          <w:tcPr>
            <w:tcW w:w="1802" w:type="dxa"/>
          </w:tcPr>
          <w:p w14:paraId="575F0E6B"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Checkbox</w:t>
            </w:r>
          </w:p>
        </w:tc>
      </w:tr>
      <w:tr w:rsidR="00957030" w:rsidRPr="00CC7E17" w14:paraId="1F55D188" w14:textId="77777777" w:rsidTr="00ED7C8D">
        <w:tc>
          <w:tcPr>
            <w:tcW w:w="1526" w:type="dxa"/>
          </w:tcPr>
          <w:p w14:paraId="76979662"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Discipline</w:t>
            </w:r>
          </w:p>
        </w:tc>
        <w:tc>
          <w:tcPr>
            <w:tcW w:w="1558" w:type="dxa"/>
          </w:tcPr>
          <w:p w14:paraId="7DE92CC2"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PLUS</w:t>
            </w:r>
          </w:p>
        </w:tc>
        <w:tc>
          <w:tcPr>
            <w:tcW w:w="3544" w:type="dxa"/>
          </w:tcPr>
          <w:p w14:paraId="7566F739" w14:textId="13D72511"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 xml:space="preserve">The field </w:t>
            </w:r>
            <w:r w:rsidR="00E07E27" w:rsidRPr="00ED7C8D">
              <w:rPr>
                <w:rFonts w:ascii="Arial" w:eastAsia="Cambria" w:hAnsi="Arial" w:cs="Arial"/>
                <w:sz w:val="24"/>
                <w:szCs w:val="24"/>
              </w:rPr>
              <w:t xml:space="preserve">to </w:t>
            </w:r>
            <w:r w:rsidR="0059199B" w:rsidRPr="00ED7C8D">
              <w:rPr>
                <w:rFonts w:ascii="Arial" w:eastAsia="Cambria" w:hAnsi="Arial" w:cs="Arial"/>
                <w:sz w:val="24"/>
                <w:szCs w:val="24"/>
              </w:rPr>
              <w:t>which</w:t>
            </w:r>
            <w:r w:rsidRPr="00ED7C8D">
              <w:rPr>
                <w:rFonts w:ascii="Arial" w:eastAsia="Cambria" w:hAnsi="Arial" w:cs="Arial"/>
                <w:sz w:val="24"/>
                <w:szCs w:val="24"/>
              </w:rPr>
              <w:t xml:space="preserve"> the article pertains. Individual entries for each discipline can be multiple entries per </w:t>
            </w:r>
            <w:r w:rsidR="00127DD6" w:rsidRPr="00ED7C8D">
              <w:rPr>
                <w:rFonts w:ascii="Arial" w:eastAsia="Cambria" w:hAnsi="Arial" w:cs="Arial"/>
                <w:sz w:val="24"/>
                <w:szCs w:val="24"/>
              </w:rPr>
              <w:t>article</w:t>
            </w:r>
            <w:r w:rsidRPr="00ED7C8D">
              <w:rPr>
                <w:rFonts w:ascii="Arial" w:eastAsia="Cambria" w:hAnsi="Arial" w:cs="Arial"/>
                <w:sz w:val="24"/>
                <w:szCs w:val="24"/>
              </w:rPr>
              <w:t>.</w:t>
            </w:r>
          </w:p>
        </w:tc>
        <w:tc>
          <w:tcPr>
            <w:tcW w:w="1802" w:type="dxa"/>
          </w:tcPr>
          <w:p w14:paraId="0A274384"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957030" w:rsidRPr="00CC7E17" w14:paraId="2C5DD302" w14:textId="77777777" w:rsidTr="00ED7C8D">
        <w:tc>
          <w:tcPr>
            <w:tcW w:w="1526" w:type="dxa"/>
          </w:tcPr>
          <w:p w14:paraId="3A54192F" w14:textId="7A45C341" w:rsidR="00957030" w:rsidRPr="00C2560F" w:rsidRDefault="00172B3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MeSH (Medical Subject Headings)</w:t>
            </w:r>
            <w:r w:rsidR="00C2560F">
              <w:rPr>
                <w:rFonts w:ascii="Arial" w:eastAsia="Cambria" w:hAnsi="Arial" w:cs="Arial"/>
                <w:bCs/>
                <w:sz w:val="24"/>
                <w:szCs w:val="24"/>
              </w:rPr>
              <w:t xml:space="preserve"> </w:t>
            </w:r>
            <w:r w:rsidR="00957030" w:rsidRPr="00ED7C8D">
              <w:rPr>
                <w:rFonts w:ascii="Arial" w:eastAsia="Cambria" w:hAnsi="Arial" w:cs="Arial"/>
                <w:bCs/>
                <w:sz w:val="24"/>
                <w:szCs w:val="24"/>
              </w:rPr>
              <w:t>Major</w:t>
            </w:r>
            <w:r w:rsidR="00A87163" w:rsidRPr="00ED7C8D">
              <w:rPr>
                <w:rFonts w:ascii="Arial" w:eastAsia="Cambria" w:hAnsi="Arial" w:cs="Arial"/>
                <w:bCs/>
                <w:sz w:val="24"/>
                <w:szCs w:val="24"/>
              </w:rPr>
              <w:t xml:space="preserve"> </w:t>
            </w:r>
            <w:r w:rsidR="00957030" w:rsidRPr="00ED7C8D">
              <w:rPr>
                <w:rFonts w:ascii="Arial" w:eastAsia="Cambria" w:hAnsi="Arial" w:cs="Arial"/>
                <w:bCs/>
                <w:sz w:val="24"/>
                <w:szCs w:val="24"/>
              </w:rPr>
              <w:t>terms</w:t>
            </w:r>
          </w:p>
        </w:tc>
        <w:tc>
          <w:tcPr>
            <w:tcW w:w="1558" w:type="dxa"/>
          </w:tcPr>
          <w:p w14:paraId="70568550"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PLUS</w:t>
            </w:r>
          </w:p>
        </w:tc>
        <w:tc>
          <w:tcPr>
            <w:tcW w:w="3544" w:type="dxa"/>
          </w:tcPr>
          <w:p w14:paraId="42454413" w14:textId="4F47D11B"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 xml:space="preserve">Indexing terms for the article. </w:t>
            </w:r>
            <w:r w:rsidR="00127DD6" w:rsidRPr="00ED7C8D">
              <w:rPr>
                <w:rFonts w:ascii="Arial" w:eastAsia="Cambria" w:hAnsi="Arial" w:cs="Arial"/>
                <w:sz w:val="24"/>
                <w:szCs w:val="24"/>
              </w:rPr>
              <w:t xml:space="preserve">The major terms are those that reflect the major concentration of the article. </w:t>
            </w:r>
            <w:r w:rsidRPr="00ED7C8D">
              <w:rPr>
                <w:rFonts w:ascii="Arial" w:eastAsia="Cambria" w:hAnsi="Arial" w:cs="Arial"/>
                <w:sz w:val="24"/>
                <w:szCs w:val="24"/>
              </w:rPr>
              <w:t>These are search terms that are used to find the article on a database.</w:t>
            </w:r>
          </w:p>
        </w:tc>
        <w:tc>
          <w:tcPr>
            <w:tcW w:w="1802" w:type="dxa"/>
          </w:tcPr>
          <w:p w14:paraId="76516A09"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r w:rsidR="00957030" w:rsidRPr="00CC7E17" w14:paraId="71D0890E" w14:textId="77777777" w:rsidTr="00ED7C8D">
        <w:tc>
          <w:tcPr>
            <w:tcW w:w="1526" w:type="dxa"/>
          </w:tcPr>
          <w:p w14:paraId="2674B165" w14:textId="7D9B7DE2" w:rsidR="00957030" w:rsidRPr="00C2560F" w:rsidRDefault="00172B3D">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MeSH (</w:t>
            </w:r>
            <w:r w:rsidR="00957030" w:rsidRPr="00ED7C8D">
              <w:rPr>
                <w:rFonts w:ascii="Arial" w:eastAsia="Cambria" w:hAnsi="Arial" w:cs="Arial"/>
                <w:bCs/>
                <w:sz w:val="24"/>
                <w:szCs w:val="24"/>
              </w:rPr>
              <w:t>Me</w:t>
            </w:r>
            <w:r w:rsidRPr="00ED7C8D">
              <w:rPr>
                <w:rFonts w:ascii="Arial" w:eastAsia="Cambria" w:hAnsi="Arial" w:cs="Arial"/>
                <w:bCs/>
                <w:sz w:val="24"/>
                <w:szCs w:val="24"/>
              </w:rPr>
              <w:t xml:space="preserve">dical </w:t>
            </w:r>
            <w:r w:rsidR="00957030" w:rsidRPr="00ED7C8D">
              <w:rPr>
                <w:rFonts w:ascii="Arial" w:eastAsia="Cambria" w:hAnsi="Arial" w:cs="Arial"/>
                <w:bCs/>
                <w:sz w:val="24"/>
                <w:szCs w:val="24"/>
              </w:rPr>
              <w:t>S</w:t>
            </w:r>
            <w:r w:rsidRPr="00ED7C8D">
              <w:rPr>
                <w:rFonts w:ascii="Arial" w:eastAsia="Cambria" w:hAnsi="Arial" w:cs="Arial"/>
                <w:bCs/>
                <w:sz w:val="24"/>
                <w:szCs w:val="24"/>
              </w:rPr>
              <w:t xml:space="preserve">ubject </w:t>
            </w:r>
            <w:r w:rsidR="00957030" w:rsidRPr="00ED7C8D">
              <w:rPr>
                <w:rFonts w:ascii="Arial" w:eastAsia="Cambria" w:hAnsi="Arial" w:cs="Arial"/>
                <w:bCs/>
                <w:sz w:val="24"/>
                <w:szCs w:val="24"/>
              </w:rPr>
              <w:t>H</w:t>
            </w:r>
            <w:r w:rsidRPr="00ED7C8D">
              <w:rPr>
                <w:rFonts w:ascii="Arial" w:eastAsia="Cambria" w:hAnsi="Arial" w:cs="Arial"/>
                <w:bCs/>
                <w:sz w:val="24"/>
                <w:szCs w:val="24"/>
              </w:rPr>
              <w:t>eadings)</w:t>
            </w:r>
            <w:r w:rsidR="00957030" w:rsidRPr="00ED7C8D">
              <w:rPr>
                <w:rFonts w:ascii="Arial" w:eastAsia="Cambria" w:hAnsi="Arial" w:cs="Arial"/>
                <w:bCs/>
                <w:sz w:val="24"/>
                <w:szCs w:val="24"/>
              </w:rPr>
              <w:t xml:space="preserve"> Minor terms</w:t>
            </w:r>
          </w:p>
        </w:tc>
        <w:tc>
          <w:tcPr>
            <w:tcW w:w="1558" w:type="dxa"/>
          </w:tcPr>
          <w:p w14:paraId="001179D6"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PLUS</w:t>
            </w:r>
          </w:p>
        </w:tc>
        <w:tc>
          <w:tcPr>
            <w:tcW w:w="3544" w:type="dxa"/>
          </w:tcPr>
          <w:p w14:paraId="397BBB31" w14:textId="224DEB14"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Indexing terms for the article</w:t>
            </w:r>
            <w:r w:rsidR="00127DD6" w:rsidRPr="00ED7C8D">
              <w:rPr>
                <w:rFonts w:ascii="Arial" w:eastAsia="Cambria" w:hAnsi="Arial" w:cs="Arial"/>
                <w:sz w:val="24"/>
                <w:szCs w:val="24"/>
              </w:rPr>
              <w:t xml:space="preserve"> for those issues in the article that are lesser importance</w:t>
            </w:r>
            <w:r w:rsidRPr="00ED7C8D">
              <w:rPr>
                <w:rFonts w:ascii="Arial" w:eastAsia="Cambria" w:hAnsi="Arial" w:cs="Arial"/>
                <w:sz w:val="24"/>
                <w:szCs w:val="24"/>
              </w:rPr>
              <w:t>. These are search terms that are used to find the article on a database.</w:t>
            </w:r>
            <w:r w:rsidR="00A87163" w:rsidRPr="00ED7C8D">
              <w:rPr>
                <w:rFonts w:ascii="Arial" w:eastAsia="Cambria" w:hAnsi="Arial" w:cs="Arial"/>
                <w:sz w:val="24"/>
                <w:szCs w:val="24"/>
              </w:rPr>
              <w:t xml:space="preserve"> MeSH Major and Minor terms are used for the same purpose in the </w:t>
            </w:r>
            <w:r w:rsidR="00AA5748" w:rsidRPr="00ED7C8D">
              <w:rPr>
                <w:rFonts w:ascii="Arial" w:eastAsia="Cambria" w:hAnsi="Arial" w:cs="Arial"/>
                <w:sz w:val="24"/>
                <w:szCs w:val="24"/>
              </w:rPr>
              <w:t>BRiskeT</w:t>
            </w:r>
            <w:r w:rsidR="00A87163" w:rsidRPr="00ED7C8D">
              <w:rPr>
                <w:rFonts w:ascii="Arial" w:eastAsia="Cambria" w:hAnsi="Arial" w:cs="Arial"/>
                <w:sz w:val="24"/>
                <w:szCs w:val="24"/>
              </w:rPr>
              <w:t xml:space="preserve"> database but </w:t>
            </w:r>
            <w:r w:rsidR="00127DD6" w:rsidRPr="00ED7C8D">
              <w:rPr>
                <w:rFonts w:ascii="Arial" w:eastAsia="Cambria" w:hAnsi="Arial" w:cs="Arial"/>
                <w:sz w:val="24"/>
                <w:szCs w:val="24"/>
              </w:rPr>
              <w:t>reflect the content and its relative importance</w:t>
            </w:r>
            <w:r w:rsidR="00A87163" w:rsidRPr="00ED7C8D">
              <w:rPr>
                <w:rFonts w:ascii="Arial" w:eastAsia="Cambria" w:hAnsi="Arial" w:cs="Arial"/>
                <w:sz w:val="24"/>
                <w:szCs w:val="24"/>
              </w:rPr>
              <w:t xml:space="preserve">. </w:t>
            </w:r>
          </w:p>
        </w:tc>
        <w:tc>
          <w:tcPr>
            <w:tcW w:w="1802" w:type="dxa"/>
          </w:tcPr>
          <w:p w14:paraId="5AC92656"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r w:rsidR="00F84A40" w:rsidRPr="00CC7E17" w14:paraId="438B407F" w14:textId="77777777" w:rsidTr="00ED7C8D">
        <w:tc>
          <w:tcPr>
            <w:tcW w:w="1526" w:type="dxa"/>
          </w:tcPr>
          <w:p w14:paraId="6826D9CA" w14:textId="77777777"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Outcome ID</w:t>
            </w:r>
          </w:p>
        </w:tc>
        <w:tc>
          <w:tcPr>
            <w:tcW w:w="1558" w:type="dxa"/>
          </w:tcPr>
          <w:p w14:paraId="412DC568" w14:textId="6160968A"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13FB00C6" w14:textId="517C04C6" w:rsidR="00F84A40" w:rsidRPr="00C2560F" w:rsidRDefault="00E07E2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360"/>
              </w:tabs>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A</w:t>
            </w:r>
            <w:r w:rsidR="00F84A40" w:rsidRPr="00ED7C8D">
              <w:rPr>
                <w:rFonts w:ascii="Arial" w:eastAsia="Cambria" w:hAnsi="Arial" w:cs="Arial"/>
                <w:sz w:val="24"/>
                <w:szCs w:val="24"/>
              </w:rPr>
              <w:t xml:space="preserve"> unique indexing number given to an outcome in the study for database organization purposes. Studies may have multiple outcomes.</w:t>
            </w:r>
          </w:p>
        </w:tc>
        <w:tc>
          <w:tcPr>
            <w:tcW w:w="1802" w:type="dxa"/>
          </w:tcPr>
          <w:p w14:paraId="1F59652D" w14:textId="710A4186"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Numeric</w:t>
            </w:r>
          </w:p>
        </w:tc>
      </w:tr>
      <w:tr w:rsidR="00F84A40" w:rsidRPr="00CC7E17" w14:paraId="706D1C03" w14:textId="77777777" w:rsidTr="00ED7C8D">
        <w:tc>
          <w:tcPr>
            <w:tcW w:w="1526" w:type="dxa"/>
          </w:tcPr>
          <w:p w14:paraId="5036171C" w14:textId="77777777"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Condition Lay Label</w:t>
            </w:r>
          </w:p>
        </w:tc>
        <w:tc>
          <w:tcPr>
            <w:tcW w:w="1558" w:type="dxa"/>
          </w:tcPr>
          <w:p w14:paraId="0D0ED205" w14:textId="1DCFF533"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 xml:space="preserve">and input by Human Extractor </w:t>
            </w:r>
          </w:p>
        </w:tc>
        <w:tc>
          <w:tcPr>
            <w:tcW w:w="3544" w:type="dxa"/>
          </w:tcPr>
          <w:p w14:paraId="0C9BC816" w14:textId="4DFE7420"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Pre-existing conditions for the population involved</w:t>
            </w:r>
            <w:r w:rsidR="00A50237" w:rsidRPr="00ED7C8D">
              <w:rPr>
                <w:rFonts w:ascii="Arial" w:eastAsia="Cambria" w:hAnsi="Arial" w:cs="Arial"/>
                <w:sz w:val="24"/>
                <w:szCs w:val="24"/>
              </w:rPr>
              <w:t xml:space="preserve"> </w:t>
            </w:r>
            <w:r w:rsidRPr="00ED7C8D">
              <w:rPr>
                <w:rFonts w:ascii="Arial" w:eastAsia="Cambria" w:hAnsi="Arial" w:cs="Arial"/>
                <w:sz w:val="24"/>
                <w:szCs w:val="24"/>
              </w:rPr>
              <w:t>as described by disease or condition name.</w:t>
            </w:r>
          </w:p>
        </w:tc>
        <w:tc>
          <w:tcPr>
            <w:tcW w:w="1802" w:type="dxa"/>
          </w:tcPr>
          <w:p w14:paraId="4F57A54B" w14:textId="77777777"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F84A40" w:rsidRPr="00CC7E17" w14:paraId="5C085B7A" w14:textId="77777777" w:rsidTr="00ED7C8D">
        <w:tc>
          <w:tcPr>
            <w:tcW w:w="1526" w:type="dxa"/>
          </w:tcPr>
          <w:p w14:paraId="24D8A344" w14:textId="77777777"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Condition SNOMED</w:t>
            </w:r>
          </w:p>
        </w:tc>
        <w:tc>
          <w:tcPr>
            <w:tcW w:w="1558" w:type="dxa"/>
          </w:tcPr>
          <w:p w14:paraId="560CE9F7" w14:textId="35B9DE38"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 xml:space="preserve">and input by Human Extractor </w:t>
            </w:r>
          </w:p>
        </w:tc>
        <w:tc>
          <w:tcPr>
            <w:tcW w:w="3544" w:type="dxa"/>
          </w:tcPr>
          <w:p w14:paraId="48788AD0" w14:textId="18221C6D"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Pre-existing conditions coded in SNOMED. This is a numeric field. May be added for prognosis purposes in addition to the tagging done</w:t>
            </w:r>
            <w:r w:rsidR="00E07E27" w:rsidRPr="00ED7C8D">
              <w:rPr>
                <w:rFonts w:ascii="Arial" w:eastAsia="Cambria" w:hAnsi="Arial" w:cs="Arial"/>
                <w:sz w:val="24"/>
                <w:szCs w:val="24"/>
              </w:rPr>
              <w:t xml:space="preserve"> </w:t>
            </w:r>
            <w:r w:rsidRPr="00ED7C8D">
              <w:rPr>
                <w:rFonts w:ascii="Arial" w:eastAsia="Cambria" w:hAnsi="Arial" w:cs="Arial"/>
                <w:sz w:val="24"/>
                <w:szCs w:val="24"/>
              </w:rPr>
              <w:t xml:space="preserve">by PLUS indexers. </w:t>
            </w:r>
          </w:p>
        </w:tc>
        <w:tc>
          <w:tcPr>
            <w:tcW w:w="1802" w:type="dxa"/>
          </w:tcPr>
          <w:p w14:paraId="53721E7C" w14:textId="77777777" w:rsidR="00F84A4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r w:rsidR="00957030" w:rsidRPr="00CC7E17" w14:paraId="3AACD002" w14:textId="77777777" w:rsidTr="00ED7C8D">
        <w:tc>
          <w:tcPr>
            <w:tcW w:w="1526" w:type="dxa"/>
          </w:tcPr>
          <w:p w14:paraId="47AA4EC2" w14:textId="758641A4" w:rsidR="00957030" w:rsidRPr="00C2560F" w:rsidRDefault="00FF09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Sub condition</w:t>
            </w:r>
            <w:r w:rsidR="00957030" w:rsidRPr="00ED7C8D">
              <w:rPr>
                <w:rFonts w:ascii="Arial" w:eastAsia="Cambria" w:hAnsi="Arial" w:cs="Arial"/>
                <w:bCs/>
                <w:sz w:val="24"/>
                <w:szCs w:val="24"/>
              </w:rPr>
              <w:t xml:space="preserve"> SNOMED</w:t>
            </w:r>
          </w:p>
        </w:tc>
        <w:tc>
          <w:tcPr>
            <w:tcW w:w="1558" w:type="dxa"/>
          </w:tcPr>
          <w:p w14:paraId="61FCCDE0" w14:textId="368EE814" w:rsidR="00957030" w:rsidRPr="00ED7C8D"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3A72F97F" w14:textId="236A2A06"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Cohort descriptor terms.</w:t>
            </w:r>
            <w:r w:rsidR="00A50237" w:rsidRPr="00ED7C8D">
              <w:rPr>
                <w:rFonts w:ascii="Arial" w:eastAsia="Cambria" w:hAnsi="Arial" w:cs="Arial"/>
                <w:sz w:val="24"/>
                <w:szCs w:val="24"/>
              </w:rPr>
              <w:t xml:space="preserve"> </w:t>
            </w:r>
            <w:r w:rsidRPr="00ED7C8D">
              <w:rPr>
                <w:rFonts w:ascii="Arial" w:eastAsia="Cambria" w:hAnsi="Arial" w:cs="Arial"/>
                <w:sz w:val="24"/>
                <w:szCs w:val="24"/>
              </w:rPr>
              <w:t>May</w:t>
            </w:r>
            <w:r w:rsidR="0059199B" w:rsidRPr="00ED7C8D">
              <w:rPr>
                <w:rFonts w:ascii="Arial" w:eastAsia="Cambria" w:hAnsi="Arial" w:cs="Arial"/>
                <w:sz w:val="24"/>
                <w:szCs w:val="24"/>
              </w:rPr>
              <w:t xml:space="preserve"> </w:t>
            </w:r>
            <w:r w:rsidRPr="00ED7C8D">
              <w:rPr>
                <w:rFonts w:ascii="Arial" w:eastAsia="Cambria" w:hAnsi="Arial" w:cs="Arial"/>
                <w:sz w:val="24"/>
                <w:szCs w:val="24"/>
              </w:rPr>
              <w:t>be multiple descriptors.</w:t>
            </w:r>
          </w:p>
        </w:tc>
        <w:tc>
          <w:tcPr>
            <w:tcW w:w="1802" w:type="dxa"/>
          </w:tcPr>
          <w:p w14:paraId="67DA3EEC"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r w:rsidR="00957030" w:rsidRPr="00CC7E17" w14:paraId="2808A199" w14:textId="77777777" w:rsidTr="00ED7C8D">
        <w:trPr>
          <w:trHeight w:val="780"/>
        </w:trPr>
        <w:tc>
          <w:tcPr>
            <w:tcW w:w="1526" w:type="dxa"/>
          </w:tcPr>
          <w:p w14:paraId="12B4A243" w14:textId="6ECFBCFD" w:rsidR="00957030" w:rsidRPr="00C2560F" w:rsidRDefault="00FF09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Sub condition</w:t>
            </w:r>
            <w:r w:rsidR="00957030" w:rsidRPr="00C2560F">
              <w:rPr>
                <w:rFonts w:ascii="Arial" w:eastAsia="Cambria" w:hAnsi="Arial" w:cs="Arial"/>
                <w:sz w:val="24"/>
                <w:szCs w:val="24"/>
                <w:u w:color="000000"/>
              </w:rPr>
              <w:t xml:space="preserve"> Lay Label</w:t>
            </w:r>
          </w:p>
        </w:tc>
        <w:tc>
          <w:tcPr>
            <w:tcW w:w="1558" w:type="dxa"/>
          </w:tcPr>
          <w:p w14:paraId="5810B16A" w14:textId="3ADAEB17" w:rsidR="00957030" w:rsidRPr="00ED7C8D" w:rsidRDefault="00F84A40" w:rsidP="00ED7C8D">
            <w:pPr>
              <w:spacing w:line="360" w:lineRule="auto"/>
              <w:rPr>
                <w:rFonts w:ascii="Arial" w:hAnsi="Arial" w:cs="Arial"/>
                <w:sz w:val="24"/>
                <w:szCs w:val="24"/>
              </w:rPr>
            </w:pPr>
            <w:r w:rsidRPr="00E87B49">
              <w:rPr>
                <w:rFonts w:ascii="Arial" w:eastAsia="Cambria" w:hAnsi="Arial" w:cs="Arial"/>
                <w:u w:color="000000"/>
              </w:rPr>
              <w:t>Manually searched for</w:t>
            </w:r>
            <w:r w:rsidR="00A50237" w:rsidRPr="00E87B49">
              <w:rPr>
                <w:rFonts w:ascii="Arial" w:eastAsia="Cambria" w:hAnsi="Arial" w:cs="Arial"/>
                <w:u w:color="000000"/>
              </w:rPr>
              <w:t xml:space="preserve"> </w:t>
            </w:r>
            <w:r w:rsidRPr="00E87B49">
              <w:rPr>
                <w:rFonts w:ascii="Arial" w:eastAsia="Cambria" w:hAnsi="Arial" w:cs="Arial"/>
                <w:u w:color="000000"/>
              </w:rPr>
              <w:t xml:space="preserve">and input by Human Extractor </w:t>
            </w:r>
          </w:p>
        </w:tc>
        <w:tc>
          <w:tcPr>
            <w:tcW w:w="3544" w:type="dxa"/>
          </w:tcPr>
          <w:p w14:paraId="2A102D7C"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Cohort as described by disease or condition name. Maybe multiple terms.</w:t>
            </w:r>
          </w:p>
        </w:tc>
        <w:tc>
          <w:tcPr>
            <w:tcW w:w="1802" w:type="dxa"/>
          </w:tcPr>
          <w:p w14:paraId="49ADB514"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957030" w:rsidRPr="00CC7E17" w14:paraId="3D4E6488" w14:textId="77777777" w:rsidTr="00ED7C8D">
        <w:tc>
          <w:tcPr>
            <w:tcW w:w="1526" w:type="dxa"/>
          </w:tcPr>
          <w:p w14:paraId="6E2C428C"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Follow up (months)</w:t>
            </w:r>
          </w:p>
        </w:tc>
        <w:tc>
          <w:tcPr>
            <w:tcW w:w="1558" w:type="dxa"/>
          </w:tcPr>
          <w:p w14:paraId="68CDAA7A"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PLUS</w:t>
            </w:r>
          </w:p>
        </w:tc>
        <w:tc>
          <w:tcPr>
            <w:tcW w:w="3544" w:type="dxa"/>
          </w:tcPr>
          <w:p w14:paraId="3511FC83" w14:textId="60B0D026"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 xml:space="preserve">The length of time the cohort was followed. Data </w:t>
            </w:r>
            <w:r w:rsidR="00127DD6" w:rsidRPr="00ED7C8D">
              <w:rPr>
                <w:rFonts w:ascii="Arial" w:eastAsia="Cambria" w:hAnsi="Arial" w:cs="Arial"/>
                <w:sz w:val="24"/>
                <w:szCs w:val="24"/>
              </w:rPr>
              <w:t>are</w:t>
            </w:r>
            <w:r w:rsidRPr="00ED7C8D">
              <w:rPr>
                <w:rFonts w:ascii="Arial" w:eastAsia="Cambria" w:hAnsi="Arial" w:cs="Arial"/>
                <w:sz w:val="24"/>
                <w:szCs w:val="24"/>
              </w:rPr>
              <w:t xml:space="preserve"> converted into months</w:t>
            </w:r>
            <w:r w:rsidR="00127DD6" w:rsidRPr="00ED7C8D">
              <w:rPr>
                <w:rFonts w:ascii="Arial" w:eastAsia="Cambria" w:hAnsi="Arial" w:cs="Arial"/>
                <w:sz w:val="24"/>
                <w:szCs w:val="24"/>
              </w:rPr>
              <w:t>.</w:t>
            </w:r>
          </w:p>
        </w:tc>
        <w:tc>
          <w:tcPr>
            <w:tcW w:w="1802" w:type="dxa"/>
          </w:tcPr>
          <w:p w14:paraId="0E11008A"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 xml:space="preserve">Numeric </w:t>
            </w:r>
          </w:p>
        </w:tc>
      </w:tr>
      <w:tr w:rsidR="00957030" w:rsidRPr="00CC7E17" w14:paraId="2170B2CA" w14:textId="77777777" w:rsidTr="00ED7C8D">
        <w:tc>
          <w:tcPr>
            <w:tcW w:w="1526" w:type="dxa"/>
          </w:tcPr>
          <w:p w14:paraId="03738A4E"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Age of subpopulation</w:t>
            </w:r>
          </w:p>
        </w:tc>
        <w:tc>
          <w:tcPr>
            <w:tcW w:w="1558" w:type="dxa"/>
          </w:tcPr>
          <w:p w14:paraId="092B3B8F"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PLUS</w:t>
            </w:r>
          </w:p>
        </w:tc>
        <w:tc>
          <w:tcPr>
            <w:tcW w:w="3544" w:type="dxa"/>
          </w:tcPr>
          <w:p w14:paraId="5A989273" w14:textId="06D74143"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 xml:space="preserve">The categories for the population subsets, </w:t>
            </w:r>
            <w:r w:rsidR="00E07E27" w:rsidRPr="00ED7C8D">
              <w:rPr>
                <w:rFonts w:ascii="Arial" w:eastAsia="Cambria" w:hAnsi="Arial" w:cs="Arial"/>
                <w:sz w:val="24"/>
                <w:szCs w:val="24"/>
              </w:rPr>
              <w:t>e.g., adults</w:t>
            </w:r>
            <w:r w:rsidRPr="00ED7C8D">
              <w:rPr>
                <w:rFonts w:ascii="Arial" w:eastAsia="Cambria" w:hAnsi="Arial" w:cs="Arial"/>
                <w:sz w:val="24"/>
                <w:szCs w:val="24"/>
              </w:rPr>
              <w:t>. W</w:t>
            </w:r>
            <w:r w:rsidR="00127DD6" w:rsidRPr="00ED7C8D">
              <w:rPr>
                <w:rFonts w:ascii="Arial" w:eastAsia="Cambria" w:hAnsi="Arial" w:cs="Arial"/>
                <w:sz w:val="24"/>
                <w:szCs w:val="24"/>
              </w:rPr>
              <w:t>e w</w:t>
            </w:r>
            <w:r w:rsidRPr="00ED7C8D">
              <w:rPr>
                <w:rFonts w:ascii="Arial" w:eastAsia="Cambria" w:hAnsi="Arial" w:cs="Arial"/>
                <w:sz w:val="24"/>
                <w:szCs w:val="24"/>
              </w:rPr>
              <w:t>ill stay with CAP categories to start. If no subpopulation age is available, the null value should be the same as the Age of population field in MAIN</w:t>
            </w:r>
            <w:r w:rsidR="00DB7465" w:rsidRPr="00ED7C8D">
              <w:rPr>
                <w:rFonts w:ascii="Arial" w:eastAsia="Cambria" w:hAnsi="Arial" w:cs="Arial"/>
                <w:sz w:val="24"/>
                <w:szCs w:val="24"/>
              </w:rPr>
              <w:t xml:space="preserve"> table of the database.</w:t>
            </w:r>
          </w:p>
        </w:tc>
        <w:tc>
          <w:tcPr>
            <w:tcW w:w="1802" w:type="dxa"/>
          </w:tcPr>
          <w:p w14:paraId="2A372AC6"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957030" w:rsidRPr="00CC7E17" w14:paraId="3C19BF70" w14:textId="77777777" w:rsidTr="00ED7C8D">
        <w:tc>
          <w:tcPr>
            <w:tcW w:w="1526" w:type="dxa"/>
          </w:tcPr>
          <w:p w14:paraId="7B87C672"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Text Excerpta Population</w:t>
            </w:r>
          </w:p>
        </w:tc>
        <w:tc>
          <w:tcPr>
            <w:tcW w:w="1558" w:type="dxa"/>
          </w:tcPr>
          <w:p w14:paraId="1057606C" w14:textId="0AEF4FBB" w:rsidR="00957030" w:rsidRPr="00ED7C8D" w:rsidRDefault="00F84A40" w:rsidP="00ED7C8D">
            <w:pPr>
              <w:spacing w:line="360" w:lineRule="auto"/>
              <w:rPr>
                <w:rFonts w:ascii="Arial" w:hAnsi="Arial" w:cs="Arial"/>
                <w:sz w:val="24"/>
                <w:szCs w:val="24"/>
              </w:rPr>
            </w:pPr>
            <w:r w:rsidRPr="00E87B49">
              <w:rPr>
                <w:rFonts w:ascii="Arial" w:eastAsia="Cambria" w:hAnsi="Arial" w:cs="Arial"/>
                <w:u w:color="000000"/>
              </w:rPr>
              <w:t>Manually searched for</w:t>
            </w:r>
            <w:r w:rsidR="00A50237" w:rsidRPr="00E87B49">
              <w:rPr>
                <w:rFonts w:ascii="Arial" w:eastAsia="Cambria" w:hAnsi="Arial" w:cs="Arial"/>
                <w:u w:color="000000"/>
              </w:rPr>
              <w:t xml:space="preserve"> </w:t>
            </w:r>
            <w:r w:rsidRPr="00E87B49">
              <w:rPr>
                <w:rFonts w:ascii="Arial" w:eastAsia="Cambria" w:hAnsi="Arial" w:cs="Arial"/>
                <w:u w:color="000000"/>
              </w:rPr>
              <w:t xml:space="preserve">and input by Human Extractor </w:t>
            </w:r>
          </w:p>
        </w:tc>
        <w:tc>
          <w:tcPr>
            <w:tcW w:w="3544" w:type="dxa"/>
          </w:tcPr>
          <w:p w14:paraId="60FEFA14"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Excerpt from the article pertaining to population characteristics.</w:t>
            </w:r>
          </w:p>
        </w:tc>
        <w:tc>
          <w:tcPr>
            <w:tcW w:w="1802" w:type="dxa"/>
          </w:tcPr>
          <w:p w14:paraId="30CCCE79"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957030" w:rsidRPr="00CC7E17" w14:paraId="48EE7654" w14:textId="77777777" w:rsidTr="00ED7C8D">
        <w:tc>
          <w:tcPr>
            <w:tcW w:w="1526" w:type="dxa"/>
          </w:tcPr>
          <w:p w14:paraId="42D21077"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Disease Lay Label</w:t>
            </w:r>
          </w:p>
        </w:tc>
        <w:tc>
          <w:tcPr>
            <w:tcW w:w="1558" w:type="dxa"/>
          </w:tcPr>
          <w:p w14:paraId="01B0F2E9" w14:textId="19D268BE"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7C638CD6" w14:textId="3180B34F"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Disease condition</w:t>
            </w:r>
            <w:r w:rsidRPr="00ED7C8D">
              <w:rPr>
                <w:rFonts w:ascii="Arial" w:eastAsia="Cambria" w:hAnsi="Arial" w:cs="Arial"/>
                <w:bCs/>
                <w:sz w:val="24"/>
                <w:szCs w:val="24"/>
              </w:rPr>
              <w:t xml:space="preserve"> </w:t>
            </w:r>
            <w:r w:rsidRPr="00ED7C8D">
              <w:rPr>
                <w:rFonts w:ascii="Arial" w:eastAsia="Cambria" w:hAnsi="Arial" w:cs="Arial"/>
                <w:sz w:val="24"/>
                <w:szCs w:val="24"/>
              </w:rPr>
              <w:t xml:space="preserve">as described by disease </w:t>
            </w:r>
            <w:r w:rsidR="00A87163" w:rsidRPr="00ED7C8D">
              <w:rPr>
                <w:rFonts w:ascii="Arial" w:eastAsia="Cambria" w:hAnsi="Arial" w:cs="Arial"/>
                <w:sz w:val="24"/>
                <w:szCs w:val="24"/>
              </w:rPr>
              <w:t>name</w:t>
            </w:r>
          </w:p>
        </w:tc>
        <w:tc>
          <w:tcPr>
            <w:tcW w:w="1802" w:type="dxa"/>
          </w:tcPr>
          <w:p w14:paraId="121EF6CB" w14:textId="0D79956F"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w:t>
            </w:r>
          </w:p>
        </w:tc>
      </w:tr>
      <w:tr w:rsidR="00957030" w:rsidRPr="00CC7E17" w14:paraId="534FD4CE" w14:textId="77777777" w:rsidTr="00ED7C8D">
        <w:tc>
          <w:tcPr>
            <w:tcW w:w="1526" w:type="dxa"/>
          </w:tcPr>
          <w:p w14:paraId="7F3E5146"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Disease SNOMED</w:t>
            </w:r>
          </w:p>
        </w:tc>
        <w:tc>
          <w:tcPr>
            <w:tcW w:w="1558" w:type="dxa"/>
          </w:tcPr>
          <w:p w14:paraId="6B0FF7DA" w14:textId="3808F027" w:rsidR="00957030" w:rsidRPr="00ED7C8D" w:rsidRDefault="00F84A40" w:rsidP="00ED7C8D">
            <w:pPr>
              <w:spacing w:line="360" w:lineRule="auto"/>
              <w:rPr>
                <w:rFonts w:ascii="Arial" w:hAnsi="Arial" w:cs="Arial"/>
                <w:sz w:val="24"/>
                <w:szCs w:val="24"/>
              </w:rPr>
            </w:pPr>
            <w:r w:rsidRPr="00E87B49">
              <w:rPr>
                <w:rFonts w:ascii="Arial" w:eastAsia="Cambria" w:hAnsi="Arial" w:cs="Arial"/>
                <w:u w:color="000000"/>
              </w:rPr>
              <w:t>Manually searched for</w:t>
            </w:r>
            <w:r w:rsidR="00A50237" w:rsidRPr="00E87B49">
              <w:rPr>
                <w:rFonts w:ascii="Arial" w:eastAsia="Cambria" w:hAnsi="Arial" w:cs="Arial"/>
                <w:u w:color="000000"/>
              </w:rPr>
              <w:t xml:space="preserve"> </w:t>
            </w:r>
            <w:r w:rsidRPr="00E87B49">
              <w:rPr>
                <w:rFonts w:ascii="Arial" w:eastAsia="Cambria" w:hAnsi="Arial" w:cs="Arial"/>
                <w:u w:color="000000"/>
              </w:rPr>
              <w:t xml:space="preserve">and input by Human Extractor </w:t>
            </w:r>
          </w:p>
        </w:tc>
        <w:tc>
          <w:tcPr>
            <w:tcW w:w="3544" w:type="dxa"/>
          </w:tcPr>
          <w:p w14:paraId="593FF328" w14:textId="306C9233"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Disease</w:t>
            </w:r>
            <w:r w:rsidRPr="00ED7C8D">
              <w:rPr>
                <w:rFonts w:ascii="Arial" w:eastAsia="Cambria" w:hAnsi="Arial" w:cs="Arial"/>
                <w:bCs/>
                <w:sz w:val="24"/>
                <w:szCs w:val="24"/>
              </w:rPr>
              <w:t xml:space="preserve"> </w:t>
            </w:r>
            <w:r w:rsidRPr="00ED7C8D">
              <w:rPr>
                <w:rFonts w:ascii="Arial" w:eastAsia="Cambria" w:hAnsi="Arial" w:cs="Arial"/>
                <w:sz w:val="24"/>
                <w:szCs w:val="24"/>
              </w:rPr>
              <w:t>coded in SNOMED.</w:t>
            </w:r>
          </w:p>
        </w:tc>
        <w:tc>
          <w:tcPr>
            <w:tcW w:w="1802" w:type="dxa"/>
          </w:tcPr>
          <w:p w14:paraId="05601D47" w14:textId="793BFD83"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r w:rsidR="00957030" w:rsidRPr="00CC7E17" w14:paraId="13937131" w14:textId="77777777" w:rsidTr="00ED7C8D">
        <w:tc>
          <w:tcPr>
            <w:tcW w:w="1526" w:type="dxa"/>
          </w:tcPr>
          <w:p w14:paraId="38A3BC87"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Disease Total</w:t>
            </w:r>
          </w:p>
        </w:tc>
        <w:tc>
          <w:tcPr>
            <w:tcW w:w="1558" w:type="dxa"/>
          </w:tcPr>
          <w:p w14:paraId="7A3595EC" w14:textId="49F1EBAC"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74C572A5" w14:textId="190926EF"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 total number in the population who have the disease in question (</w:t>
            </w:r>
            <w:r w:rsidR="00E07E27" w:rsidRPr="00ED7C8D">
              <w:rPr>
                <w:rFonts w:ascii="Arial" w:eastAsia="Cambria" w:hAnsi="Arial" w:cs="Arial"/>
                <w:sz w:val="24"/>
                <w:szCs w:val="24"/>
              </w:rPr>
              <w:t>e.g., diabetes</w:t>
            </w:r>
            <w:r w:rsidRPr="00ED7C8D">
              <w:rPr>
                <w:rFonts w:ascii="Arial" w:eastAsia="Cambria" w:hAnsi="Arial" w:cs="Arial"/>
                <w:sz w:val="24"/>
                <w:szCs w:val="24"/>
              </w:rPr>
              <w:t>)</w:t>
            </w:r>
          </w:p>
        </w:tc>
        <w:tc>
          <w:tcPr>
            <w:tcW w:w="1802" w:type="dxa"/>
          </w:tcPr>
          <w:p w14:paraId="55CC2425" w14:textId="08A8D43B"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5D6B4F98" w14:textId="77777777" w:rsidTr="00ED7C8D">
        <w:tc>
          <w:tcPr>
            <w:tcW w:w="1526" w:type="dxa"/>
          </w:tcPr>
          <w:p w14:paraId="1A6A1ECC"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Population Total</w:t>
            </w:r>
          </w:p>
        </w:tc>
        <w:tc>
          <w:tcPr>
            <w:tcW w:w="1558" w:type="dxa"/>
          </w:tcPr>
          <w:p w14:paraId="60F5041B" w14:textId="0F275FCA"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32AB6EA1" w14:textId="03FD77B6"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 total number of individuals studied in the article.</w:t>
            </w:r>
          </w:p>
        </w:tc>
        <w:tc>
          <w:tcPr>
            <w:tcW w:w="1802" w:type="dxa"/>
          </w:tcPr>
          <w:p w14:paraId="75BFE2C3" w14:textId="4841355C"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1229D020" w14:textId="77777777" w:rsidTr="00ED7C8D">
        <w:tc>
          <w:tcPr>
            <w:tcW w:w="1526" w:type="dxa"/>
          </w:tcPr>
          <w:p w14:paraId="78D964B0"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Baseline Risk</w:t>
            </w:r>
          </w:p>
        </w:tc>
        <w:tc>
          <w:tcPr>
            <w:tcW w:w="1558" w:type="dxa"/>
          </w:tcPr>
          <w:p w14:paraId="4EC77361" w14:textId="74928E5D"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54A224E8" w14:textId="3033DF3F"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If given in the study, it is directly inputted or calculated from the outcome total/population total</w:t>
            </w:r>
            <w:r w:rsidR="00A87163" w:rsidRPr="00ED7C8D">
              <w:rPr>
                <w:rFonts w:ascii="Arial" w:eastAsia="Cambria" w:hAnsi="Arial" w:cs="Arial"/>
                <w:sz w:val="24"/>
                <w:szCs w:val="24"/>
              </w:rPr>
              <w:t xml:space="preserve"> OR outcome total/ person years of follow up</w:t>
            </w:r>
            <w:r w:rsidRPr="00ED7C8D">
              <w:rPr>
                <w:rFonts w:ascii="Arial" w:eastAsia="Cambria" w:hAnsi="Arial" w:cs="Arial"/>
                <w:sz w:val="24"/>
                <w:szCs w:val="24"/>
              </w:rPr>
              <w:t>. If risk given as hazard ratio or odds ratio, then stays as null value</w:t>
            </w:r>
          </w:p>
        </w:tc>
        <w:tc>
          <w:tcPr>
            <w:tcW w:w="1802" w:type="dxa"/>
          </w:tcPr>
          <w:p w14:paraId="6B6EBBDC" w14:textId="18CE9545"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77722AF3" w14:textId="77777777" w:rsidTr="00ED7C8D">
        <w:tc>
          <w:tcPr>
            <w:tcW w:w="1526" w:type="dxa"/>
          </w:tcPr>
          <w:p w14:paraId="69220FFF"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Relative Risk</w:t>
            </w:r>
          </w:p>
        </w:tc>
        <w:tc>
          <w:tcPr>
            <w:tcW w:w="1558" w:type="dxa"/>
          </w:tcPr>
          <w:p w14:paraId="786B90F9" w14:textId="356C78A7"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51A5998A" w14:textId="3A0A6B8A"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I</w:t>
            </w:r>
            <w:r w:rsidRPr="00ED7C8D">
              <w:rPr>
                <w:rFonts w:ascii="Arial" w:eastAsia="Cambria" w:hAnsi="Arial" w:cs="Arial"/>
                <w:sz w:val="24"/>
                <w:szCs w:val="24"/>
              </w:rPr>
              <w:t>f risk is given in a relative manner, it is inputted here. Otherwise stays as null value.</w:t>
            </w:r>
          </w:p>
        </w:tc>
        <w:tc>
          <w:tcPr>
            <w:tcW w:w="1802" w:type="dxa"/>
          </w:tcPr>
          <w:p w14:paraId="5900315A" w14:textId="2254585C"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57F8477D" w14:textId="77777777" w:rsidTr="00ED7C8D">
        <w:tc>
          <w:tcPr>
            <w:tcW w:w="1526" w:type="dxa"/>
          </w:tcPr>
          <w:p w14:paraId="71E6A3A3"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Hazard Ratio</w:t>
            </w:r>
          </w:p>
        </w:tc>
        <w:tc>
          <w:tcPr>
            <w:tcW w:w="1558" w:type="dxa"/>
          </w:tcPr>
          <w:p w14:paraId="539BD94B" w14:textId="1D5D63AE"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1CEC03D7" w14:textId="6B800761"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If risk is given as a hazard ratio, it is inputted here. Otherwise stays as null value.</w:t>
            </w:r>
          </w:p>
        </w:tc>
        <w:tc>
          <w:tcPr>
            <w:tcW w:w="1802" w:type="dxa"/>
          </w:tcPr>
          <w:p w14:paraId="255C10AB" w14:textId="7D4A315B"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0491C611" w14:textId="77777777" w:rsidTr="00ED7C8D">
        <w:tc>
          <w:tcPr>
            <w:tcW w:w="1526" w:type="dxa"/>
          </w:tcPr>
          <w:p w14:paraId="6ADB584E" w14:textId="7777777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Odds Ratio</w:t>
            </w:r>
          </w:p>
        </w:tc>
        <w:tc>
          <w:tcPr>
            <w:tcW w:w="1558" w:type="dxa"/>
          </w:tcPr>
          <w:p w14:paraId="12D2FBD3" w14:textId="22C5C8DA" w:rsidR="00957030" w:rsidRPr="00ED7C8D" w:rsidRDefault="00F84A40" w:rsidP="00ED7C8D">
            <w:pPr>
              <w:spacing w:line="360" w:lineRule="auto"/>
              <w:rPr>
                <w:rFonts w:ascii="Arial" w:hAnsi="Arial" w:cs="Arial"/>
                <w:sz w:val="24"/>
                <w:szCs w:val="24"/>
              </w:rPr>
            </w:pPr>
            <w:r w:rsidRPr="00E87B49">
              <w:rPr>
                <w:rFonts w:ascii="Arial" w:eastAsia="Cambria" w:hAnsi="Arial" w:cs="Arial"/>
                <w:u w:color="000000"/>
              </w:rPr>
              <w:t>Manually searched for</w:t>
            </w:r>
            <w:r w:rsidR="00A50237" w:rsidRPr="00E87B49">
              <w:rPr>
                <w:rFonts w:ascii="Arial" w:eastAsia="Cambria" w:hAnsi="Arial" w:cs="Arial"/>
                <w:u w:color="000000"/>
              </w:rPr>
              <w:t xml:space="preserve"> </w:t>
            </w:r>
            <w:r w:rsidRPr="00E87B49">
              <w:rPr>
                <w:rFonts w:ascii="Arial" w:eastAsia="Cambria" w:hAnsi="Arial" w:cs="Arial"/>
                <w:u w:color="000000"/>
              </w:rPr>
              <w:t xml:space="preserve">and input by Human Extractor </w:t>
            </w:r>
          </w:p>
        </w:tc>
        <w:tc>
          <w:tcPr>
            <w:tcW w:w="3544" w:type="dxa"/>
          </w:tcPr>
          <w:p w14:paraId="46CEE76F" w14:textId="18B72758"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If risk is given as an odds ratio, it is inputted here. Otherwise stays as null value.</w:t>
            </w:r>
            <w:r w:rsidR="00A50237" w:rsidRPr="00ED7C8D">
              <w:rPr>
                <w:rFonts w:ascii="Arial" w:eastAsia="Cambria" w:hAnsi="Arial" w:cs="Arial"/>
                <w:sz w:val="24"/>
                <w:szCs w:val="24"/>
              </w:rPr>
              <w:t xml:space="preserve"> </w:t>
            </w:r>
          </w:p>
        </w:tc>
        <w:tc>
          <w:tcPr>
            <w:tcW w:w="1802" w:type="dxa"/>
          </w:tcPr>
          <w:p w14:paraId="0A9155B5" w14:textId="1F90DC3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146F36C5" w14:textId="77777777" w:rsidTr="00ED7C8D">
        <w:tc>
          <w:tcPr>
            <w:tcW w:w="1526" w:type="dxa"/>
          </w:tcPr>
          <w:p w14:paraId="67682E53" w14:textId="5E2DDA30"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L</w:t>
            </w:r>
            <w:r w:rsidR="00172B3D" w:rsidRPr="00C2560F">
              <w:rPr>
                <w:rFonts w:ascii="Arial" w:eastAsia="Cambria" w:hAnsi="Arial" w:cs="Arial"/>
                <w:sz w:val="24"/>
                <w:szCs w:val="24"/>
                <w:u w:color="000000"/>
              </w:rPr>
              <w:t xml:space="preserve">ower </w:t>
            </w:r>
            <w:r w:rsidRPr="00C2560F">
              <w:rPr>
                <w:rFonts w:ascii="Arial" w:eastAsia="Cambria" w:hAnsi="Arial" w:cs="Arial"/>
                <w:sz w:val="24"/>
                <w:szCs w:val="24"/>
                <w:u w:color="000000"/>
              </w:rPr>
              <w:t>B</w:t>
            </w:r>
            <w:r w:rsidR="00172B3D" w:rsidRPr="00C2560F">
              <w:rPr>
                <w:rFonts w:ascii="Arial" w:eastAsia="Cambria" w:hAnsi="Arial" w:cs="Arial"/>
                <w:sz w:val="24"/>
                <w:szCs w:val="24"/>
                <w:u w:color="000000"/>
              </w:rPr>
              <w:t>ound</w:t>
            </w:r>
            <w:r w:rsidRPr="00C2560F">
              <w:rPr>
                <w:rFonts w:ascii="Arial" w:eastAsia="Cambria" w:hAnsi="Arial" w:cs="Arial"/>
                <w:sz w:val="24"/>
                <w:szCs w:val="24"/>
                <w:u w:color="000000"/>
              </w:rPr>
              <w:t xml:space="preserve"> C</w:t>
            </w:r>
            <w:r w:rsidR="00172B3D" w:rsidRPr="00C2560F">
              <w:rPr>
                <w:rFonts w:ascii="Arial" w:eastAsia="Cambria" w:hAnsi="Arial" w:cs="Arial"/>
                <w:sz w:val="24"/>
                <w:szCs w:val="24"/>
                <w:u w:color="000000"/>
              </w:rPr>
              <w:t xml:space="preserve">onfidence </w:t>
            </w:r>
            <w:r w:rsidRPr="00C2560F">
              <w:rPr>
                <w:rFonts w:ascii="Arial" w:eastAsia="Cambria" w:hAnsi="Arial" w:cs="Arial"/>
                <w:sz w:val="24"/>
                <w:szCs w:val="24"/>
                <w:u w:color="000000"/>
              </w:rPr>
              <w:t>I</w:t>
            </w:r>
            <w:r w:rsidR="00172B3D" w:rsidRPr="00C2560F">
              <w:rPr>
                <w:rFonts w:ascii="Arial" w:eastAsia="Cambria" w:hAnsi="Arial" w:cs="Arial"/>
                <w:sz w:val="24"/>
                <w:szCs w:val="24"/>
                <w:u w:color="000000"/>
              </w:rPr>
              <w:t>nterval</w:t>
            </w:r>
          </w:p>
        </w:tc>
        <w:tc>
          <w:tcPr>
            <w:tcW w:w="1558" w:type="dxa"/>
          </w:tcPr>
          <w:p w14:paraId="2903C1E2" w14:textId="456D0DC5" w:rsidR="00957030" w:rsidRPr="00ED7C8D" w:rsidRDefault="00F84A40" w:rsidP="00ED7C8D">
            <w:pPr>
              <w:spacing w:line="360" w:lineRule="auto"/>
              <w:rPr>
                <w:rFonts w:ascii="Arial" w:hAnsi="Arial" w:cs="Arial"/>
                <w:sz w:val="24"/>
                <w:szCs w:val="24"/>
              </w:rPr>
            </w:pPr>
            <w:r w:rsidRPr="00E87B49">
              <w:rPr>
                <w:rFonts w:ascii="Arial" w:eastAsia="Cambria" w:hAnsi="Arial" w:cs="Arial"/>
                <w:u w:color="000000"/>
              </w:rPr>
              <w:t>Manually searched for</w:t>
            </w:r>
            <w:r w:rsidR="00A50237" w:rsidRPr="00E87B49">
              <w:rPr>
                <w:rFonts w:ascii="Arial" w:eastAsia="Cambria" w:hAnsi="Arial" w:cs="Arial"/>
                <w:u w:color="000000"/>
              </w:rPr>
              <w:t xml:space="preserve"> </w:t>
            </w:r>
            <w:r w:rsidRPr="00E87B49">
              <w:rPr>
                <w:rFonts w:ascii="Arial" w:eastAsia="Cambria" w:hAnsi="Arial" w:cs="Arial"/>
                <w:u w:color="000000"/>
              </w:rPr>
              <w:t xml:space="preserve">and input by Human Extractor </w:t>
            </w:r>
          </w:p>
        </w:tc>
        <w:tc>
          <w:tcPr>
            <w:tcW w:w="3544" w:type="dxa"/>
          </w:tcPr>
          <w:p w14:paraId="513469B0" w14:textId="71D49241"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bCs/>
                <w:sz w:val="24"/>
                <w:szCs w:val="24"/>
              </w:rPr>
              <w:t>Th</w:t>
            </w:r>
            <w:r w:rsidRPr="00ED7C8D">
              <w:rPr>
                <w:rFonts w:ascii="Arial" w:eastAsia="Cambria" w:hAnsi="Arial" w:cs="Arial"/>
                <w:sz w:val="24"/>
                <w:szCs w:val="24"/>
              </w:rPr>
              <w:t>e lower bound confidence interval</w:t>
            </w:r>
            <w:r w:rsidR="00DB7465" w:rsidRPr="00ED7C8D">
              <w:rPr>
                <w:rFonts w:ascii="Arial" w:eastAsia="Cambria" w:hAnsi="Arial" w:cs="Arial"/>
                <w:sz w:val="24"/>
                <w:szCs w:val="24"/>
              </w:rPr>
              <w:t xml:space="preserve"> (</w:t>
            </w:r>
            <w:r w:rsidR="00E07E27" w:rsidRPr="00ED7C8D">
              <w:rPr>
                <w:rFonts w:ascii="Arial" w:eastAsia="Cambria" w:hAnsi="Arial" w:cs="Arial"/>
                <w:sz w:val="24"/>
                <w:szCs w:val="24"/>
              </w:rPr>
              <w:t>e.g.</w:t>
            </w:r>
            <w:r w:rsidR="00DB7465" w:rsidRPr="00ED7C8D">
              <w:rPr>
                <w:rFonts w:ascii="Arial" w:eastAsia="Cambria" w:hAnsi="Arial" w:cs="Arial"/>
                <w:sz w:val="24"/>
                <w:szCs w:val="24"/>
              </w:rPr>
              <w:t xml:space="preserve"> 90%, 95%, 99%)</w:t>
            </w:r>
            <w:r w:rsidR="00E07E27" w:rsidRPr="00ED7C8D">
              <w:rPr>
                <w:rFonts w:ascii="Arial" w:eastAsia="Cambria" w:hAnsi="Arial" w:cs="Arial"/>
                <w:sz w:val="24"/>
                <w:szCs w:val="24"/>
              </w:rPr>
              <w:t xml:space="preserve"> that</w:t>
            </w:r>
            <w:r w:rsidRPr="00ED7C8D">
              <w:rPr>
                <w:rFonts w:ascii="Arial" w:eastAsia="Cambria" w:hAnsi="Arial" w:cs="Arial"/>
                <w:sz w:val="24"/>
                <w:szCs w:val="24"/>
              </w:rPr>
              <w:t xml:space="preserve"> gives an estimate of the accuracy of a risk value. Only inputted if given in study, otherwise stays as null value</w:t>
            </w:r>
          </w:p>
        </w:tc>
        <w:tc>
          <w:tcPr>
            <w:tcW w:w="1802" w:type="dxa"/>
          </w:tcPr>
          <w:p w14:paraId="62C7575B" w14:textId="7AED7171"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35FA7D58" w14:textId="77777777" w:rsidTr="00ED7C8D">
        <w:tc>
          <w:tcPr>
            <w:tcW w:w="1526" w:type="dxa"/>
          </w:tcPr>
          <w:p w14:paraId="0994EEF3" w14:textId="02FBB9E2"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U</w:t>
            </w:r>
            <w:r w:rsidR="00172B3D" w:rsidRPr="00C2560F">
              <w:rPr>
                <w:rFonts w:ascii="Arial" w:eastAsia="Cambria" w:hAnsi="Arial" w:cs="Arial"/>
                <w:sz w:val="24"/>
                <w:szCs w:val="24"/>
                <w:u w:color="000000"/>
              </w:rPr>
              <w:t xml:space="preserve">pper </w:t>
            </w:r>
            <w:r w:rsidR="00E07E27" w:rsidRPr="00C2560F">
              <w:rPr>
                <w:rFonts w:ascii="Arial" w:eastAsia="Cambria" w:hAnsi="Arial" w:cs="Arial"/>
                <w:sz w:val="24"/>
                <w:szCs w:val="24"/>
                <w:u w:color="000000"/>
              </w:rPr>
              <w:t>Bound Confidence</w:t>
            </w:r>
            <w:r w:rsidR="00172B3D"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I</w:t>
            </w:r>
            <w:r w:rsidR="00172B3D" w:rsidRPr="00C2560F">
              <w:rPr>
                <w:rFonts w:ascii="Arial" w:eastAsia="Cambria" w:hAnsi="Arial" w:cs="Arial"/>
                <w:sz w:val="24"/>
                <w:szCs w:val="24"/>
                <w:u w:color="000000"/>
              </w:rPr>
              <w:t>nterval</w:t>
            </w:r>
          </w:p>
        </w:tc>
        <w:tc>
          <w:tcPr>
            <w:tcW w:w="1558" w:type="dxa"/>
          </w:tcPr>
          <w:p w14:paraId="7823DC46" w14:textId="0E16C6BB" w:rsidR="00957030" w:rsidRPr="00ED7C8D" w:rsidRDefault="00F84A40" w:rsidP="00ED7C8D">
            <w:pPr>
              <w:spacing w:line="360" w:lineRule="auto"/>
              <w:rPr>
                <w:rFonts w:ascii="Arial" w:hAnsi="Arial" w:cs="Arial"/>
                <w:sz w:val="24"/>
                <w:szCs w:val="24"/>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 xml:space="preserve">and input by Human </w:t>
            </w:r>
            <w:r w:rsidRPr="00E87B49">
              <w:rPr>
                <w:rFonts w:ascii="Arial" w:eastAsia="Cambria" w:hAnsi="Arial" w:cs="Arial"/>
                <w:u w:color="000000"/>
              </w:rPr>
              <w:t xml:space="preserve">Extractor </w:t>
            </w:r>
          </w:p>
        </w:tc>
        <w:tc>
          <w:tcPr>
            <w:tcW w:w="3544" w:type="dxa"/>
          </w:tcPr>
          <w:p w14:paraId="2C3EF780" w14:textId="1AD2AD2F" w:rsidR="00957030" w:rsidRPr="00C2560F" w:rsidRDefault="00E07E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w:t>
            </w:r>
            <w:r w:rsidR="00957030" w:rsidRPr="00ED7C8D">
              <w:rPr>
                <w:rFonts w:ascii="Arial" w:eastAsia="Cambria" w:hAnsi="Arial" w:cs="Arial"/>
                <w:sz w:val="24"/>
                <w:szCs w:val="24"/>
              </w:rPr>
              <w:t xml:space="preserve"> upper bound confidence interval, which gives an estimate of the accuracy of a risk value. Only inputted if given in study, otherwise stays as null value.</w:t>
            </w:r>
          </w:p>
        </w:tc>
        <w:tc>
          <w:tcPr>
            <w:tcW w:w="1802" w:type="dxa"/>
          </w:tcPr>
          <w:p w14:paraId="06A9AA64" w14:textId="643C5DF5"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4043FD05" w14:textId="77777777" w:rsidTr="00ED7C8D">
        <w:trPr>
          <w:trHeight w:val="130"/>
        </w:trPr>
        <w:tc>
          <w:tcPr>
            <w:tcW w:w="1526" w:type="dxa"/>
          </w:tcPr>
          <w:p w14:paraId="65A76997" w14:textId="210C9AB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C</w:t>
            </w:r>
            <w:r w:rsidR="00172B3D" w:rsidRPr="00C2560F">
              <w:rPr>
                <w:rFonts w:ascii="Arial" w:eastAsia="Cambria" w:hAnsi="Arial" w:cs="Arial"/>
                <w:sz w:val="24"/>
                <w:szCs w:val="24"/>
                <w:u w:color="000000"/>
              </w:rPr>
              <w:t xml:space="preserve">onfidence </w:t>
            </w:r>
            <w:r w:rsidRPr="00C2560F">
              <w:rPr>
                <w:rFonts w:ascii="Arial" w:eastAsia="Cambria" w:hAnsi="Arial" w:cs="Arial"/>
                <w:sz w:val="24"/>
                <w:szCs w:val="24"/>
                <w:u w:color="000000"/>
              </w:rPr>
              <w:t>I</w:t>
            </w:r>
            <w:r w:rsidR="00172B3D" w:rsidRPr="00C2560F">
              <w:rPr>
                <w:rFonts w:ascii="Arial" w:eastAsia="Cambria" w:hAnsi="Arial" w:cs="Arial"/>
                <w:sz w:val="24"/>
                <w:szCs w:val="24"/>
                <w:u w:color="000000"/>
              </w:rPr>
              <w:t>nterval</w:t>
            </w:r>
          </w:p>
        </w:tc>
        <w:tc>
          <w:tcPr>
            <w:tcW w:w="1558" w:type="dxa"/>
          </w:tcPr>
          <w:p w14:paraId="7DACA3D9" w14:textId="1F4AA5DD"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6316A8B3" w14:textId="5EC12F51"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 percentage confidence interval, usually 95%. Only inputted if given in study, otherwise stays as null value.</w:t>
            </w:r>
          </w:p>
        </w:tc>
        <w:tc>
          <w:tcPr>
            <w:tcW w:w="1802" w:type="dxa"/>
          </w:tcPr>
          <w:p w14:paraId="7752D861" w14:textId="34410FD1"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218FB33F" w14:textId="77777777" w:rsidTr="00ED7C8D">
        <w:trPr>
          <w:trHeight w:val="130"/>
        </w:trPr>
        <w:tc>
          <w:tcPr>
            <w:tcW w:w="1526" w:type="dxa"/>
          </w:tcPr>
          <w:p w14:paraId="0B4E855B" w14:textId="7B982F06"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P</w:t>
            </w:r>
            <w:r w:rsidR="00172B3D" w:rsidRPr="00C2560F">
              <w:rPr>
                <w:rFonts w:ascii="Arial" w:eastAsia="Cambria" w:hAnsi="Arial" w:cs="Arial"/>
                <w:sz w:val="24"/>
                <w:szCs w:val="24"/>
                <w:u w:color="000000"/>
              </w:rPr>
              <w:t>-value</w:t>
            </w:r>
          </w:p>
        </w:tc>
        <w:tc>
          <w:tcPr>
            <w:tcW w:w="1558" w:type="dxa"/>
          </w:tcPr>
          <w:p w14:paraId="722E0ED7" w14:textId="0DC9D532" w:rsidR="00957030" w:rsidRPr="00C2560F" w:rsidRDefault="00F84A4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Manually searched for</w:t>
            </w:r>
            <w:r w:rsidR="00A50237" w:rsidRPr="00C2560F">
              <w:rPr>
                <w:rFonts w:ascii="Arial" w:eastAsia="Cambria" w:hAnsi="Arial" w:cs="Arial"/>
                <w:sz w:val="24"/>
                <w:szCs w:val="24"/>
                <w:u w:color="000000"/>
              </w:rPr>
              <w:t xml:space="preserve"> </w:t>
            </w:r>
            <w:r w:rsidRPr="00C2560F">
              <w:rPr>
                <w:rFonts w:ascii="Arial" w:eastAsia="Cambria" w:hAnsi="Arial" w:cs="Arial"/>
                <w:sz w:val="24"/>
                <w:szCs w:val="24"/>
                <w:u w:color="000000"/>
              </w:rPr>
              <w:t>and input by Human Extractor</w:t>
            </w:r>
          </w:p>
        </w:tc>
        <w:tc>
          <w:tcPr>
            <w:tcW w:w="3544" w:type="dxa"/>
          </w:tcPr>
          <w:p w14:paraId="6BFC502E" w14:textId="537DFEC6"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The p-value given in the study</w:t>
            </w:r>
            <w:r w:rsidR="00A87163" w:rsidRPr="00ED7C8D">
              <w:rPr>
                <w:rFonts w:ascii="Arial" w:eastAsia="Cambria" w:hAnsi="Arial" w:cs="Arial"/>
                <w:sz w:val="24"/>
                <w:szCs w:val="24"/>
              </w:rPr>
              <w:t xml:space="preserve"> for each outcome</w:t>
            </w:r>
          </w:p>
        </w:tc>
        <w:tc>
          <w:tcPr>
            <w:tcW w:w="1802" w:type="dxa"/>
          </w:tcPr>
          <w:p w14:paraId="499CDB23" w14:textId="51D4A67F"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Numeric</w:t>
            </w:r>
          </w:p>
        </w:tc>
      </w:tr>
      <w:tr w:rsidR="00957030" w:rsidRPr="00CC7E17" w14:paraId="606BBD14" w14:textId="77777777" w:rsidTr="00ED7C8D">
        <w:trPr>
          <w:trHeight w:val="130"/>
        </w:trPr>
        <w:tc>
          <w:tcPr>
            <w:tcW w:w="1526" w:type="dxa"/>
          </w:tcPr>
          <w:p w14:paraId="20DC3016" w14:textId="2402BFC7"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Text Excerpt Risk</w:t>
            </w:r>
          </w:p>
        </w:tc>
        <w:tc>
          <w:tcPr>
            <w:tcW w:w="1558" w:type="dxa"/>
          </w:tcPr>
          <w:p w14:paraId="2ED13255" w14:textId="1304A4B3" w:rsidR="00957030" w:rsidRPr="00ED7C8D" w:rsidRDefault="00F84A40" w:rsidP="00ED7C8D">
            <w:pPr>
              <w:spacing w:line="360" w:lineRule="auto"/>
              <w:rPr>
                <w:rFonts w:ascii="Arial" w:hAnsi="Arial" w:cs="Arial"/>
                <w:sz w:val="24"/>
                <w:szCs w:val="24"/>
              </w:rPr>
            </w:pPr>
            <w:r w:rsidRPr="00E87B49">
              <w:rPr>
                <w:rFonts w:ascii="Arial" w:eastAsia="Cambria" w:hAnsi="Arial" w:cs="Arial"/>
                <w:u w:color="000000"/>
              </w:rPr>
              <w:t>Manually searched for</w:t>
            </w:r>
            <w:r w:rsidR="00A50237" w:rsidRPr="00E87B49">
              <w:rPr>
                <w:rFonts w:ascii="Arial" w:eastAsia="Cambria" w:hAnsi="Arial" w:cs="Arial"/>
                <w:u w:color="000000"/>
              </w:rPr>
              <w:t xml:space="preserve"> </w:t>
            </w:r>
            <w:r w:rsidRPr="00E87B49">
              <w:rPr>
                <w:rFonts w:ascii="Arial" w:eastAsia="Cambria" w:hAnsi="Arial" w:cs="Arial"/>
                <w:u w:color="000000"/>
              </w:rPr>
              <w:t xml:space="preserve">and input by Human Extractor </w:t>
            </w:r>
          </w:p>
        </w:tc>
        <w:tc>
          <w:tcPr>
            <w:tcW w:w="3544" w:type="dxa"/>
          </w:tcPr>
          <w:p w14:paraId="65C97930" w14:textId="03981698"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ED7C8D">
              <w:rPr>
                <w:rFonts w:ascii="Arial" w:eastAsia="Cambria" w:hAnsi="Arial" w:cs="Arial"/>
                <w:sz w:val="24"/>
                <w:szCs w:val="24"/>
              </w:rPr>
              <w:t>Excerpt from the article pertaining to risk calculation.</w:t>
            </w:r>
          </w:p>
        </w:tc>
        <w:tc>
          <w:tcPr>
            <w:tcW w:w="1802" w:type="dxa"/>
          </w:tcPr>
          <w:p w14:paraId="7D3B20F1" w14:textId="7CA78701" w:rsidR="00957030" w:rsidRPr="00C2560F" w:rsidRDefault="0095703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Arial" w:eastAsia="Cambria" w:hAnsi="Arial" w:cs="Arial"/>
                <w:sz w:val="24"/>
                <w:szCs w:val="24"/>
                <w:u w:color="000000"/>
                <w:lang w:eastAsia="en-US"/>
              </w:rPr>
            </w:pPr>
            <w:r w:rsidRPr="00C2560F">
              <w:rPr>
                <w:rFonts w:ascii="Arial" w:eastAsia="Cambria" w:hAnsi="Arial" w:cs="Arial"/>
                <w:sz w:val="24"/>
                <w:szCs w:val="24"/>
                <w:u w:color="000000"/>
              </w:rPr>
              <w:t>Alphanumeric</w:t>
            </w:r>
          </w:p>
        </w:tc>
      </w:tr>
    </w:tbl>
    <w:p w14:paraId="140F15A9" w14:textId="4C052349" w:rsidR="00462074" w:rsidRPr="00CC7E17" w:rsidRDefault="00E87B49" w:rsidP="00ED7C8D">
      <w:pPr>
        <w:pStyle w:val="Heading4"/>
        <w:spacing w:line="360" w:lineRule="auto"/>
        <w:rPr>
          <w:u w:color="000000"/>
        </w:rPr>
      </w:pPr>
      <w:r>
        <w:rPr>
          <w:rFonts w:ascii="Arial" w:eastAsia="Cambria" w:hAnsi="Arial" w:cs="Arial"/>
          <w:u w:color="000000"/>
        </w:rPr>
        <w:br w:type="textWrapping" w:clear="all"/>
      </w:r>
      <w:r w:rsidR="00462074" w:rsidRPr="00CC7E17">
        <w:rPr>
          <w:rFonts w:ascii="Arial" w:hAnsi="Arial" w:cs="Arial"/>
          <w:u w:color="000000"/>
        </w:rPr>
        <w:t xml:space="preserve">First </w:t>
      </w:r>
      <w:r w:rsidR="00CA2ECB" w:rsidRPr="00CC7E17">
        <w:rPr>
          <w:rFonts w:ascii="Arial" w:hAnsi="Arial" w:cs="Arial"/>
          <w:u w:color="000000"/>
        </w:rPr>
        <w:t xml:space="preserve">Iteration Coding And Testing </w:t>
      </w:r>
    </w:p>
    <w:p w14:paraId="0BDC3879" w14:textId="3C65AD33" w:rsidR="004074DD" w:rsidRPr="00CC7E17" w:rsidRDefault="00830EAF" w:rsidP="0009624B">
      <w:pPr>
        <w:pStyle w:val="Body"/>
        <w:spacing w:after="200" w:line="360" w:lineRule="auto"/>
        <w:rPr>
          <w:rFonts w:ascii="Arial" w:eastAsia="Cambria" w:hAnsi="Arial" w:cs="Arial"/>
          <w:sz w:val="24"/>
          <w:szCs w:val="24"/>
          <w:u w:color="000000"/>
        </w:rPr>
      </w:pPr>
      <w:r w:rsidRPr="00CC7E17">
        <w:rPr>
          <w:rFonts w:ascii="Arial" w:eastAsia="Cambria" w:hAnsi="Arial" w:cs="Arial"/>
          <w:sz w:val="24"/>
          <w:szCs w:val="24"/>
          <w:u w:color="000000"/>
        </w:rPr>
        <w:t xml:space="preserve">The </w:t>
      </w:r>
      <w:r w:rsidR="00047A0D" w:rsidRPr="00CC7E17">
        <w:rPr>
          <w:rFonts w:ascii="Arial" w:eastAsia="Cambria" w:hAnsi="Arial" w:cs="Arial"/>
          <w:sz w:val="24"/>
          <w:szCs w:val="24"/>
          <w:u w:color="000000"/>
        </w:rPr>
        <w:t xml:space="preserve">first iteration of the </w:t>
      </w:r>
      <w:r w:rsidRPr="00CC7E17">
        <w:rPr>
          <w:rFonts w:ascii="Arial" w:eastAsia="Cambria" w:hAnsi="Arial" w:cs="Arial"/>
          <w:sz w:val="24"/>
          <w:szCs w:val="24"/>
          <w:u w:color="000000"/>
        </w:rPr>
        <w:t>extractor interface was developed by the HiRU technical team and</w:t>
      </w:r>
      <w:r w:rsidR="00C422CE" w:rsidRPr="00CC7E17">
        <w:rPr>
          <w:rFonts w:ascii="Arial" w:eastAsia="Cambria" w:hAnsi="Arial" w:cs="Arial"/>
          <w:sz w:val="24"/>
          <w:szCs w:val="24"/>
          <w:u w:color="000000"/>
        </w:rPr>
        <w:t xml:space="preserve"> </w:t>
      </w:r>
      <w:r w:rsidRPr="00CC7E17">
        <w:rPr>
          <w:rFonts w:ascii="Arial" w:eastAsia="Cambria" w:hAnsi="Arial" w:cs="Arial"/>
          <w:sz w:val="24"/>
          <w:szCs w:val="24"/>
          <w:u w:color="000000"/>
        </w:rPr>
        <w:t>tested using a small subset of articles</w:t>
      </w:r>
      <w:r w:rsidR="00A87163" w:rsidRPr="00CC7E17">
        <w:rPr>
          <w:rFonts w:ascii="Arial" w:eastAsia="Cambria" w:hAnsi="Arial" w:cs="Arial"/>
          <w:sz w:val="24"/>
          <w:szCs w:val="24"/>
          <w:u w:color="000000"/>
        </w:rPr>
        <w:t xml:space="preserve"> (the inclusion criteria for this subset </w:t>
      </w:r>
      <w:r w:rsidR="00435C3A" w:rsidRPr="00CC7E17">
        <w:rPr>
          <w:rFonts w:ascii="Arial" w:eastAsia="Cambria" w:hAnsi="Arial" w:cs="Arial"/>
          <w:sz w:val="24"/>
          <w:szCs w:val="24"/>
          <w:u w:color="000000"/>
        </w:rPr>
        <w:t>are</w:t>
      </w:r>
      <w:r w:rsidR="00A87163" w:rsidRPr="00CC7E17">
        <w:rPr>
          <w:rFonts w:ascii="Arial" w:eastAsia="Cambria" w:hAnsi="Arial" w:cs="Arial"/>
          <w:sz w:val="24"/>
          <w:szCs w:val="24"/>
          <w:u w:color="000000"/>
        </w:rPr>
        <w:t xml:space="preserve"> listed in Appendix 2)</w:t>
      </w:r>
      <w:r w:rsidRPr="00CC7E17">
        <w:rPr>
          <w:rFonts w:ascii="Arial" w:eastAsia="Cambria" w:hAnsi="Arial" w:cs="Arial"/>
          <w:sz w:val="24"/>
          <w:szCs w:val="24"/>
          <w:u w:color="000000"/>
        </w:rPr>
        <w:t>. The first modules to be developed were the User Credentials and Login</w:t>
      </w:r>
      <w:r w:rsidR="00FD1853" w:rsidRPr="00CC7E17">
        <w:rPr>
          <w:rFonts w:ascii="Arial" w:eastAsia="Cambria" w:hAnsi="Arial" w:cs="Arial"/>
          <w:sz w:val="24"/>
          <w:szCs w:val="24"/>
          <w:u w:color="000000"/>
        </w:rPr>
        <w:t xml:space="preserve"> Module, the Home page and the Extractor I</w:t>
      </w:r>
      <w:r w:rsidRPr="00CC7E17">
        <w:rPr>
          <w:rFonts w:ascii="Arial" w:eastAsia="Cambria" w:hAnsi="Arial" w:cs="Arial"/>
          <w:sz w:val="24"/>
          <w:szCs w:val="24"/>
          <w:u w:color="000000"/>
        </w:rPr>
        <w:t xml:space="preserve">nterface. </w:t>
      </w:r>
      <w:r w:rsidR="00090822">
        <w:rPr>
          <w:rFonts w:ascii="Arial" w:eastAsia="Cambria" w:hAnsi="Arial" w:cs="Arial"/>
          <w:sz w:val="24"/>
          <w:szCs w:val="24"/>
          <w:u w:color="000000"/>
        </w:rPr>
        <w:t>Once these modules were developed, the system underwent user testing by extractors who, t</w:t>
      </w:r>
      <w:r w:rsidRPr="00CC7E17">
        <w:rPr>
          <w:rFonts w:ascii="Arial" w:eastAsia="Cambria" w:hAnsi="Arial" w:cs="Arial"/>
          <w:sz w:val="24"/>
          <w:szCs w:val="24"/>
          <w:u w:color="000000"/>
        </w:rPr>
        <w:t>hrou</w:t>
      </w:r>
      <w:r w:rsidR="00047A0D" w:rsidRPr="00CC7E17">
        <w:rPr>
          <w:rFonts w:ascii="Arial" w:eastAsia="Cambria" w:hAnsi="Arial" w:cs="Arial"/>
          <w:sz w:val="24"/>
          <w:szCs w:val="24"/>
          <w:u w:color="000000"/>
        </w:rPr>
        <w:t>gh a series of extractions,</w:t>
      </w:r>
      <w:r w:rsidRPr="00CC7E17">
        <w:rPr>
          <w:rFonts w:ascii="Arial" w:eastAsia="Cambria" w:hAnsi="Arial" w:cs="Arial"/>
          <w:sz w:val="24"/>
          <w:szCs w:val="24"/>
          <w:u w:color="000000"/>
        </w:rPr>
        <w:t xml:space="preserve"> </w:t>
      </w:r>
      <w:r w:rsidR="00090822">
        <w:rPr>
          <w:rFonts w:ascii="Arial" w:eastAsia="Cambria" w:hAnsi="Arial" w:cs="Arial"/>
          <w:sz w:val="24"/>
          <w:szCs w:val="24"/>
          <w:u w:color="000000"/>
        </w:rPr>
        <w:t xml:space="preserve">determined </w:t>
      </w:r>
      <w:r w:rsidR="00614645" w:rsidRPr="00CC7E17">
        <w:rPr>
          <w:rFonts w:ascii="Arial" w:eastAsia="Cambria" w:hAnsi="Arial" w:cs="Arial"/>
          <w:sz w:val="24"/>
          <w:szCs w:val="24"/>
          <w:u w:color="000000"/>
        </w:rPr>
        <w:t xml:space="preserve">further </w:t>
      </w:r>
      <w:r w:rsidRPr="00CC7E17">
        <w:rPr>
          <w:rFonts w:ascii="Arial" w:eastAsia="Cambria" w:hAnsi="Arial" w:cs="Arial"/>
          <w:sz w:val="24"/>
          <w:szCs w:val="24"/>
          <w:u w:color="000000"/>
        </w:rPr>
        <w:t xml:space="preserve">features </w:t>
      </w:r>
      <w:r w:rsidR="00090822">
        <w:rPr>
          <w:rFonts w:ascii="Arial" w:eastAsia="Cambria" w:hAnsi="Arial" w:cs="Arial"/>
          <w:sz w:val="24"/>
          <w:szCs w:val="24"/>
          <w:u w:color="000000"/>
        </w:rPr>
        <w:t xml:space="preserve">which could be </w:t>
      </w:r>
      <w:r w:rsidRPr="00CC7E17">
        <w:rPr>
          <w:rFonts w:ascii="Arial" w:eastAsia="Cambria" w:hAnsi="Arial" w:cs="Arial"/>
          <w:sz w:val="24"/>
          <w:szCs w:val="24"/>
          <w:u w:color="000000"/>
        </w:rPr>
        <w:t>adde</w:t>
      </w:r>
      <w:r w:rsidR="00FD1853" w:rsidRPr="00CC7E17">
        <w:rPr>
          <w:rFonts w:ascii="Arial" w:eastAsia="Cambria" w:hAnsi="Arial" w:cs="Arial"/>
          <w:sz w:val="24"/>
          <w:szCs w:val="24"/>
          <w:u w:color="000000"/>
        </w:rPr>
        <w:t>d that would add</w:t>
      </w:r>
      <w:r w:rsidRPr="00CC7E17">
        <w:rPr>
          <w:rFonts w:ascii="Arial" w:eastAsia="Cambria" w:hAnsi="Arial" w:cs="Arial"/>
          <w:sz w:val="24"/>
          <w:szCs w:val="24"/>
          <w:u w:color="000000"/>
        </w:rPr>
        <w:t xml:space="preserve"> greater functionality</w:t>
      </w:r>
      <w:r w:rsidR="00614645" w:rsidRPr="00CC7E17">
        <w:rPr>
          <w:rFonts w:ascii="Arial" w:eastAsia="Cambria" w:hAnsi="Arial" w:cs="Arial"/>
          <w:sz w:val="24"/>
          <w:szCs w:val="24"/>
          <w:u w:color="000000"/>
        </w:rPr>
        <w:t xml:space="preserve"> and efficiency</w:t>
      </w:r>
      <w:r w:rsidRPr="00CC7E17">
        <w:rPr>
          <w:rFonts w:ascii="Arial" w:eastAsia="Cambria" w:hAnsi="Arial" w:cs="Arial"/>
          <w:sz w:val="24"/>
          <w:szCs w:val="24"/>
          <w:u w:color="000000"/>
        </w:rPr>
        <w:t xml:space="preserve"> </w:t>
      </w:r>
      <w:r w:rsidR="00090822">
        <w:rPr>
          <w:rFonts w:ascii="Arial" w:eastAsia="Cambria" w:hAnsi="Arial" w:cs="Arial"/>
          <w:sz w:val="24"/>
          <w:szCs w:val="24"/>
          <w:u w:color="000000"/>
        </w:rPr>
        <w:t>to MacPrognosis.</w:t>
      </w:r>
    </w:p>
    <w:p w14:paraId="7E431C30" w14:textId="24E64AF6" w:rsidR="00462074" w:rsidRPr="00CC7E17" w:rsidRDefault="00462074" w:rsidP="0009624B">
      <w:pPr>
        <w:pStyle w:val="Heading3"/>
        <w:spacing w:line="360" w:lineRule="auto"/>
        <w:rPr>
          <w:rFonts w:ascii="Arial" w:hAnsi="Arial" w:cs="Arial"/>
          <w:u w:color="000000"/>
        </w:rPr>
      </w:pPr>
      <w:bookmarkStart w:id="24" w:name="_Toc286437120"/>
      <w:r w:rsidRPr="00CC7E17">
        <w:rPr>
          <w:rFonts w:ascii="Arial" w:hAnsi="Arial" w:cs="Arial"/>
          <w:u w:color="000000"/>
        </w:rPr>
        <w:t xml:space="preserve">Second </w:t>
      </w:r>
      <w:r w:rsidR="00CA2ECB" w:rsidRPr="00CC7E17">
        <w:rPr>
          <w:rFonts w:ascii="Arial" w:hAnsi="Arial" w:cs="Arial"/>
          <w:u w:color="000000"/>
        </w:rPr>
        <w:t>Iteration Development</w:t>
      </w:r>
      <w:bookmarkEnd w:id="24"/>
    </w:p>
    <w:p w14:paraId="4B530316" w14:textId="6AF44321" w:rsidR="00462074" w:rsidRPr="00CC7E17" w:rsidRDefault="00462074" w:rsidP="0009624B">
      <w:pPr>
        <w:pStyle w:val="Heading4"/>
        <w:spacing w:line="360" w:lineRule="auto"/>
        <w:rPr>
          <w:rFonts w:ascii="Arial" w:hAnsi="Arial" w:cs="Arial"/>
          <w:u w:color="000000"/>
        </w:rPr>
      </w:pPr>
      <w:r w:rsidRPr="00CC7E17">
        <w:rPr>
          <w:rFonts w:ascii="Arial" w:hAnsi="Arial" w:cs="Arial"/>
          <w:u w:color="000000"/>
        </w:rPr>
        <w:t xml:space="preserve">Feature </w:t>
      </w:r>
      <w:r w:rsidR="00CA2ECB" w:rsidRPr="00CC7E17">
        <w:rPr>
          <w:rFonts w:ascii="Arial" w:hAnsi="Arial" w:cs="Arial"/>
          <w:u w:color="000000"/>
        </w:rPr>
        <w:t>List Generation For Second Iteration</w:t>
      </w:r>
    </w:p>
    <w:p w14:paraId="34F8312B" w14:textId="0AC60EB9" w:rsidR="00080E2E" w:rsidRPr="00CC7E17" w:rsidRDefault="00B92D32" w:rsidP="0009624B">
      <w:pPr>
        <w:pStyle w:val="Body"/>
        <w:spacing w:after="200" w:line="360" w:lineRule="auto"/>
        <w:rPr>
          <w:rFonts w:ascii="Arial" w:hAnsi="Arial" w:cs="Arial"/>
          <w:sz w:val="24"/>
          <w:szCs w:val="24"/>
        </w:rPr>
      </w:pPr>
      <w:r w:rsidRPr="00CC7E17">
        <w:rPr>
          <w:rFonts w:ascii="Arial" w:eastAsia="Cambria" w:hAnsi="Arial" w:cs="Arial"/>
          <w:sz w:val="24"/>
          <w:szCs w:val="24"/>
          <w:u w:color="000000"/>
        </w:rPr>
        <w:t xml:space="preserve">The first feature that was deemed necessary was the ability to edit </w:t>
      </w:r>
      <w:r w:rsidR="00435C3A" w:rsidRPr="00CC7E17">
        <w:rPr>
          <w:rFonts w:ascii="Arial" w:eastAsia="Cambria" w:hAnsi="Arial" w:cs="Arial"/>
          <w:sz w:val="24"/>
          <w:szCs w:val="24"/>
          <w:u w:color="000000"/>
        </w:rPr>
        <w:t>a</w:t>
      </w:r>
      <w:r w:rsidRPr="00CC7E17">
        <w:rPr>
          <w:rFonts w:ascii="Arial" w:eastAsia="Cambria" w:hAnsi="Arial" w:cs="Arial"/>
          <w:sz w:val="24"/>
          <w:szCs w:val="24"/>
          <w:u w:color="000000"/>
        </w:rPr>
        <w:t xml:space="preserve">rticle related information. </w:t>
      </w:r>
      <w:r w:rsidR="00080E2E" w:rsidRPr="00CC7E17">
        <w:rPr>
          <w:rFonts w:ascii="Arial" w:eastAsia="Cambria" w:hAnsi="Arial" w:cs="Arial"/>
          <w:sz w:val="24"/>
          <w:szCs w:val="24"/>
          <w:u w:color="000000"/>
        </w:rPr>
        <w:t>This was thought to be a useful feature because i</w:t>
      </w:r>
      <w:r w:rsidR="00080E2E" w:rsidRPr="00CC7E17">
        <w:rPr>
          <w:rFonts w:ascii="Arial" w:hAnsi="Arial" w:cs="Arial"/>
          <w:sz w:val="24"/>
          <w:szCs w:val="24"/>
        </w:rPr>
        <w:t xml:space="preserve">n case any errors were </w:t>
      </w:r>
      <w:r w:rsidRPr="00CC7E17">
        <w:rPr>
          <w:rFonts w:ascii="Arial" w:hAnsi="Arial" w:cs="Arial"/>
          <w:sz w:val="24"/>
          <w:szCs w:val="24"/>
        </w:rPr>
        <w:t xml:space="preserve">made during extraction, </w:t>
      </w:r>
      <w:r w:rsidR="00080E2E" w:rsidRPr="00CC7E17">
        <w:rPr>
          <w:rFonts w:ascii="Arial" w:hAnsi="Arial" w:cs="Arial"/>
          <w:sz w:val="24"/>
          <w:szCs w:val="24"/>
        </w:rPr>
        <w:t xml:space="preserve">they could potentially be caught and edited </w:t>
      </w:r>
      <w:r w:rsidR="009E106D" w:rsidRPr="00CC7E17">
        <w:rPr>
          <w:rFonts w:ascii="Arial" w:hAnsi="Arial" w:cs="Arial"/>
          <w:sz w:val="24"/>
          <w:szCs w:val="24"/>
        </w:rPr>
        <w:t xml:space="preserve">afterward </w:t>
      </w:r>
      <w:r w:rsidR="00080E2E" w:rsidRPr="00CC7E17">
        <w:rPr>
          <w:rFonts w:ascii="Arial" w:hAnsi="Arial" w:cs="Arial"/>
          <w:sz w:val="24"/>
          <w:szCs w:val="24"/>
        </w:rPr>
        <w:t xml:space="preserve">using this feature. </w:t>
      </w:r>
    </w:p>
    <w:p w14:paraId="3E062B20" w14:textId="1A9178DC" w:rsidR="00B92D32" w:rsidRPr="00CC7E17" w:rsidRDefault="00080E2E" w:rsidP="0009624B">
      <w:pPr>
        <w:pStyle w:val="Body"/>
        <w:spacing w:after="200" w:line="360" w:lineRule="auto"/>
        <w:rPr>
          <w:rFonts w:ascii="Arial" w:hAnsi="Arial" w:cs="Arial"/>
          <w:sz w:val="24"/>
          <w:szCs w:val="24"/>
        </w:rPr>
      </w:pPr>
      <w:r w:rsidRPr="00CC7E17">
        <w:rPr>
          <w:rFonts w:ascii="Arial" w:hAnsi="Arial" w:cs="Arial"/>
          <w:sz w:val="24"/>
          <w:szCs w:val="24"/>
        </w:rPr>
        <w:t xml:space="preserve">Next, the ability to view information that had been inputted was </w:t>
      </w:r>
      <w:r w:rsidR="00DD52F7" w:rsidRPr="00CC7E17">
        <w:rPr>
          <w:rFonts w:ascii="Arial" w:hAnsi="Arial" w:cs="Arial"/>
          <w:sz w:val="24"/>
          <w:szCs w:val="24"/>
        </w:rPr>
        <w:t>listed</w:t>
      </w:r>
      <w:r w:rsidRPr="00CC7E17">
        <w:rPr>
          <w:rFonts w:ascii="Arial" w:hAnsi="Arial" w:cs="Arial"/>
          <w:sz w:val="24"/>
          <w:szCs w:val="24"/>
        </w:rPr>
        <w:t xml:space="preserve"> </w:t>
      </w:r>
      <w:r w:rsidR="00DD52F7" w:rsidRPr="00CC7E17">
        <w:rPr>
          <w:rFonts w:ascii="Arial" w:hAnsi="Arial" w:cs="Arial"/>
          <w:sz w:val="24"/>
          <w:szCs w:val="24"/>
        </w:rPr>
        <w:t>as</w:t>
      </w:r>
      <w:r w:rsidRPr="00CC7E17">
        <w:rPr>
          <w:rFonts w:ascii="Arial" w:hAnsi="Arial" w:cs="Arial"/>
          <w:sz w:val="24"/>
          <w:szCs w:val="24"/>
        </w:rPr>
        <w:t xml:space="preserve"> another useful feature. </w:t>
      </w:r>
      <w:r w:rsidR="00435C3A" w:rsidRPr="00CC7E17">
        <w:rPr>
          <w:rFonts w:ascii="Arial" w:hAnsi="Arial" w:cs="Arial"/>
          <w:sz w:val="24"/>
          <w:szCs w:val="24"/>
        </w:rPr>
        <w:t>A</w:t>
      </w:r>
      <w:r w:rsidRPr="00CC7E17">
        <w:rPr>
          <w:rFonts w:ascii="Arial" w:hAnsi="Arial" w:cs="Arial"/>
          <w:sz w:val="24"/>
          <w:szCs w:val="24"/>
        </w:rPr>
        <w:t>n extractor would</w:t>
      </w:r>
      <w:r w:rsidR="00435C3A" w:rsidRPr="00CC7E17">
        <w:rPr>
          <w:rFonts w:ascii="Arial" w:hAnsi="Arial" w:cs="Arial"/>
          <w:sz w:val="24"/>
          <w:szCs w:val="24"/>
        </w:rPr>
        <w:t xml:space="preserve"> often</w:t>
      </w:r>
      <w:r w:rsidRPr="00CC7E17">
        <w:rPr>
          <w:rFonts w:ascii="Arial" w:hAnsi="Arial" w:cs="Arial"/>
          <w:sz w:val="24"/>
          <w:szCs w:val="24"/>
        </w:rPr>
        <w:t xml:space="preserve"> </w:t>
      </w:r>
      <w:r w:rsidR="00435C3A" w:rsidRPr="00CC7E17">
        <w:rPr>
          <w:rFonts w:ascii="Arial" w:hAnsi="Arial" w:cs="Arial"/>
          <w:sz w:val="24"/>
          <w:szCs w:val="24"/>
        </w:rPr>
        <w:t xml:space="preserve">likely </w:t>
      </w:r>
      <w:r w:rsidRPr="00CC7E17">
        <w:rPr>
          <w:rFonts w:ascii="Arial" w:hAnsi="Arial" w:cs="Arial"/>
          <w:sz w:val="24"/>
          <w:szCs w:val="24"/>
        </w:rPr>
        <w:t xml:space="preserve">want to </w:t>
      </w:r>
      <w:r w:rsidR="00DD52F7" w:rsidRPr="00CC7E17">
        <w:rPr>
          <w:rFonts w:ascii="Arial" w:hAnsi="Arial" w:cs="Arial"/>
          <w:sz w:val="24"/>
          <w:szCs w:val="24"/>
        </w:rPr>
        <w:t>re-</w:t>
      </w:r>
      <w:r w:rsidRPr="00CC7E17">
        <w:rPr>
          <w:rFonts w:ascii="Arial" w:hAnsi="Arial" w:cs="Arial"/>
          <w:sz w:val="24"/>
          <w:szCs w:val="24"/>
        </w:rPr>
        <w:t>verify his</w:t>
      </w:r>
      <w:r w:rsidR="0016670C" w:rsidRPr="00CC7E17">
        <w:rPr>
          <w:rFonts w:ascii="Arial" w:hAnsi="Arial" w:cs="Arial"/>
          <w:sz w:val="24"/>
          <w:szCs w:val="24"/>
        </w:rPr>
        <w:t xml:space="preserve"> or</w:t>
      </w:r>
      <w:r w:rsidRPr="00CC7E17">
        <w:rPr>
          <w:rFonts w:ascii="Arial" w:hAnsi="Arial" w:cs="Arial"/>
          <w:sz w:val="24"/>
          <w:szCs w:val="24"/>
        </w:rPr>
        <w:t xml:space="preserve"> her recently inputted data. In these cases, the </w:t>
      </w:r>
      <w:r w:rsidR="00DD52F7" w:rsidRPr="00CC7E17">
        <w:rPr>
          <w:rFonts w:ascii="Arial" w:hAnsi="Arial" w:cs="Arial"/>
          <w:sz w:val="24"/>
          <w:szCs w:val="24"/>
        </w:rPr>
        <w:t>“V</w:t>
      </w:r>
      <w:r w:rsidRPr="00CC7E17">
        <w:rPr>
          <w:rFonts w:ascii="Arial" w:hAnsi="Arial" w:cs="Arial"/>
          <w:sz w:val="24"/>
          <w:szCs w:val="24"/>
        </w:rPr>
        <w:t>iew articles</w:t>
      </w:r>
      <w:r w:rsidR="00DD52F7" w:rsidRPr="00CC7E17">
        <w:rPr>
          <w:rFonts w:ascii="Arial" w:hAnsi="Arial" w:cs="Arial"/>
          <w:sz w:val="24"/>
          <w:szCs w:val="24"/>
        </w:rPr>
        <w:t>”</w:t>
      </w:r>
      <w:r w:rsidRPr="00CC7E17">
        <w:rPr>
          <w:rFonts w:ascii="Arial" w:hAnsi="Arial" w:cs="Arial"/>
          <w:sz w:val="24"/>
          <w:szCs w:val="24"/>
        </w:rPr>
        <w:t xml:space="preserve"> page would allow the user to see all of the inputted data. </w:t>
      </w:r>
    </w:p>
    <w:p w14:paraId="56694C05" w14:textId="17F78DC9" w:rsidR="00080E2E" w:rsidRPr="00CC7E17" w:rsidRDefault="00080E2E" w:rsidP="0009624B">
      <w:pPr>
        <w:pStyle w:val="Body"/>
        <w:spacing w:after="200" w:line="360" w:lineRule="auto"/>
        <w:rPr>
          <w:rFonts w:ascii="Arial" w:hAnsi="Arial" w:cs="Arial"/>
          <w:sz w:val="24"/>
          <w:szCs w:val="24"/>
        </w:rPr>
      </w:pPr>
      <w:r w:rsidRPr="00CC7E17">
        <w:rPr>
          <w:rFonts w:ascii="Arial" w:hAnsi="Arial" w:cs="Arial"/>
          <w:sz w:val="24"/>
          <w:szCs w:val="24"/>
        </w:rPr>
        <w:t>In certain articles, instead of</w:t>
      </w:r>
      <w:r w:rsidR="00DD52F7" w:rsidRPr="00CC7E17">
        <w:rPr>
          <w:rFonts w:ascii="Arial" w:hAnsi="Arial" w:cs="Arial"/>
          <w:sz w:val="24"/>
          <w:szCs w:val="24"/>
        </w:rPr>
        <w:t xml:space="preserve"> having</w:t>
      </w:r>
      <w:r w:rsidRPr="00CC7E17">
        <w:rPr>
          <w:rFonts w:ascii="Arial" w:hAnsi="Arial" w:cs="Arial"/>
          <w:sz w:val="24"/>
          <w:szCs w:val="24"/>
        </w:rPr>
        <w:t xml:space="preserve"> a population total from which baseline risk could be calculated, the total number of person years of follow up </w:t>
      </w:r>
      <w:r w:rsidR="00366B98">
        <w:rPr>
          <w:rFonts w:ascii="Arial" w:hAnsi="Arial" w:cs="Arial"/>
          <w:sz w:val="24"/>
          <w:szCs w:val="24"/>
        </w:rPr>
        <w:t>is</w:t>
      </w:r>
      <w:r w:rsidRPr="00CC7E17">
        <w:rPr>
          <w:rFonts w:ascii="Arial" w:hAnsi="Arial" w:cs="Arial"/>
          <w:sz w:val="24"/>
          <w:szCs w:val="24"/>
        </w:rPr>
        <w:t xml:space="preserve"> given. In these cases it was necessary to input person years of follow up as a replacement for the population total. </w:t>
      </w:r>
    </w:p>
    <w:p w14:paraId="25D26609" w14:textId="13E53532" w:rsidR="00080E2E" w:rsidRPr="00CC7E17" w:rsidRDefault="00080E2E" w:rsidP="0009624B">
      <w:pPr>
        <w:pStyle w:val="Body"/>
        <w:spacing w:after="200" w:line="360" w:lineRule="auto"/>
        <w:rPr>
          <w:rFonts w:ascii="Arial" w:hAnsi="Arial" w:cs="Arial"/>
          <w:sz w:val="24"/>
          <w:szCs w:val="24"/>
        </w:rPr>
      </w:pPr>
      <w:r w:rsidRPr="00CC7E17">
        <w:rPr>
          <w:rFonts w:ascii="Arial" w:hAnsi="Arial" w:cs="Arial"/>
          <w:sz w:val="24"/>
          <w:szCs w:val="24"/>
        </w:rPr>
        <w:t xml:space="preserve">While inputting data for a large number of articles, it seemed likely that an extractor might forget to put in certain information. </w:t>
      </w:r>
      <w:r w:rsidR="0016670C" w:rsidRPr="00CC7E17">
        <w:rPr>
          <w:rFonts w:ascii="Arial" w:hAnsi="Arial" w:cs="Arial"/>
          <w:sz w:val="24"/>
          <w:szCs w:val="24"/>
        </w:rPr>
        <w:t>T</w:t>
      </w:r>
      <w:r w:rsidRPr="00CC7E17">
        <w:rPr>
          <w:rFonts w:ascii="Arial" w:hAnsi="Arial" w:cs="Arial"/>
          <w:sz w:val="24"/>
          <w:szCs w:val="24"/>
        </w:rPr>
        <w:t xml:space="preserve">o remedy this situation, the addition of basic </w:t>
      </w:r>
      <w:r w:rsidR="00435C3A" w:rsidRPr="00CC7E17">
        <w:rPr>
          <w:rFonts w:ascii="Arial" w:hAnsi="Arial" w:cs="Arial"/>
          <w:sz w:val="24"/>
          <w:szCs w:val="24"/>
        </w:rPr>
        <w:t xml:space="preserve">data </w:t>
      </w:r>
      <w:r w:rsidRPr="00CC7E17">
        <w:rPr>
          <w:rFonts w:ascii="Arial" w:hAnsi="Arial" w:cs="Arial"/>
          <w:sz w:val="24"/>
          <w:szCs w:val="24"/>
        </w:rPr>
        <w:t xml:space="preserve">logic to assist the extractor was necessary. </w:t>
      </w:r>
      <w:r w:rsidR="00435C3A" w:rsidRPr="00CC7E17">
        <w:rPr>
          <w:rFonts w:ascii="Arial" w:hAnsi="Arial" w:cs="Arial"/>
          <w:sz w:val="24"/>
          <w:szCs w:val="24"/>
        </w:rPr>
        <w:t>For example, t</w:t>
      </w:r>
      <w:r w:rsidRPr="00CC7E17">
        <w:rPr>
          <w:rFonts w:ascii="Arial" w:hAnsi="Arial" w:cs="Arial"/>
          <w:sz w:val="24"/>
          <w:szCs w:val="24"/>
        </w:rPr>
        <w:t xml:space="preserve">his logic would display a prompt in red if the article had been flagged not of interest but did not have a reason for being ineligible. Also, if </w:t>
      </w:r>
      <w:r w:rsidR="00C11346" w:rsidRPr="00CC7E17">
        <w:rPr>
          <w:rFonts w:ascii="Arial" w:hAnsi="Arial" w:cs="Arial"/>
          <w:sz w:val="24"/>
          <w:szCs w:val="24"/>
        </w:rPr>
        <w:t>prevalence data</w:t>
      </w:r>
      <w:r w:rsidRPr="00CC7E17">
        <w:rPr>
          <w:rFonts w:ascii="Arial" w:hAnsi="Arial" w:cs="Arial"/>
          <w:sz w:val="24"/>
          <w:szCs w:val="24"/>
        </w:rPr>
        <w:t xml:space="preserve"> w</w:t>
      </w:r>
      <w:r w:rsidR="00C3533B">
        <w:rPr>
          <w:rFonts w:ascii="Arial" w:hAnsi="Arial" w:cs="Arial"/>
          <w:sz w:val="24"/>
          <w:szCs w:val="24"/>
        </w:rPr>
        <w:t>e</w:t>
      </w:r>
      <w:r w:rsidR="008E23F8">
        <w:rPr>
          <w:rFonts w:ascii="Arial" w:hAnsi="Arial" w:cs="Arial"/>
          <w:sz w:val="24"/>
          <w:szCs w:val="24"/>
        </w:rPr>
        <w:t>re</w:t>
      </w:r>
      <w:r w:rsidRPr="00CC7E17">
        <w:rPr>
          <w:rFonts w:ascii="Arial" w:hAnsi="Arial" w:cs="Arial"/>
          <w:sz w:val="24"/>
          <w:szCs w:val="24"/>
        </w:rPr>
        <w:t xml:space="preserve"> entered, it was necessary to </w:t>
      </w:r>
      <w:r w:rsidR="00435C3A" w:rsidRPr="00CC7E17">
        <w:rPr>
          <w:rFonts w:ascii="Arial" w:hAnsi="Arial" w:cs="Arial"/>
          <w:sz w:val="24"/>
          <w:szCs w:val="24"/>
        </w:rPr>
        <w:t>input</w:t>
      </w:r>
      <w:r w:rsidR="00C11346" w:rsidRPr="00CC7E17">
        <w:rPr>
          <w:rFonts w:ascii="Arial" w:hAnsi="Arial" w:cs="Arial"/>
          <w:sz w:val="24"/>
          <w:szCs w:val="24"/>
        </w:rPr>
        <w:t xml:space="preserve"> both outcome total and</w:t>
      </w:r>
      <w:r w:rsidR="00435C3A" w:rsidRPr="00CC7E17">
        <w:rPr>
          <w:rFonts w:ascii="Arial" w:hAnsi="Arial" w:cs="Arial"/>
          <w:sz w:val="24"/>
          <w:szCs w:val="24"/>
        </w:rPr>
        <w:t xml:space="preserve"> the </w:t>
      </w:r>
      <w:r w:rsidRPr="00CC7E17">
        <w:rPr>
          <w:rFonts w:ascii="Arial" w:hAnsi="Arial" w:cs="Arial"/>
          <w:sz w:val="24"/>
          <w:szCs w:val="24"/>
        </w:rPr>
        <w:t xml:space="preserve">population total value before the article could be submitted. </w:t>
      </w:r>
      <w:r w:rsidR="00435C3A" w:rsidRPr="00CC7E17">
        <w:rPr>
          <w:rFonts w:ascii="Arial" w:hAnsi="Arial" w:cs="Arial"/>
          <w:sz w:val="24"/>
          <w:szCs w:val="24"/>
        </w:rPr>
        <w:t>T</w:t>
      </w:r>
      <w:r w:rsidRPr="00CC7E17">
        <w:rPr>
          <w:rFonts w:ascii="Arial" w:hAnsi="Arial" w:cs="Arial"/>
          <w:sz w:val="24"/>
          <w:szCs w:val="24"/>
        </w:rPr>
        <w:t xml:space="preserve">he extractor interface would </w:t>
      </w:r>
      <w:r w:rsidR="00435C3A" w:rsidRPr="00CC7E17">
        <w:rPr>
          <w:rFonts w:ascii="Arial" w:hAnsi="Arial" w:cs="Arial"/>
          <w:sz w:val="24"/>
          <w:szCs w:val="24"/>
        </w:rPr>
        <w:t xml:space="preserve">also </w:t>
      </w:r>
      <w:r w:rsidRPr="00CC7E17">
        <w:rPr>
          <w:rFonts w:ascii="Arial" w:hAnsi="Arial" w:cs="Arial"/>
          <w:sz w:val="24"/>
          <w:szCs w:val="24"/>
        </w:rPr>
        <w:t xml:space="preserve">prompt the user if </w:t>
      </w:r>
      <w:r w:rsidR="00366B98">
        <w:rPr>
          <w:rFonts w:ascii="Arial" w:hAnsi="Arial" w:cs="Arial"/>
          <w:sz w:val="24"/>
          <w:szCs w:val="24"/>
        </w:rPr>
        <w:t xml:space="preserve">he or she </w:t>
      </w:r>
      <w:r w:rsidR="00E07E27">
        <w:rPr>
          <w:rFonts w:ascii="Arial" w:hAnsi="Arial" w:cs="Arial"/>
          <w:sz w:val="24"/>
          <w:szCs w:val="24"/>
        </w:rPr>
        <w:t>were</w:t>
      </w:r>
      <w:r w:rsidRPr="00CC7E17">
        <w:rPr>
          <w:rFonts w:ascii="Arial" w:hAnsi="Arial" w:cs="Arial"/>
          <w:sz w:val="24"/>
          <w:szCs w:val="24"/>
        </w:rPr>
        <w:t xml:space="preserve"> missing any data for a particular field prior to submitting data for an article.</w:t>
      </w:r>
    </w:p>
    <w:p w14:paraId="4432533C" w14:textId="580708E2" w:rsidR="00080E2E" w:rsidRPr="00CC7E17" w:rsidRDefault="00C422CE" w:rsidP="0009624B">
      <w:pPr>
        <w:pStyle w:val="Body"/>
        <w:spacing w:after="200" w:line="360" w:lineRule="auto"/>
        <w:rPr>
          <w:rFonts w:ascii="Arial" w:hAnsi="Arial" w:cs="Arial"/>
          <w:sz w:val="24"/>
          <w:szCs w:val="24"/>
        </w:rPr>
      </w:pPr>
      <w:r w:rsidRPr="00CC7E17">
        <w:rPr>
          <w:rFonts w:ascii="Arial" w:hAnsi="Arial" w:cs="Arial"/>
          <w:sz w:val="24"/>
          <w:szCs w:val="24"/>
        </w:rPr>
        <w:t>T</w:t>
      </w:r>
      <w:r w:rsidR="00080E2E" w:rsidRPr="00CC7E17">
        <w:rPr>
          <w:rFonts w:ascii="Arial" w:hAnsi="Arial" w:cs="Arial"/>
          <w:sz w:val="24"/>
          <w:szCs w:val="24"/>
        </w:rPr>
        <w:t>o speed</w:t>
      </w:r>
      <w:r w:rsidR="00A43D10" w:rsidRPr="00CC7E17">
        <w:rPr>
          <w:rFonts w:ascii="Arial" w:hAnsi="Arial" w:cs="Arial"/>
          <w:sz w:val="24"/>
          <w:szCs w:val="24"/>
        </w:rPr>
        <w:t xml:space="preserve"> up</w:t>
      </w:r>
      <w:r w:rsidR="00080E2E" w:rsidRPr="00CC7E17">
        <w:rPr>
          <w:rFonts w:ascii="Arial" w:hAnsi="Arial" w:cs="Arial"/>
          <w:sz w:val="24"/>
          <w:szCs w:val="24"/>
        </w:rPr>
        <w:t xml:space="preserve"> the extraction process, another feature that was requested was the ability for the conditions field to be prepopulated with data from the PLUS database. The PLUS database </w:t>
      </w:r>
      <w:r w:rsidR="00C6504E" w:rsidRPr="00CC7E17">
        <w:rPr>
          <w:rFonts w:ascii="Arial" w:hAnsi="Arial" w:cs="Arial"/>
          <w:sz w:val="24"/>
          <w:szCs w:val="24"/>
        </w:rPr>
        <w:t>contain</w:t>
      </w:r>
      <w:r w:rsidR="00DD52F7" w:rsidRPr="00CC7E17">
        <w:rPr>
          <w:rFonts w:ascii="Arial" w:hAnsi="Arial" w:cs="Arial"/>
          <w:sz w:val="24"/>
          <w:szCs w:val="24"/>
        </w:rPr>
        <w:t>s</w:t>
      </w:r>
      <w:r w:rsidR="00C6504E" w:rsidRPr="00CC7E17">
        <w:rPr>
          <w:rFonts w:ascii="Arial" w:hAnsi="Arial" w:cs="Arial"/>
          <w:sz w:val="24"/>
          <w:szCs w:val="24"/>
        </w:rPr>
        <w:t xml:space="preserve"> information about which conditions </w:t>
      </w:r>
      <w:r w:rsidR="00DD52F7" w:rsidRPr="00CC7E17">
        <w:rPr>
          <w:rFonts w:ascii="Arial" w:hAnsi="Arial" w:cs="Arial"/>
          <w:sz w:val="24"/>
          <w:szCs w:val="24"/>
        </w:rPr>
        <w:t xml:space="preserve">are </w:t>
      </w:r>
      <w:r w:rsidR="00C6504E" w:rsidRPr="00CC7E17">
        <w:rPr>
          <w:rFonts w:ascii="Arial" w:hAnsi="Arial" w:cs="Arial"/>
          <w:sz w:val="24"/>
          <w:szCs w:val="24"/>
        </w:rPr>
        <w:t>addressed within an article. It was suggested that th</w:t>
      </w:r>
      <w:r w:rsidRPr="00CC7E17">
        <w:rPr>
          <w:rFonts w:ascii="Arial" w:hAnsi="Arial" w:cs="Arial"/>
          <w:sz w:val="24"/>
          <w:szCs w:val="24"/>
        </w:rPr>
        <w:t>ese</w:t>
      </w:r>
      <w:r w:rsidR="00C6504E" w:rsidRPr="00CC7E17">
        <w:rPr>
          <w:rFonts w:ascii="Arial" w:hAnsi="Arial" w:cs="Arial"/>
          <w:sz w:val="24"/>
          <w:szCs w:val="24"/>
        </w:rPr>
        <w:t xml:space="preserve"> data should pre-populate the condition column so that the extractor simply had to confirm or delete the presence of the condition, thereby saving time.</w:t>
      </w:r>
    </w:p>
    <w:p w14:paraId="0C88DB43" w14:textId="3EB71817" w:rsidR="00C6504E" w:rsidRPr="00CC7E17" w:rsidRDefault="00C6504E" w:rsidP="0009624B">
      <w:pPr>
        <w:pStyle w:val="Body"/>
        <w:spacing w:after="200" w:line="360" w:lineRule="auto"/>
        <w:rPr>
          <w:rFonts w:ascii="Arial" w:hAnsi="Arial" w:cs="Arial"/>
          <w:sz w:val="24"/>
          <w:szCs w:val="24"/>
        </w:rPr>
      </w:pPr>
      <w:r w:rsidRPr="00CC7E17">
        <w:rPr>
          <w:rFonts w:ascii="Arial" w:eastAsia="Cambria" w:hAnsi="Arial" w:cs="Arial"/>
          <w:sz w:val="24"/>
          <w:szCs w:val="24"/>
          <w:u w:color="000000"/>
        </w:rPr>
        <w:t xml:space="preserve">Another feature that </w:t>
      </w:r>
      <w:r w:rsidR="00DD52F7" w:rsidRPr="00CC7E17">
        <w:rPr>
          <w:rFonts w:ascii="Arial" w:eastAsia="Cambria" w:hAnsi="Arial" w:cs="Arial"/>
          <w:sz w:val="24"/>
          <w:szCs w:val="24"/>
          <w:u w:color="000000"/>
        </w:rPr>
        <w:t>was</w:t>
      </w:r>
      <w:r w:rsidRPr="00CC7E17">
        <w:rPr>
          <w:rFonts w:ascii="Arial" w:eastAsia="Cambria" w:hAnsi="Arial" w:cs="Arial"/>
          <w:sz w:val="24"/>
          <w:szCs w:val="24"/>
          <w:u w:color="000000"/>
        </w:rPr>
        <w:t xml:space="preserve"> </w:t>
      </w:r>
      <w:r w:rsidR="00DD52F7" w:rsidRPr="00CC7E17">
        <w:rPr>
          <w:rFonts w:ascii="Arial" w:eastAsia="Cambria" w:hAnsi="Arial" w:cs="Arial"/>
          <w:sz w:val="24"/>
          <w:szCs w:val="24"/>
          <w:u w:color="000000"/>
        </w:rPr>
        <w:t>proposed to</w:t>
      </w:r>
      <w:r w:rsidRPr="00CC7E17">
        <w:rPr>
          <w:rFonts w:ascii="Arial" w:eastAsia="Cambria" w:hAnsi="Arial" w:cs="Arial"/>
          <w:sz w:val="24"/>
          <w:szCs w:val="24"/>
          <w:u w:color="000000"/>
        </w:rPr>
        <w:t xml:space="preserve"> increase the speed of</w:t>
      </w:r>
      <w:r w:rsidR="00A43D10" w:rsidRPr="00CC7E17">
        <w:rPr>
          <w:rFonts w:ascii="Arial" w:eastAsia="Cambria" w:hAnsi="Arial" w:cs="Arial"/>
          <w:sz w:val="24"/>
          <w:szCs w:val="24"/>
          <w:u w:color="000000"/>
        </w:rPr>
        <w:t xml:space="preserve"> the</w:t>
      </w:r>
      <w:r w:rsidRPr="00CC7E17">
        <w:rPr>
          <w:rFonts w:ascii="Arial" w:eastAsia="Cambria" w:hAnsi="Arial" w:cs="Arial"/>
          <w:sz w:val="24"/>
          <w:szCs w:val="24"/>
          <w:u w:color="000000"/>
        </w:rPr>
        <w:t xml:space="preserve"> extraction process was to add buttons that allowed for the deletion of prepopulated data or carrying over</w:t>
      </w:r>
      <w:r w:rsidR="00535338" w:rsidRPr="00CC7E17">
        <w:rPr>
          <w:rFonts w:ascii="Arial" w:eastAsia="Cambria" w:hAnsi="Arial" w:cs="Arial"/>
          <w:sz w:val="24"/>
          <w:szCs w:val="24"/>
          <w:u w:color="000000"/>
        </w:rPr>
        <w:t xml:space="preserve"> </w:t>
      </w:r>
      <w:r w:rsidRPr="00CC7E17">
        <w:rPr>
          <w:rFonts w:ascii="Arial" w:eastAsia="Cambria" w:hAnsi="Arial" w:cs="Arial"/>
          <w:sz w:val="24"/>
          <w:szCs w:val="24"/>
          <w:u w:color="000000"/>
        </w:rPr>
        <w:t xml:space="preserve">correct data from the condition to the sub condition column. When the prepopulated condition column information was </w:t>
      </w:r>
      <w:r w:rsidR="00535338" w:rsidRPr="00CC7E17">
        <w:rPr>
          <w:rFonts w:ascii="Arial" w:eastAsia="Cambria" w:hAnsi="Arial" w:cs="Arial"/>
          <w:sz w:val="24"/>
          <w:szCs w:val="24"/>
          <w:u w:color="000000"/>
        </w:rPr>
        <w:t>no</w:t>
      </w:r>
      <w:r w:rsidR="00FE2AAE" w:rsidRPr="00CC7E17">
        <w:rPr>
          <w:rFonts w:ascii="Arial" w:eastAsia="Cambria" w:hAnsi="Arial" w:cs="Arial"/>
          <w:sz w:val="24"/>
          <w:szCs w:val="24"/>
          <w:u w:color="000000"/>
        </w:rPr>
        <w:t>t</w:t>
      </w:r>
      <w:r w:rsidR="00535338" w:rsidRPr="00CC7E17">
        <w:rPr>
          <w:rFonts w:ascii="Arial" w:eastAsia="Cambria" w:hAnsi="Arial" w:cs="Arial"/>
          <w:sz w:val="24"/>
          <w:szCs w:val="24"/>
          <w:u w:color="000000"/>
        </w:rPr>
        <w:t xml:space="preserve"> deemed to be of interest</w:t>
      </w:r>
      <w:r w:rsidRPr="00CC7E17">
        <w:rPr>
          <w:rFonts w:ascii="Arial" w:eastAsia="Cambria" w:hAnsi="Arial" w:cs="Arial"/>
          <w:sz w:val="24"/>
          <w:szCs w:val="24"/>
          <w:u w:color="000000"/>
        </w:rPr>
        <w:t xml:space="preserve">, a simple click of the proposed delete button would remove the information from the selected cell. </w:t>
      </w:r>
      <w:r w:rsidRPr="00CC7E17">
        <w:rPr>
          <w:rFonts w:ascii="Arial" w:hAnsi="Arial" w:cs="Arial"/>
          <w:sz w:val="24"/>
          <w:szCs w:val="24"/>
        </w:rPr>
        <w:t>In addition to the delete button, the copy button within the condition column would allow for the copying of a condition to the sub</w:t>
      </w:r>
      <w:r w:rsidR="00DD52F7" w:rsidRPr="00CC7E17">
        <w:rPr>
          <w:rFonts w:ascii="Arial" w:hAnsi="Arial" w:cs="Arial"/>
          <w:sz w:val="24"/>
          <w:szCs w:val="24"/>
        </w:rPr>
        <w:t>-</w:t>
      </w:r>
      <w:r w:rsidRPr="00CC7E17">
        <w:rPr>
          <w:rFonts w:ascii="Arial" w:hAnsi="Arial" w:cs="Arial"/>
          <w:sz w:val="24"/>
          <w:szCs w:val="24"/>
        </w:rPr>
        <w:t>condition column when no sub</w:t>
      </w:r>
      <w:r w:rsidR="00DD52F7" w:rsidRPr="00CC7E17">
        <w:rPr>
          <w:rFonts w:ascii="Arial" w:hAnsi="Arial" w:cs="Arial"/>
          <w:sz w:val="24"/>
          <w:szCs w:val="24"/>
        </w:rPr>
        <w:t>-</w:t>
      </w:r>
      <w:r w:rsidRPr="00CC7E17">
        <w:rPr>
          <w:rFonts w:ascii="Arial" w:hAnsi="Arial" w:cs="Arial"/>
          <w:sz w:val="24"/>
          <w:szCs w:val="24"/>
        </w:rPr>
        <w:t xml:space="preserve">condition was present in a study. </w:t>
      </w:r>
    </w:p>
    <w:p w14:paraId="4D815BCC" w14:textId="1F3AEBD8" w:rsidR="00C6504E" w:rsidRPr="00CC7E17" w:rsidRDefault="00C6504E" w:rsidP="0009624B">
      <w:pPr>
        <w:pStyle w:val="Body"/>
        <w:spacing w:after="200" w:line="360" w:lineRule="auto"/>
        <w:rPr>
          <w:rFonts w:ascii="Arial" w:eastAsia="Cambria" w:hAnsi="Arial" w:cs="Arial"/>
          <w:sz w:val="24"/>
          <w:szCs w:val="24"/>
          <w:u w:color="000000"/>
        </w:rPr>
      </w:pPr>
      <w:r w:rsidRPr="00CC7E17">
        <w:rPr>
          <w:rFonts w:ascii="Arial" w:hAnsi="Arial" w:cs="Arial"/>
          <w:sz w:val="24"/>
          <w:szCs w:val="24"/>
        </w:rPr>
        <w:t>Lastly, the addition of a reason for ineligibility field was thought to be useful because the reasons could later be queried for further analysis.</w:t>
      </w:r>
    </w:p>
    <w:p w14:paraId="36BA5514" w14:textId="77777777" w:rsidR="00590B3D" w:rsidRPr="00CC7E17" w:rsidRDefault="00590B3D" w:rsidP="0009624B">
      <w:pPr>
        <w:pStyle w:val="Caption"/>
        <w:spacing w:line="360" w:lineRule="auto"/>
        <w:rPr>
          <w:rFonts w:ascii="Arial" w:eastAsia="Cambria" w:hAnsi="Arial" w:cs="Arial"/>
          <w:sz w:val="24"/>
          <w:szCs w:val="24"/>
          <w:u w:color="000000"/>
        </w:rPr>
      </w:pPr>
    </w:p>
    <w:p w14:paraId="6472D0F7" w14:textId="529F51D6" w:rsidR="00590B3D" w:rsidRPr="00CC7E17" w:rsidRDefault="00590B3D" w:rsidP="0009624B">
      <w:pPr>
        <w:pStyle w:val="Heading4"/>
        <w:spacing w:line="360" w:lineRule="auto"/>
        <w:rPr>
          <w:rFonts w:ascii="Arial" w:hAnsi="Arial" w:cs="Arial"/>
          <w:u w:color="000000"/>
        </w:rPr>
      </w:pPr>
      <w:r w:rsidRPr="00CC7E17">
        <w:rPr>
          <w:rFonts w:ascii="Arial" w:hAnsi="Arial" w:cs="Arial"/>
          <w:u w:color="000000"/>
        </w:rPr>
        <w:t xml:space="preserve">Field </w:t>
      </w:r>
      <w:r w:rsidR="00CA2ECB">
        <w:rPr>
          <w:rFonts w:ascii="Arial" w:hAnsi="Arial" w:cs="Arial"/>
          <w:u w:color="000000"/>
        </w:rPr>
        <w:t>D</w:t>
      </w:r>
      <w:r w:rsidRPr="00CC7E17">
        <w:rPr>
          <w:rFonts w:ascii="Arial" w:hAnsi="Arial" w:cs="Arial"/>
          <w:u w:color="000000"/>
        </w:rPr>
        <w:t xml:space="preserve">efinition </w:t>
      </w:r>
      <w:r w:rsidR="00CA2ECB">
        <w:rPr>
          <w:rFonts w:ascii="Arial" w:hAnsi="Arial" w:cs="Arial"/>
          <w:u w:color="000000"/>
        </w:rPr>
        <w:t>R</w:t>
      </w:r>
      <w:r w:rsidRPr="00CC7E17">
        <w:rPr>
          <w:rFonts w:ascii="Arial" w:hAnsi="Arial" w:cs="Arial"/>
          <w:u w:color="000000"/>
        </w:rPr>
        <w:t xml:space="preserve">efinement </w:t>
      </w:r>
    </w:p>
    <w:p w14:paraId="5534A244" w14:textId="01D70F36" w:rsidR="00AF55E5" w:rsidRPr="00ED7C8D" w:rsidRDefault="009A58E9" w:rsidP="009E57CF">
      <w:pPr>
        <w:pStyle w:val="Body"/>
        <w:spacing w:after="200" w:line="360" w:lineRule="auto"/>
        <w:rPr>
          <w:rFonts w:ascii="Arial" w:hAnsi="Arial" w:cs="Arial"/>
          <w:sz w:val="24"/>
          <w:szCs w:val="24"/>
          <w:u w:color="000000"/>
        </w:rPr>
      </w:pPr>
      <w:r w:rsidRPr="00ED7C8D">
        <w:rPr>
          <w:rFonts w:ascii="Arial" w:eastAsia="Cambria" w:hAnsi="Arial" w:cs="Arial"/>
          <w:sz w:val="24"/>
          <w:szCs w:val="24"/>
          <w:u w:color="000000"/>
        </w:rPr>
        <w:t xml:space="preserve">In addition to adding new features to the extractor interface, certain field names were changed to eliminate confusion. What had previously been named Disease was changed to Outcome within the </w:t>
      </w:r>
      <w:r w:rsidR="008F7261" w:rsidRPr="00ED7C8D">
        <w:rPr>
          <w:rFonts w:ascii="Arial" w:eastAsia="Cambria" w:hAnsi="Arial" w:cs="Arial"/>
          <w:sz w:val="24"/>
          <w:szCs w:val="24"/>
          <w:u w:color="000000"/>
        </w:rPr>
        <w:t>O</w:t>
      </w:r>
      <w:r w:rsidRPr="00ED7C8D">
        <w:rPr>
          <w:rFonts w:ascii="Arial" w:eastAsia="Cambria" w:hAnsi="Arial" w:cs="Arial"/>
          <w:sz w:val="24"/>
          <w:szCs w:val="24"/>
          <w:u w:color="000000"/>
        </w:rPr>
        <w:t>utcome calculation table, along with</w:t>
      </w:r>
      <w:r w:rsidR="00047A0D" w:rsidRPr="00ED7C8D">
        <w:rPr>
          <w:rFonts w:ascii="Arial" w:eastAsia="Cambria" w:hAnsi="Arial" w:cs="Arial"/>
          <w:sz w:val="24"/>
          <w:szCs w:val="24"/>
          <w:u w:color="000000"/>
        </w:rPr>
        <w:t xml:space="preserve"> the change from</w:t>
      </w:r>
      <w:r w:rsidR="00FD1853" w:rsidRPr="00ED7C8D">
        <w:rPr>
          <w:rFonts w:ascii="Arial" w:eastAsia="Cambria" w:hAnsi="Arial" w:cs="Arial"/>
          <w:sz w:val="24"/>
          <w:szCs w:val="24"/>
          <w:u w:color="000000"/>
        </w:rPr>
        <w:t xml:space="preserve"> Disease Lay Label to Outcome Lay L</w:t>
      </w:r>
      <w:r w:rsidRPr="00ED7C8D">
        <w:rPr>
          <w:rFonts w:ascii="Arial" w:eastAsia="Cambria" w:hAnsi="Arial" w:cs="Arial"/>
          <w:sz w:val="24"/>
          <w:szCs w:val="24"/>
          <w:u w:color="000000"/>
        </w:rPr>
        <w:t xml:space="preserve">abel. The reason for this change was that in certain articles, the outcome of interest was not a </w:t>
      </w:r>
      <w:r w:rsidR="00047A0D" w:rsidRPr="00ED7C8D">
        <w:rPr>
          <w:rFonts w:ascii="Arial" w:eastAsia="Cambria" w:hAnsi="Arial" w:cs="Arial"/>
          <w:sz w:val="24"/>
          <w:szCs w:val="24"/>
          <w:u w:color="000000"/>
        </w:rPr>
        <w:t>disease (for example mortality). Also</w:t>
      </w:r>
      <w:r w:rsidRPr="00ED7C8D">
        <w:rPr>
          <w:rFonts w:ascii="Arial" w:eastAsia="Cambria" w:hAnsi="Arial" w:cs="Arial"/>
          <w:sz w:val="24"/>
          <w:szCs w:val="24"/>
          <w:u w:color="000000"/>
        </w:rPr>
        <w:t>, the</w:t>
      </w:r>
      <w:r w:rsidR="00047A0D" w:rsidRPr="00ED7C8D">
        <w:rPr>
          <w:rFonts w:ascii="Arial" w:eastAsia="Cambria" w:hAnsi="Arial" w:cs="Arial"/>
          <w:sz w:val="24"/>
          <w:szCs w:val="24"/>
          <w:u w:color="000000"/>
        </w:rPr>
        <w:t xml:space="preserve"> Outcome</w:t>
      </w:r>
      <w:r w:rsidRPr="00ED7C8D">
        <w:rPr>
          <w:rFonts w:ascii="Arial" w:eastAsia="Cambria" w:hAnsi="Arial" w:cs="Arial"/>
          <w:sz w:val="24"/>
          <w:szCs w:val="24"/>
          <w:u w:color="000000"/>
        </w:rPr>
        <w:t xml:space="preserve"> ID</w:t>
      </w:r>
      <w:r w:rsidR="00535338" w:rsidRPr="00ED7C8D">
        <w:rPr>
          <w:rFonts w:ascii="Arial" w:eastAsia="Cambria" w:hAnsi="Arial" w:cs="Arial"/>
          <w:sz w:val="24"/>
          <w:szCs w:val="24"/>
          <w:u w:color="000000"/>
        </w:rPr>
        <w:t xml:space="preserve"> </w:t>
      </w:r>
      <w:r w:rsidR="00047A0D" w:rsidRPr="00ED7C8D">
        <w:rPr>
          <w:rFonts w:ascii="Arial" w:eastAsia="Cambria" w:hAnsi="Arial" w:cs="Arial"/>
          <w:sz w:val="24"/>
          <w:szCs w:val="24"/>
          <w:u w:color="000000"/>
        </w:rPr>
        <w:t>field</w:t>
      </w:r>
      <w:r w:rsidRPr="00ED7C8D">
        <w:rPr>
          <w:rFonts w:ascii="Arial" w:eastAsia="Cambria" w:hAnsi="Arial" w:cs="Arial"/>
          <w:sz w:val="24"/>
          <w:szCs w:val="24"/>
          <w:u w:color="000000"/>
        </w:rPr>
        <w:t xml:space="preserve"> was changed to Risk ID, which more accurately encapsulated the idea of the table. In addition</w:t>
      </w:r>
      <w:r w:rsidR="00FD1853" w:rsidRPr="00ED7C8D">
        <w:rPr>
          <w:rFonts w:ascii="Arial" w:eastAsia="Cambria" w:hAnsi="Arial" w:cs="Arial"/>
          <w:sz w:val="24"/>
          <w:szCs w:val="24"/>
          <w:u w:color="000000"/>
        </w:rPr>
        <w:t xml:space="preserve"> to</w:t>
      </w:r>
      <w:r w:rsidRPr="00ED7C8D">
        <w:rPr>
          <w:rFonts w:ascii="Arial" w:eastAsia="Cambria" w:hAnsi="Arial" w:cs="Arial"/>
          <w:sz w:val="24"/>
          <w:szCs w:val="24"/>
          <w:u w:color="000000"/>
        </w:rPr>
        <w:t xml:space="preserve"> these changes, the Person Years</w:t>
      </w:r>
      <w:r w:rsidR="00FD1853" w:rsidRPr="00ED7C8D">
        <w:rPr>
          <w:rFonts w:ascii="Arial" w:eastAsia="Cambria" w:hAnsi="Arial" w:cs="Arial"/>
          <w:sz w:val="24"/>
          <w:szCs w:val="24"/>
          <w:u w:color="000000"/>
        </w:rPr>
        <w:t xml:space="preserve"> field was added to the Outcome C</w:t>
      </w:r>
      <w:r w:rsidRPr="00ED7C8D">
        <w:rPr>
          <w:rFonts w:ascii="Arial" w:eastAsia="Cambria" w:hAnsi="Arial" w:cs="Arial"/>
          <w:sz w:val="24"/>
          <w:szCs w:val="24"/>
          <w:u w:color="000000"/>
        </w:rPr>
        <w:t>alculation</w:t>
      </w:r>
      <w:r w:rsidR="00FD1853" w:rsidRPr="00ED7C8D">
        <w:rPr>
          <w:rFonts w:ascii="Arial" w:eastAsia="Cambria" w:hAnsi="Arial" w:cs="Arial"/>
          <w:sz w:val="24"/>
          <w:szCs w:val="24"/>
          <w:u w:color="000000"/>
        </w:rPr>
        <w:t xml:space="preserve"> table</w:t>
      </w:r>
      <w:r w:rsidR="00053639" w:rsidRPr="00ED7C8D">
        <w:rPr>
          <w:rFonts w:ascii="Arial" w:eastAsia="Cambria" w:hAnsi="Arial" w:cs="Arial"/>
          <w:sz w:val="24"/>
          <w:szCs w:val="24"/>
          <w:u w:color="000000"/>
        </w:rPr>
        <w:t xml:space="preserve"> as certain articles reported person years of follow up rather than a population total.</w:t>
      </w:r>
      <w:r w:rsidR="00C3533B">
        <w:rPr>
          <w:rFonts w:ascii="Arial" w:eastAsia="Cambria" w:hAnsi="Arial" w:cs="Arial"/>
          <w:sz w:val="24"/>
          <w:szCs w:val="24"/>
          <w:u w:color="000000"/>
        </w:rPr>
        <w:t xml:space="preserve"> </w:t>
      </w:r>
      <w:r w:rsidR="00047A0D" w:rsidRPr="00ED7C8D">
        <w:rPr>
          <w:rFonts w:ascii="Arial" w:eastAsia="Cambria" w:hAnsi="Arial" w:cs="Arial"/>
          <w:sz w:val="24"/>
          <w:szCs w:val="24"/>
          <w:u w:color="000000"/>
        </w:rPr>
        <w:t xml:space="preserve">The field Reason for </w:t>
      </w:r>
      <w:r w:rsidR="008F7261" w:rsidRPr="00ED7C8D">
        <w:rPr>
          <w:rFonts w:ascii="Arial" w:eastAsia="Cambria" w:hAnsi="Arial" w:cs="Arial"/>
          <w:sz w:val="24"/>
          <w:szCs w:val="24"/>
          <w:u w:color="000000"/>
        </w:rPr>
        <w:t>I</w:t>
      </w:r>
      <w:r w:rsidR="00047A0D" w:rsidRPr="00ED7C8D">
        <w:rPr>
          <w:rFonts w:ascii="Arial" w:eastAsia="Cambria" w:hAnsi="Arial" w:cs="Arial"/>
          <w:sz w:val="24"/>
          <w:szCs w:val="24"/>
          <w:u w:color="000000"/>
        </w:rPr>
        <w:t>neligibility was also added due</w:t>
      </w:r>
      <w:r w:rsidR="00053639" w:rsidRPr="00ED7C8D">
        <w:rPr>
          <w:rFonts w:ascii="Arial" w:eastAsia="Cambria" w:hAnsi="Arial" w:cs="Arial"/>
          <w:sz w:val="24"/>
          <w:szCs w:val="24"/>
          <w:u w:color="000000"/>
        </w:rPr>
        <w:t xml:space="preserve"> to allow for the categorization of ineligible papers</w:t>
      </w:r>
      <w:r w:rsidR="00047A0D" w:rsidRPr="00ED7C8D">
        <w:rPr>
          <w:rFonts w:ascii="Arial" w:eastAsia="Cambria" w:hAnsi="Arial" w:cs="Arial"/>
          <w:sz w:val="24"/>
          <w:szCs w:val="24"/>
          <w:u w:color="000000"/>
        </w:rPr>
        <w:t>.</w:t>
      </w:r>
      <w:r w:rsidRPr="00ED7C8D">
        <w:rPr>
          <w:rFonts w:ascii="Arial" w:eastAsia="Cambria" w:hAnsi="Arial" w:cs="Arial"/>
          <w:sz w:val="24"/>
          <w:szCs w:val="24"/>
          <w:u w:color="000000"/>
        </w:rPr>
        <w:t xml:space="preserve"> Lastly, Confidence Interval Percentage was omitted as it was almost always 95%, and if it </w:t>
      </w:r>
      <w:r w:rsidR="00E07E27" w:rsidRPr="00E07E27">
        <w:rPr>
          <w:rFonts w:ascii="Arial" w:eastAsia="Cambria" w:hAnsi="Arial" w:cs="Arial"/>
          <w:sz w:val="24"/>
          <w:szCs w:val="24"/>
          <w:u w:color="000000"/>
        </w:rPr>
        <w:t>were</w:t>
      </w:r>
      <w:r w:rsidRPr="00ED7C8D">
        <w:rPr>
          <w:rFonts w:ascii="Arial" w:eastAsia="Cambria" w:hAnsi="Arial" w:cs="Arial"/>
          <w:sz w:val="24"/>
          <w:szCs w:val="24"/>
          <w:u w:color="000000"/>
        </w:rPr>
        <w:t xml:space="preserve"> not</w:t>
      </w:r>
      <w:r w:rsidR="00047A0D" w:rsidRPr="00ED7C8D">
        <w:rPr>
          <w:rFonts w:ascii="Arial" w:eastAsia="Cambria" w:hAnsi="Arial" w:cs="Arial"/>
          <w:sz w:val="24"/>
          <w:szCs w:val="24"/>
          <w:u w:color="000000"/>
        </w:rPr>
        <w:t>, the discrepancy</w:t>
      </w:r>
      <w:r w:rsidRPr="00ED7C8D">
        <w:rPr>
          <w:rFonts w:ascii="Arial" w:eastAsia="Cambria" w:hAnsi="Arial" w:cs="Arial"/>
          <w:sz w:val="24"/>
          <w:szCs w:val="24"/>
          <w:u w:color="000000"/>
        </w:rPr>
        <w:t xml:space="preserve"> would be mentioned in the text excerpt associated with each R</w:t>
      </w:r>
      <w:r w:rsidR="008F7261" w:rsidRPr="00ED7C8D">
        <w:rPr>
          <w:rFonts w:ascii="Arial" w:eastAsia="Cambria" w:hAnsi="Arial" w:cs="Arial"/>
          <w:sz w:val="24"/>
          <w:szCs w:val="24"/>
          <w:u w:color="000000"/>
        </w:rPr>
        <w:t>isk</w:t>
      </w:r>
      <w:r w:rsidRPr="00ED7C8D">
        <w:rPr>
          <w:rFonts w:ascii="Arial" w:eastAsia="Cambria" w:hAnsi="Arial" w:cs="Arial"/>
          <w:sz w:val="24"/>
          <w:szCs w:val="24"/>
          <w:u w:color="000000"/>
        </w:rPr>
        <w:t xml:space="preserve"> ID. The omission of this field also helped the entire online extraction form to fit onto one screen without having to scroll to fill in more information. This small change made a ve</w:t>
      </w:r>
      <w:r w:rsidR="00FD1853" w:rsidRPr="00ED7C8D">
        <w:rPr>
          <w:rFonts w:ascii="Arial" w:eastAsia="Cambria" w:hAnsi="Arial" w:cs="Arial"/>
          <w:sz w:val="24"/>
          <w:szCs w:val="24"/>
          <w:u w:color="000000"/>
        </w:rPr>
        <w:t>ry large impact</w:t>
      </w:r>
      <w:r w:rsidRPr="00ED7C8D">
        <w:rPr>
          <w:rFonts w:ascii="Arial" w:eastAsia="Cambria" w:hAnsi="Arial" w:cs="Arial"/>
          <w:sz w:val="24"/>
          <w:szCs w:val="24"/>
          <w:u w:color="000000"/>
        </w:rPr>
        <w:t xml:space="preserve"> in the efficiency of the extraction process.</w:t>
      </w:r>
      <w:r w:rsidR="00A50237" w:rsidRPr="00ED7C8D">
        <w:rPr>
          <w:rFonts w:ascii="Arial" w:eastAsia="Cambria" w:hAnsi="Arial" w:cs="Arial"/>
          <w:sz w:val="24"/>
          <w:szCs w:val="24"/>
          <w:u w:color="000000"/>
        </w:rPr>
        <w:t xml:space="preserve"> </w:t>
      </w:r>
    </w:p>
    <w:p w14:paraId="255EC160" w14:textId="575E01B5" w:rsidR="00590B3D" w:rsidRPr="00CC7E17" w:rsidRDefault="004B57DF" w:rsidP="0009624B">
      <w:pPr>
        <w:pStyle w:val="Heading4"/>
        <w:spacing w:line="360" w:lineRule="auto"/>
        <w:rPr>
          <w:rFonts w:ascii="Arial" w:hAnsi="Arial" w:cs="Arial"/>
          <w:u w:color="000000"/>
        </w:rPr>
      </w:pPr>
      <w:r w:rsidRPr="00CC7E17">
        <w:rPr>
          <w:rFonts w:ascii="Arial" w:hAnsi="Arial" w:cs="Arial"/>
          <w:u w:color="000000"/>
        </w:rPr>
        <w:t xml:space="preserve">Modification Of Database Schema </w:t>
      </w:r>
    </w:p>
    <w:p w14:paraId="01952B0C" w14:textId="326F4CB5" w:rsidR="007C6394" w:rsidRPr="00CC7E17" w:rsidRDefault="007C6394" w:rsidP="0009624B">
      <w:pPr>
        <w:pStyle w:val="Body"/>
        <w:spacing w:after="200" w:line="360" w:lineRule="auto"/>
        <w:rPr>
          <w:rFonts w:ascii="Arial" w:eastAsia="Cambria" w:hAnsi="Arial" w:cs="Arial"/>
          <w:sz w:val="24"/>
          <w:szCs w:val="24"/>
          <w:u w:color="000000"/>
        </w:rPr>
      </w:pPr>
      <w:r w:rsidRPr="00CC7E17">
        <w:rPr>
          <w:rFonts w:ascii="Arial" w:eastAsia="Cambria" w:hAnsi="Arial" w:cs="Arial"/>
          <w:sz w:val="24"/>
          <w:szCs w:val="24"/>
          <w:u w:color="000000"/>
        </w:rPr>
        <w:t>The new schema, with the changes defined by the iterative</w:t>
      </w:r>
      <w:r w:rsidR="00C6504E" w:rsidRPr="00CC7E17">
        <w:rPr>
          <w:rFonts w:ascii="Arial" w:eastAsia="Cambria" w:hAnsi="Arial" w:cs="Arial"/>
          <w:sz w:val="24"/>
          <w:szCs w:val="24"/>
          <w:u w:color="000000"/>
        </w:rPr>
        <w:t xml:space="preserve">, </w:t>
      </w:r>
      <w:r w:rsidR="00E87B49">
        <w:rPr>
          <w:rFonts w:ascii="Arial" w:eastAsia="Cambria" w:hAnsi="Arial" w:cs="Arial"/>
          <w:sz w:val="24"/>
          <w:szCs w:val="24"/>
          <w:u w:color="000000"/>
        </w:rPr>
        <w:t>agile</w:t>
      </w:r>
      <w:r w:rsidRPr="00CC7E17">
        <w:rPr>
          <w:rFonts w:ascii="Arial" w:eastAsia="Cambria" w:hAnsi="Arial" w:cs="Arial"/>
          <w:sz w:val="24"/>
          <w:szCs w:val="24"/>
          <w:u w:color="000000"/>
        </w:rPr>
        <w:t xml:space="preserve"> development process is </w:t>
      </w:r>
      <w:r w:rsidR="00053639" w:rsidRPr="00CC7E17">
        <w:rPr>
          <w:rFonts w:ascii="Arial" w:eastAsia="Cambria" w:hAnsi="Arial" w:cs="Arial"/>
          <w:sz w:val="24"/>
          <w:szCs w:val="24"/>
          <w:u w:color="000000"/>
        </w:rPr>
        <w:t>in Figure 3</w:t>
      </w:r>
      <w:r w:rsidRPr="00CC7E17">
        <w:rPr>
          <w:rFonts w:ascii="Arial" w:eastAsia="Cambria" w:hAnsi="Arial" w:cs="Arial"/>
          <w:sz w:val="24"/>
          <w:szCs w:val="24"/>
          <w:u w:color="000000"/>
        </w:rPr>
        <w:t>:</w:t>
      </w:r>
    </w:p>
    <w:p w14:paraId="519BAFFF" w14:textId="127EFB53" w:rsidR="00FD52CF" w:rsidRPr="00CC7E17" w:rsidRDefault="00D707B6" w:rsidP="0009624B">
      <w:pPr>
        <w:pStyle w:val="Body"/>
        <w:spacing w:after="200" w:line="360" w:lineRule="auto"/>
        <w:rPr>
          <w:rFonts w:ascii="Arial" w:eastAsia="Cambria" w:hAnsi="Arial" w:cs="Arial"/>
          <w:sz w:val="24"/>
          <w:szCs w:val="24"/>
          <w:u w:color="000000"/>
        </w:rPr>
      </w:pPr>
      <w:r w:rsidRPr="009E57CF">
        <w:rPr>
          <w:rFonts w:ascii="Arial" w:eastAsia="Cambria" w:hAnsi="Arial" w:cs="Arial"/>
          <w:noProof/>
          <w:sz w:val="24"/>
          <w:szCs w:val="24"/>
          <w:u w:color="000000"/>
          <w:lang w:val="en-US"/>
        </w:rPr>
        <w:drawing>
          <wp:inline distT="0" distB="0" distL="0" distR="0" wp14:anchorId="6A942B98" wp14:editId="4D9B7B8D">
            <wp:extent cx="5486400" cy="298398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86400" cy="2983982"/>
                    </a:xfrm>
                    <a:prstGeom prst="rect">
                      <a:avLst/>
                    </a:prstGeom>
                    <a:noFill/>
                    <a:ln>
                      <a:noFill/>
                    </a:ln>
                  </pic:spPr>
                </pic:pic>
              </a:graphicData>
            </a:graphic>
          </wp:inline>
        </w:drawing>
      </w:r>
    </w:p>
    <w:p w14:paraId="7D1A837A" w14:textId="2930E85A" w:rsidR="00AF55E5" w:rsidRPr="00CC7E17" w:rsidRDefault="009C6C02" w:rsidP="0009624B">
      <w:pPr>
        <w:pStyle w:val="Caption"/>
        <w:spacing w:line="360" w:lineRule="auto"/>
        <w:rPr>
          <w:rFonts w:ascii="Arial" w:hAnsi="Arial" w:cs="Arial"/>
        </w:rPr>
      </w:pPr>
      <w:bookmarkStart w:id="25" w:name="_Toc286417155"/>
      <w:r w:rsidRPr="00CC7E17">
        <w:rPr>
          <w:rFonts w:ascii="Arial" w:hAnsi="Arial" w:cs="Arial"/>
        </w:rPr>
        <w:t xml:space="preserve">Figure </w:t>
      </w:r>
      <w:r w:rsidRPr="00CC7E17">
        <w:rPr>
          <w:rFonts w:ascii="Arial" w:hAnsi="Arial" w:cs="Arial"/>
        </w:rPr>
        <w:fldChar w:fldCharType="begin"/>
      </w:r>
      <w:r w:rsidRPr="00CC7E17">
        <w:rPr>
          <w:rFonts w:ascii="Arial" w:hAnsi="Arial" w:cs="Arial"/>
        </w:rPr>
        <w:instrText xml:space="preserve"> SEQ Figure \* ARABIC </w:instrText>
      </w:r>
      <w:r w:rsidRPr="00CC7E17">
        <w:rPr>
          <w:rFonts w:ascii="Arial" w:hAnsi="Arial" w:cs="Arial"/>
        </w:rPr>
        <w:fldChar w:fldCharType="separate"/>
      </w:r>
      <w:r w:rsidRPr="00CC7E17">
        <w:rPr>
          <w:rFonts w:ascii="Arial" w:hAnsi="Arial" w:cs="Arial"/>
          <w:noProof/>
        </w:rPr>
        <w:t>3</w:t>
      </w:r>
      <w:r w:rsidRPr="00CC7E17">
        <w:rPr>
          <w:rFonts w:ascii="Arial" w:hAnsi="Arial" w:cs="Arial"/>
        </w:rPr>
        <w:fldChar w:fldCharType="end"/>
      </w:r>
      <w:r w:rsidRPr="00CC7E17">
        <w:rPr>
          <w:rFonts w:ascii="Arial" w:hAnsi="Arial" w:cs="Arial"/>
        </w:rPr>
        <w:t xml:space="preserve">: </w:t>
      </w:r>
      <w:r w:rsidR="00D707B6" w:rsidRPr="00CC7E17">
        <w:rPr>
          <w:rFonts w:ascii="Arial" w:hAnsi="Arial" w:cs="Arial"/>
        </w:rPr>
        <w:t xml:space="preserve">Final iteration of database schema for </w:t>
      </w:r>
      <w:r w:rsidR="004959B9">
        <w:rPr>
          <w:rFonts w:ascii="Arial" w:hAnsi="Arial" w:cs="Arial"/>
        </w:rPr>
        <w:t>eForm-based</w:t>
      </w:r>
      <w:r w:rsidR="00D707B6" w:rsidRPr="00CC7E17">
        <w:rPr>
          <w:rFonts w:ascii="Arial" w:hAnsi="Arial" w:cs="Arial"/>
        </w:rPr>
        <w:t xml:space="preserve"> model</w:t>
      </w:r>
      <w:r w:rsidR="00A50237">
        <w:rPr>
          <w:rFonts w:ascii="Arial" w:hAnsi="Arial" w:cs="Arial"/>
        </w:rPr>
        <w:t xml:space="preserve"> </w:t>
      </w:r>
      <w:r w:rsidR="00D707B6" w:rsidRPr="00CC7E17">
        <w:rPr>
          <w:rFonts w:ascii="Arial" w:hAnsi="Arial" w:cs="Arial"/>
        </w:rPr>
        <w:t>with annotated changes</w:t>
      </w:r>
      <w:bookmarkEnd w:id="25"/>
      <w:r w:rsidR="00D707B6" w:rsidRPr="00CC7E17">
        <w:rPr>
          <w:rFonts w:ascii="Arial" w:hAnsi="Arial" w:cs="Arial"/>
        </w:rPr>
        <w:t xml:space="preserve"> </w:t>
      </w:r>
    </w:p>
    <w:p w14:paraId="0346CE68" w14:textId="77777777" w:rsidR="00D707B6" w:rsidRPr="00CC7E17" w:rsidRDefault="00D707B6" w:rsidP="0009624B">
      <w:pPr>
        <w:pStyle w:val="Caption"/>
        <w:spacing w:line="360" w:lineRule="auto"/>
        <w:rPr>
          <w:rFonts w:ascii="Arial" w:eastAsia="Cambria" w:hAnsi="Arial" w:cs="Arial"/>
          <w:sz w:val="24"/>
          <w:szCs w:val="24"/>
          <w:u w:color="000000"/>
        </w:rPr>
      </w:pPr>
    </w:p>
    <w:p w14:paraId="5589C5A9" w14:textId="0F37C1FC" w:rsidR="00047A0D" w:rsidRPr="00CC7E17" w:rsidRDefault="007C6394" w:rsidP="0009624B">
      <w:pPr>
        <w:pStyle w:val="Body"/>
        <w:spacing w:line="360" w:lineRule="auto"/>
        <w:rPr>
          <w:rFonts w:ascii="Arial" w:eastAsia="Cambria" w:hAnsi="Arial" w:cs="Arial"/>
          <w:sz w:val="24"/>
          <w:szCs w:val="24"/>
          <w:u w:color="000000"/>
        </w:rPr>
      </w:pPr>
      <w:r w:rsidRPr="00CC7E17">
        <w:rPr>
          <w:rFonts w:ascii="Arial" w:eastAsia="Cambria" w:hAnsi="Arial" w:cs="Arial"/>
          <w:sz w:val="24"/>
          <w:szCs w:val="24"/>
          <w:u w:color="000000"/>
        </w:rPr>
        <w:t xml:space="preserve">With the schema now complete, the </w:t>
      </w:r>
      <w:r w:rsidR="00AA5748" w:rsidRPr="00CC7E17">
        <w:rPr>
          <w:rFonts w:ascii="Arial" w:eastAsia="Cambria" w:hAnsi="Arial" w:cs="Arial"/>
          <w:sz w:val="24"/>
          <w:szCs w:val="24"/>
          <w:u w:color="000000"/>
        </w:rPr>
        <w:t>extractor interface</w:t>
      </w:r>
      <w:r w:rsidR="00A50237">
        <w:rPr>
          <w:rFonts w:ascii="Arial" w:eastAsia="Cambria" w:hAnsi="Arial" w:cs="Arial"/>
          <w:sz w:val="24"/>
          <w:szCs w:val="24"/>
          <w:u w:color="000000"/>
        </w:rPr>
        <w:t xml:space="preserve"> </w:t>
      </w:r>
      <w:r w:rsidRPr="00CC7E17">
        <w:rPr>
          <w:rFonts w:ascii="Arial" w:eastAsia="Cambria" w:hAnsi="Arial" w:cs="Arial"/>
          <w:sz w:val="24"/>
          <w:szCs w:val="24"/>
          <w:u w:color="000000"/>
        </w:rPr>
        <w:t xml:space="preserve">was finalized with the necessary changes outlined above. </w:t>
      </w:r>
    </w:p>
    <w:p w14:paraId="2F651A96" w14:textId="77777777" w:rsidR="00FB78ED" w:rsidRPr="00CC7E17" w:rsidRDefault="00FB78ED" w:rsidP="0009624B">
      <w:pPr>
        <w:pStyle w:val="Body"/>
        <w:spacing w:line="360" w:lineRule="auto"/>
        <w:rPr>
          <w:rFonts w:ascii="Arial" w:eastAsia="Cambria" w:hAnsi="Arial" w:cs="Arial"/>
          <w:sz w:val="24"/>
          <w:szCs w:val="24"/>
          <w:u w:color="000000"/>
        </w:rPr>
      </w:pPr>
    </w:p>
    <w:p w14:paraId="76C3B37F" w14:textId="68C86A64" w:rsidR="00FB78ED" w:rsidRPr="00CC7E17" w:rsidRDefault="0054596D" w:rsidP="0009624B">
      <w:pPr>
        <w:pStyle w:val="Heading3"/>
        <w:spacing w:line="360" w:lineRule="auto"/>
        <w:rPr>
          <w:rFonts w:ascii="Arial" w:hAnsi="Arial" w:cs="Arial"/>
        </w:rPr>
      </w:pPr>
      <w:bookmarkStart w:id="26" w:name="_Toc286437121"/>
      <w:r w:rsidRPr="00CC7E17">
        <w:rPr>
          <w:rFonts w:ascii="Arial" w:hAnsi="Arial" w:cs="Arial"/>
        </w:rPr>
        <w:t>Using MacPrognosis</w:t>
      </w:r>
      <w:bookmarkEnd w:id="26"/>
    </w:p>
    <w:p w14:paraId="3A795543" w14:textId="4BDB5458" w:rsidR="00FE2AAE" w:rsidRPr="009E57CF" w:rsidRDefault="00FB78ED" w:rsidP="009E57CF">
      <w:pPr>
        <w:spacing w:line="360" w:lineRule="auto"/>
        <w:rPr>
          <w:rFonts w:ascii="Arial" w:hAnsi="Arial" w:cs="Arial"/>
        </w:rPr>
      </w:pPr>
      <w:r w:rsidRPr="00CC7E17">
        <w:rPr>
          <w:rFonts w:ascii="Arial" w:hAnsi="Arial" w:cs="Arial"/>
        </w:rPr>
        <w:t>The iterative development process produced a system we called MacPrognosis, which is a</w:t>
      </w:r>
      <w:r w:rsidR="005E66BF">
        <w:rPr>
          <w:rFonts w:ascii="Arial" w:hAnsi="Arial" w:cs="Arial"/>
        </w:rPr>
        <w:t>n</w:t>
      </w:r>
      <w:r w:rsidRPr="00CC7E17">
        <w:rPr>
          <w:rFonts w:ascii="Arial" w:hAnsi="Arial" w:cs="Arial"/>
        </w:rPr>
        <w:t xml:space="preserve"> </w:t>
      </w:r>
      <w:r w:rsidR="00EE02D4">
        <w:rPr>
          <w:rFonts w:ascii="Arial" w:hAnsi="Arial" w:cs="Arial"/>
        </w:rPr>
        <w:t>eForm-based</w:t>
      </w:r>
      <w:r w:rsidRPr="00CC7E17">
        <w:rPr>
          <w:rFonts w:ascii="Arial" w:hAnsi="Arial" w:cs="Arial"/>
        </w:rPr>
        <w:t xml:space="preserve"> baseline risk extraction interface. Following the completion of its development, MacPrognosis was moved onto McMaster’s HiRU server, which allowed for access both locally or remotely. </w:t>
      </w:r>
      <w:r w:rsidR="00427CC4" w:rsidRPr="00CC7E17">
        <w:rPr>
          <w:rFonts w:ascii="Arial" w:hAnsi="Arial" w:cs="Arial"/>
        </w:rPr>
        <w:t>T</w:t>
      </w:r>
      <w:r w:rsidRPr="00CC7E17">
        <w:rPr>
          <w:rFonts w:ascii="Arial" w:hAnsi="Arial" w:cs="Arial"/>
        </w:rPr>
        <w:t>o gain access to the site, the user is given credentials to log onto the website from the system administrator.</w:t>
      </w:r>
      <w:r w:rsidR="00FE2AAE" w:rsidRPr="00CC7E17">
        <w:rPr>
          <w:rFonts w:ascii="Arial" w:hAnsi="Arial" w:cs="Arial"/>
        </w:rPr>
        <w:t xml:space="preserve"> </w:t>
      </w:r>
    </w:p>
    <w:p w14:paraId="0A4437C5" w14:textId="77777777" w:rsidR="00FE2AAE" w:rsidRPr="009E57CF" w:rsidRDefault="00FE2AAE" w:rsidP="009E57CF">
      <w:pPr>
        <w:spacing w:line="360" w:lineRule="auto"/>
        <w:rPr>
          <w:rFonts w:ascii="Arial" w:hAnsi="Arial" w:cs="Arial"/>
        </w:rPr>
      </w:pPr>
    </w:p>
    <w:p w14:paraId="5801B330" w14:textId="0A92317A" w:rsidR="00FB78ED" w:rsidRPr="00CC7E17" w:rsidRDefault="00FB78ED"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Once credentials have been verified, an extractor is taken to the home page which normally lists the first ten articles which are </w:t>
      </w:r>
      <w:r w:rsidR="00053639" w:rsidRPr="00CC7E17">
        <w:rPr>
          <w:rFonts w:ascii="Arial" w:hAnsi="Arial" w:cs="Arial"/>
          <w:sz w:val="24"/>
          <w:szCs w:val="24"/>
          <w:lang w:val="en-US"/>
        </w:rPr>
        <w:t xml:space="preserve">waiting </w:t>
      </w:r>
      <w:r w:rsidRPr="00CC7E17">
        <w:rPr>
          <w:rFonts w:ascii="Arial" w:hAnsi="Arial" w:cs="Arial"/>
          <w:sz w:val="24"/>
          <w:szCs w:val="24"/>
          <w:lang w:val="en-US"/>
        </w:rPr>
        <w:t xml:space="preserve">to be extracted. </w:t>
      </w:r>
    </w:p>
    <w:p w14:paraId="5444114D" w14:textId="77777777" w:rsidR="00FB78ED" w:rsidRPr="00CC7E17" w:rsidRDefault="00FB78ED" w:rsidP="0009624B">
      <w:pPr>
        <w:pStyle w:val="Body"/>
        <w:spacing w:line="360" w:lineRule="auto"/>
        <w:rPr>
          <w:rFonts w:ascii="Arial" w:eastAsia="Arial" w:hAnsi="Arial" w:cs="Arial"/>
          <w:sz w:val="24"/>
          <w:szCs w:val="24"/>
        </w:rPr>
      </w:pPr>
    </w:p>
    <w:p w14:paraId="5258A125" w14:textId="14F1A01F" w:rsidR="00FB78ED" w:rsidRPr="00CC7E17" w:rsidRDefault="00FB78ED"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Once an article has been chosen, the extractor is taken to the MacPrognosis extraction page. The major functionality associated with the extraction page </w:t>
      </w:r>
      <w:r w:rsidR="00E07E27" w:rsidRPr="00CC7E17">
        <w:rPr>
          <w:rFonts w:ascii="Arial" w:hAnsi="Arial" w:cs="Arial"/>
          <w:sz w:val="24"/>
          <w:szCs w:val="24"/>
          <w:lang w:val="en-US"/>
        </w:rPr>
        <w:t>is</w:t>
      </w:r>
      <w:r w:rsidRPr="00CC7E17">
        <w:rPr>
          <w:rFonts w:ascii="Arial" w:hAnsi="Arial" w:cs="Arial"/>
          <w:sz w:val="24"/>
          <w:szCs w:val="24"/>
          <w:lang w:val="en-US"/>
        </w:rPr>
        <w:t xml:space="preserve"> detailed </w:t>
      </w:r>
      <w:r w:rsidR="00053639" w:rsidRPr="00CC7E17">
        <w:rPr>
          <w:rFonts w:ascii="Arial" w:hAnsi="Arial" w:cs="Arial"/>
          <w:sz w:val="24"/>
          <w:szCs w:val="24"/>
          <w:lang w:val="en-US"/>
        </w:rPr>
        <w:t>in Figure 4</w:t>
      </w:r>
      <w:r w:rsidRPr="00CC7E17">
        <w:rPr>
          <w:rFonts w:ascii="Arial" w:hAnsi="Arial" w:cs="Arial"/>
          <w:sz w:val="24"/>
          <w:szCs w:val="24"/>
          <w:lang w:val="en-US"/>
        </w:rPr>
        <w:t>:</w:t>
      </w:r>
    </w:p>
    <w:p w14:paraId="2D2AF10B" w14:textId="59702299" w:rsidR="00FB78ED" w:rsidRPr="00CC7E17" w:rsidRDefault="003C2B6C" w:rsidP="0009624B">
      <w:pPr>
        <w:pStyle w:val="Body"/>
        <w:spacing w:line="360" w:lineRule="auto"/>
        <w:rPr>
          <w:rFonts w:ascii="Arial" w:eastAsia="Arial" w:hAnsi="Arial" w:cs="Arial"/>
          <w:sz w:val="24"/>
          <w:szCs w:val="24"/>
        </w:rPr>
      </w:pPr>
      <w:r w:rsidRPr="009E57CF">
        <w:rPr>
          <w:rFonts w:ascii="Arial" w:eastAsia="Arial" w:hAnsi="Arial" w:cs="Arial"/>
          <w:noProof/>
          <w:sz w:val="24"/>
          <w:szCs w:val="24"/>
          <w:lang w:val="en-US"/>
        </w:rPr>
        <w:drawing>
          <wp:inline distT="0" distB="0" distL="0" distR="0" wp14:anchorId="7488758E" wp14:editId="3BC03AA6">
            <wp:extent cx="6487695" cy="26797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9144" cy="2680298"/>
                    </a:xfrm>
                    <a:prstGeom prst="rect">
                      <a:avLst/>
                    </a:prstGeom>
                    <a:noFill/>
                    <a:ln>
                      <a:noFill/>
                    </a:ln>
                  </pic:spPr>
                </pic:pic>
              </a:graphicData>
            </a:graphic>
          </wp:inline>
        </w:drawing>
      </w:r>
    </w:p>
    <w:p w14:paraId="636DFC59" w14:textId="28DEC5FC" w:rsidR="00FB78ED" w:rsidRPr="00CC7E17" w:rsidRDefault="00A43D10" w:rsidP="0009624B">
      <w:pPr>
        <w:pStyle w:val="Caption"/>
        <w:spacing w:line="360" w:lineRule="auto"/>
        <w:rPr>
          <w:rFonts w:ascii="Arial" w:eastAsia="Arial" w:hAnsi="Arial" w:cs="Arial"/>
          <w:sz w:val="24"/>
          <w:szCs w:val="24"/>
        </w:rPr>
      </w:pPr>
      <w:bookmarkStart w:id="27" w:name="_Toc286417156"/>
      <w:r w:rsidRPr="00CC7E17">
        <w:rPr>
          <w:rFonts w:ascii="Arial" w:hAnsi="Arial" w:cs="Arial"/>
        </w:rPr>
        <w:t xml:space="preserve">Figure </w:t>
      </w:r>
      <w:r w:rsidRPr="009E57CF">
        <w:rPr>
          <w:rFonts w:ascii="Arial" w:hAnsi="Arial" w:cs="Arial"/>
        </w:rPr>
        <w:fldChar w:fldCharType="begin"/>
      </w:r>
      <w:r w:rsidRPr="00CC7E17">
        <w:rPr>
          <w:rFonts w:ascii="Arial" w:hAnsi="Arial" w:cs="Arial"/>
        </w:rPr>
        <w:instrText xml:space="preserve"> SEQ Figure \* ARABIC </w:instrText>
      </w:r>
      <w:r w:rsidRPr="009E57CF">
        <w:rPr>
          <w:rFonts w:ascii="Arial" w:hAnsi="Arial" w:cs="Arial"/>
        </w:rPr>
        <w:fldChar w:fldCharType="separate"/>
      </w:r>
      <w:r w:rsidRPr="00CC7E17">
        <w:rPr>
          <w:rFonts w:ascii="Arial" w:hAnsi="Arial" w:cs="Arial"/>
          <w:noProof/>
        </w:rPr>
        <w:t>4</w:t>
      </w:r>
      <w:r w:rsidRPr="009E57CF">
        <w:rPr>
          <w:rFonts w:ascii="Arial" w:hAnsi="Arial" w:cs="Arial"/>
        </w:rPr>
        <w:fldChar w:fldCharType="end"/>
      </w:r>
      <w:r w:rsidR="00FB78ED" w:rsidRPr="00CC7E17">
        <w:rPr>
          <w:rFonts w:ascii="Arial" w:hAnsi="Arial" w:cs="Arial"/>
        </w:rPr>
        <w:t>: Annotated Screenshot of the MacPrognosis interface detailing major functions of the page</w:t>
      </w:r>
      <w:bookmarkEnd w:id="27"/>
      <w:r w:rsidR="00FB78ED" w:rsidRPr="00CC7E17">
        <w:rPr>
          <w:rFonts w:ascii="Arial" w:hAnsi="Arial" w:cs="Arial"/>
        </w:rPr>
        <w:br/>
      </w:r>
    </w:p>
    <w:p w14:paraId="0D76DBDE" w14:textId="14988D32" w:rsidR="00FB78ED" w:rsidRPr="00CC7E17" w:rsidRDefault="00FB78ED"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Included on the extraction page is </w:t>
      </w:r>
      <w:r w:rsidR="00427CC4" w:rsidRPr="00CC7E17">
        <w:rPr>
          <w:rFonts w:ascii="Arial" w:hAnsi="Arial" w:cs="Arial"/>
          <w:sz w:val="24"/>
          <w:szCs w:val="24"/>
          <w:lang w:val="en-US"/>
        </w:rPr>
        <w:t xml:space="preserve">a </w:t>
      </w:r>
      <w:r w:rsidR="000F710D" w:rsidRPr="00CC7E17">
        <w:rPr>
          <w:rFonts w:ascii="Arial" w:hAnsi="Arial" w:cs="Arial"/>
          <w:sz w:val="24"/>
          <w:szCs w:val="24"/>
          <w:lang w:val="en-US"/>
        </w:rPr>
        <w:t>version of</w:t>
      </w:r>
      <w:r w:rsidR="00427CC4" w:rsidRPr="00CC7E17">
        <w:rPr>
          <w:rFonts w:ascii="Arial" w:hAnsi="Arial" w:cs="Arial"/>
          <w:sz w:val="24"/>
          <w:szCs w:val="24"/>
          <w:lang w:val="en-US"/>
        </w:rPr>
        <w:t xml:space="preserve"> </w:t>
      </w:r>
      <w:r w:rsidRPr="00CC7E17">
        <w:rPr>
          <w:rFonts w:ascii="Arial" w:hAnsi="Arial" w:cs="Arial"/>
          <w:sz w:val="24"/>
          <w:szCs w:val="24"/>
          <w:lang w:val="en-US"/>
        </w:rPr>
        <w:t>HiRU’s SNOMED Tool</w:t>
      </w:r>
      <w:r w:rsidR="00427CC4" w:rsidRPr="00CC7E17">
        <w:rPr>
          <w:rFonts w:ascii="Arial" w:hAnsi="Arial" w:cs="Arial"/>
          <w:sz w:val="24"/>
          <w:szCs w:val="24"/>
          <w:lang w:val="en-US"/>
        </w:rPr>
        <w:t>.</w:t>
      </w:r>
      <w:r w:rsidR="00A50237">
        <w:rPr>
          <w:rFonts w:ascii="Arial" w:hAnsi="Arial" w:cs="Arial"/>
          <w:sz w:val="24"/>
          <w:szCs w:val="24"/>
          <w:lang w:val="en-US"/>
        </w:rPr>
        <w:t xml:space="preserve"> </w:t>
      </w:r>
      <w:r w:rsidR="00427CC4" w:rsidRPr="00CC7E17">
        <w:rPr>
          <w:rFonts w:ascii="Arial" w:hAnsi="Arial" w:cs="Arial"/>
          <w:sz w:val="24"/>
          <w:szCs w:val="24"/>
          <w:lang w:val="en-US"/>
        </w:rPr>
        <w:t>T</w:t>
      </w:r>
      <w:r w:rsidRPr="00CC7E17">
        <w:rPr>
          <w:rFonts w:ascii="Arial" w:hAnsi="Arial" w:cs="Arial"/>
          <w:sz w:val="24"/>
          <w:szCs w:val="24"/>
          <w:lang w:val="en-US"/>
        </w:rPr>
        <w:t xml:space="preserve">his allows for a keyword search based on disease name, which subsequently looks for similar disease names within the SNOMED repository. </w:t>
      </w:r>
    </w:p>
    <w:p w14:paraId="23DD9EF4" w14:textId="7D49AF21" w:rsidR="00FB78ED" w:rsidRPr="00CC7E17" w:rsidRDefault="00A43D10" w:rsidP="0009624B">
      <w:pPr>
        <w:pStyle w:val="Caption"/>
        <w:spacing w:line="360" w:lineRule="auto"/>
        <w:rPr>
          <w:rFonts w:ascii="Arial" w:hAnsi="Arial" w:cs="Arial"/>
        </w:rPr>
      </w:pPr>
      <w:bookmarkStart w:id="28" w:name="_Toc286417157"/>
      <w:r w:rsidRPr="00CC7E17">
        <w:rPr>
          <w:rFonts w:ascii="Arial" w:hAnsi="Arial" w:cs="Arial"/>
        </w:rPr>
        <w:t xml:space="preserve">Figure </w:t>
      </w:r>
      <w:r w:rsidRPr="009E57CF">
        <w:rPr>
          <w:rFonts w:ascii="Arial" w:hAnsi="Arial" w:cs="Arial"/>
        </w:rPr>
        <w:fldChar w:fldCharType="begin"/>
      </w:r>
      <w:r w:rsidRPr="00CC7E17">
        <w:rPr>
          <w:rFonts w:ascii="Arial" w:hAnsi="Arial" w:cs="Arial"/>
        </w:rPr>
        <w:instrText xml:space="preserve"> SEQ Figure \* ARABIC </w:instrText>
      </w:r>
      <w:r w:rsidRPr="009E57CF">
        <w:rPr>
          <w:rFonts w:ascii="Arial" w:hAnsi="Arial" w:cs="Arial"/>
        </w:rPr>
        <w:fldChar w:fldCharType="separate"/>
      </w:r>
      <w:r w:rsidRPr="00CC7E17">
        <w:rPr>
          <w:rFonts w:ascii="Arial" w:hAnsi="Arial" w:cs="Arial"/>
          <w:noProof/>
        </w:rPr>
        <w:t>5</w:t>
      </w:r>
      <w:r w:rsidRPr="009E57CF">
        <w:rPr>
          <w:rFonts w:ascii="Arial" w:hAnsi="Arial" w:cs="Arial"/>
        </w:rPr>
        <w:fldChar w:fldCharType="end"/>
      </w:r>
      <w:r w:rsidR="00FB78ED" w:rsidRPr="009E57CF">
        <w:rPr>
          <w:rFonts w:ascii="Arial" w:eastAsia="Arial" w:hAnsi="Arial" w:cs="Arial"/>
          <w:noProof/>
          <w:sz w:val="24"/>
          <w:szCs w:val="24"/>
        </w:rPr>
        <w:drawing>
          <wp:anchor distT="152400" distB="152400" distL="152400" distR="152400" simplePos="0" relativeHeight="251711488" behindDoc="0" locked="0" layoutInCell="1" allowOverlap="1" wp14:anchorId="47FEF304" wp14:editId="1ABDB6D9">
            <wp:simplePos x="0" y="0"/>
            <wp:positionH relativeFrom="margin">
              <wp:posOffset>-106890</wp:posOffset>
            </wp:positionH>
            <wp:positionV relativeFrom="line">
              <wp:posOffset>171239</wp:posOffset>
            </wp:positionV>
            <wp:extent cx="5504401" cy="1247417"/>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4-08-31 at 9.56.32 AM.png"/>
                    <pic:cNvPicPr/>
                  </pic:nvPicPr>
                  <pic:blipFill>
                    <a:blip r:embed="rId18" cstate="email">
                      <a:extLst>
                        <a:ext uri="{28A0092B-C50C-407E-A947-70E740481C1C}">
                          <a14:useLocalDpi xmlns:a14="http://schemas.microsoft.com/office/drawing/2010/main"/>
                        </a:ext>
                      </a:extLst>
                    </a:blip>
                    <a:stretch>
                      <a:fillRect/>
                    </a:stretch>
                  </pic:blipFill>
                  <pic:spPr>
                    <a:xfrm>
                      <a:off x="0" y="0"/>
                      <a:ext cx="5504401" cy="1247417"/>
                    </a:xfrm>
                    <a:prstGeom prst="rect">
                      <a:avLst/>
                    </a:prstGeom>
                    <a:ln w="12700" cap="flat">
                      <a:noFill/>
                      <a:miter lim="400000"/>
                    </a:ln>
                    <a:effectLst/>
                  </pic:spPr>
                </pic:pic>
              </a:graphicData>
            </a:graphic>
          </wp:anchor>
        </w:drawing>
      </w:r>
      <w:r w:rsidR="00FB78ED" w:rsidRPr="00CC7E17">
        <w:rPr>
          <w:rFonts w:ascii="Arial" w:hAnsi="Arial" w:cs="Arial"/>
        </w:rPr>
        <w:t>: Macprognosis snomed tool</w:t>
      </w:r>
      <w:bookmarkEnd w:id="28"/>
    </w:p>
    <w:p w14:paraId="0827BF2D" w14:textId="77777777" w:rsidR="00FB78ED" w:rsidRPr="00CC7E17" w:rsidRDefault="00FB78ED" w:rsidP="0009624B">
      <w:pPr>
        <w:pStyle w:val="Caption"/>
        <w:spacing w:line="360" w:lineRule="auto"/>
        <w:rPr>
          <w:rFonts w:ascii="Arial" w:eastAsia="Arial" w:hAnsi="Arial" w:cs="Arial"/>
          <w:sz w:val="24"/>
          <w:szCs w:val="24"/>
        </w:rPr>
      </w:pPr>
    </w:p>
    <w:p w14:paraId="77DDCE3A" w14:textId="7224E870" w:rsidR="00FB78ED" w:rsidRPr="00CC7E17" w:rsidRDefault="00FB78ED" w:rsidP="0009624B">
      <w:pPr>
        <w:pStyle w:val="Body"/>
        <w:spacing w:line="360" w:lineRule="auto"/>
        <w:rPr>
          <w:rFonts w:ascii="Arial" w:eastAsia="Arial" w:hAnsi="Arial" w:cs="Arial"/>
          <w:sz w:val="24"/>
          <w:szCs w:val="24"/>
        </w:rPr>
      </w:pPr>
      <w:r w:rsidRPr="00CC7E17">
        <w:rPr>
          <w:rFonts w:ascii="Arial" w:hAnsi="Arial" w:cs="Arial"/>
          <w:sz w:val="24"/>
          <w:szCs w:val="24"/>
          <w:lang w:val="en-US"/>
        </w:rPr>
        <w:t>Once a disease name has been searched</w:t>
      </w:r>
      <w:r w:rsidR="000F710D" w:rsidRPr="00CC7E17">
        <w:rPr>
          <w:rFonts w:ascii="Arial" w:hAnsi="Arial" w:cs="Arial"/>
          <w:sz w:val="24"/>
          <w:szCs w:val="24"/>
          <w:lang w:val="en-US"/>
        </w:rPr>
        <w:t xml:space="preserve"> by a user of MacPrognosis</w:t>
      </w:r>
      <w:r w:rsidRPr="00CC7E17">
        <w:rPr>
          <w:rFonts w:ascii="Arial" w:hAnsi="Arial" w:cs="Arial"/>
          <w:sz w:val="24"/>
          <w:szCs w:val="24"/>
          <w:lang w:val="en-US"/>
        </w:rPr>
        <w:t xml:space="preserve">, a branched view of closely associated conditions appears and the user simply clicks the correct term. </w:t>
      </w:r>
      <w:r w:rsidR="00053639" w:rsidRPr="00CC7E17">
        <w:rPr>
          <w:rFonts w:ascii="Arial" w:hAnsi="Arial" w:cs="Arial"/>
          <w:sz w:val="24"/>
          <w:szCs w:val="24"/>
          <w:lang w:val="en-US"/>
        </w:rPr>
        <w:t>Figure 6</w:t>
      </w:r>
      <w:r w:rsidRPr="00CC7E17">
        <w:rPr>
          <w:rFonts w:ascii="Arial" w:hAnsi="Arial" w:cs="Arial"/>
          <w:sz w:val="24"/>
          <w:szCs w:val="24"/>
          <w:lang w:val="en-US"/>
        </w:rPr>
        <w:t xml:space="preserve"> displays what is shown on the screen after selecting a disease. </w:t>
      </w:r>
    </w:p>
    <w:p w14:paraId="133D7FB5" w14:textId="16BCC0AA" w:rsidR="00FB78ED" w:rsidRPr="00CC7E17" w:rsidRDefault="007144C3" w:rsidP="0009624B">
      <w:pPr>
        <w:pStyle w:val="Body"/>
        <w:spacing w:line="360" w:lineRule="auto"/>
        <w:rPr>
          <w:rFonts w:ascii="Arial" w:eastAsia="Arial" w:hAnsi="Arial" w:cs="Arial"/>
          <w:sz w:val="24"/>
          <w:szCs w:val="24"/>
        </w:rPr>
      </w:pPr>
      <w:r w:rsidRPr="009E57CF">
        <w:rPr>
          <w:rFonts w:ascii="Arial" w:eastAsia="Arial" w:hAnsi="Arial" w:cs="Arial"/>
          <w:noProof/>
          <w:sz w:val="24"/>
          <w:szCs w:val="24"/>
          <w:lang w:val="en-US"/>
        </w:rPr>
        <w:drawing>
          <wp:inline distT="0" distB="0" distL="0" distR="0" wp14:anchorId="6237FE8A" wp14:editId="1F9030D0">
            <wp:extent cx="5600700" cy="2517722"/>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00700" cy="2517722"/>
                    </a:xfrm>
                    <a:prstGeom prst="rect">
                      <a:avLst/>
                    </a:prstGeom>
                    <a:noFill/>
                    <a:ln>
                      <a:noFill/>
                    </a:ln>
                  </pic:spPr>
                </pic:pic>
              </a:graphicData>
            </a:graphic>
          </wp:inline>
        </w:drawing>
      </w:r>
    </w:p>
    <w:p w14:paraId="277A699F" w14:textId="3B6D7907" w:rsidR="00FB78ED" w:rsidRPr="00CC7E17" w:rsidRDefault="00A43D10" w:rsidP="00ED7C8D">
      <w:pPr>
        <w:pStyle w:val="Caption"/>
        <w:spacing w:line="360" w:lineRule="auto"/>
      </w:pPr>
      <w:bookmarkStart w:id="29" w:name="_Toc286417158"/>
      <w:r w:rsidRPr="00CC7E17">
        <w:rPr>
          <w:rFonts w:ascii="Arial" w:hAnsi="Arial" w:cs="Arial"/>
        </w:rPr>
        <w:t xml:space="preserve">Figure </w:t>
      </w:r>
      <w:r w:rsidRPr="009E57CF">
        <w:rPr>
          <w:rFonts w:ascii="Arial" w:hAnsi="Arial" w:cs="Arial"/>
        </w:rPr>
        <w:fldChar w:fldCharType="begin"/>
      </w:r>
      <w:r w:rsidRPr="00CC7E17">
        <w:rPr>
          <w:rFonts w:ascii="Arial" w:hAnsi="Arial" w:cs="Arial"/>
        </w:rPr>
        <w:instrText xml:space="preserve"> SEQ Figure \* ARABIC </w:instrText>
      </w:r>
      <w:r w:rsidRPr="009E57CF">
        <w:rPr>
          <w:rFonts w:ascii="Arial" w:hAnsi="Arial" w:cs="Arial"/>
        </w:rPr>
        <w:fldChar w:fldCharType="separate"/>
      </w:r>
      <w:r w:rsidRPr="00CC7E17">
        <w:rPr>
          <w:rFonts w:ascii="Arial" w:hAnsi="Arial" w:cs="Arial"/>
          <w:noProof/>
        </w:rPr>
        <w:t>6</w:t>
      </w:r>
      <w:r w:rsidRPr="009E57CF">
        <w:rPr>
          <w:rFonts w:ascii="Arial" w:hAnsi="Arial" w:cs="Arial"/>
        </w:rPr>
        <w:fldChar w:fldCharType="end"/>
      </w:r>
      <w:r w:rsidR="00FB78ED" w:rsidRPr="00CC7E17">
        <w:rPr>
          <w:rFonts w:ascii="Arial" w:hAnsi="Arial" w:cs="Arial"/>
        </w:rPr>
        <w:t>: macprognosis search results for snomed tool</w:t>
      </w:r>
      <w:bookmarkEnd w:id="29"/>
      <w:r w:rsidR="00FB78ED" w:rsidRPr="00CC7E17">
        <w:rPr>
          <w:rFonts w:ascii="Arial" w:hAnsi="Arial" w:cs="Arial"/>
        </w:rPr>
        <w:t xml:space="preserve"> </w:t>
      </w:r>
    </w:p>
    <w:p w14:paraId="1E32BF46" w14:textId="77777777" w:rsidR="00FB78ED" w:rsidRPr="00CC7E17" w:rsidRDefault="00FB78ED" w:rsidP="0009624B">
      <w:pPr>
        <w:pStyle w:val="Body"/>
        <w:spacing w:line="360" w:lineRule="auto"/>
        <w:rPr>
          <w:rFonts w:ascii="Arial" w:eastAsia="Arial" w:hAnsi="Arial" w:cs="Arial"/>
          <w:sz w:val="24"/>
          <w:szCs w:val="24"/>
        </w:rPr>
      </w:pPr>
    </w:p>
    <w:p w14:paraId="1BE090FC" w14:textId="194A0083" w:rsidR="00FB78ED" w:rsidRPr="00CC7E17" w:rsidRDefault="00FB78ED" w:rsidP="0009624B">
      <w:pPr>
        <w:pStyle w:val="Body"/>
        <w:spacing w:line="360" w:lineRule="auto"/>
        <w:rPr>
          <w:rFonts w:ascii="Arial" w:eastAsia="Arial" w:hAnsi="Arial" w:cs="Arial"/>
          <w:sz w:val="24"/>
          <w:szCs w:val="24"/>
        </w:rPr>
      </w:pPr>
      <w:r w:rsidRPr="00CC7E17">
        <w:rPr>
          <w:rFonts w:ascii="Arial" w:hAnsi="Arial" w:cs="Arial"/>
          <w:sz w:val="24"/>
          <w:szCs w:val="24"/>
          <w:lang w:val="en-US"/>
        </w:rPr>
        <w:t>After this, the user selects whether this term will be added to the condition</w:t>
      </w:r>
      <w:r w:rsidR="00535338" w:rsidRPr="00CC7E17">
        <w:rPr>
          <w:rFonts w:ascii="Arial" w:hAnsi="Arial" w:cs="Arial"/>
          <w:sz w:val="24"/>
          <w:szCs w:val="24"/>
          <w:lang w:val="en-US"/>
        </w:rPr>
        <w:t xml:space="preserve"> (C)</w:t>
      </w:r>
      <w:r w:rsidRPr="00CC7E17">
        <w:rPr>
          <w:rFonts w:ascii="Arial" w:hAnsi="Arial" w:cs="Arial"/>
          <w:sz w:val="24"/>
          <w:szCs w:val="24"/>
          <w:lang w:val="en-US"/>
        </w:rPr>
        <w:t xml:space="preserve">, sub condition </w:t>
      </w:r>
      <w:r w:rsidR="00535338" w:rsidRPr="00CC7E17">
        <w:rPr>
          <w:rFonts w:ascii="Arial" w:hAnsi="Arial" w:cs="Arial"/>
          <w:sz w:val="24"/>
          <w:szCs w:val="24"/>
          <w:lang w:val="en-US"/>
        </w:rPr>
        <w:t xml:space="preserve">(S) </w:t>
      </w:r>
      <w:r w:rsidRPr="00CC7E17">
        <w:rPr>
          <w:rFonts w:ascii="Arial" w:hAnsi="Arial" w:cs="Arial"/>
          <w:sz w:val="24"/>
          <w:szCs w:val="24"/>
          <w:lang w:val="en-US"/>
        </w:rPr>
        <w:t xml:space="preserve">or outcome </w:t>
      </w:r>
      <w:r w:rsidR="00535338" w:rsidRPr="00CC7E17">
        <w:rPr>
          <w:rFonts w:ascii="Arial" w:hAnsi="Arial" w:cs="Arial"/>
          <w:sz w:val="24"/>
          <w:szCs w:val="24"/>
          <w:lang w:val="en-US"/>
        </w:rPr>
        <w:t xml:space="preserve">(O) </w:t>
      </w:r>
      <w:r w:rsidRPr="00CC7E17">
        <w:rPr>
          <w:rFonts w:ascii="Arial" w:hAnsi="Arial" w:cs="Arial"/>
          <w:sz w:val="24"/>
          <w:szCs w:val="24"/>
          <w:lang w:val="en-US"/>
        </w:rPr>
        <w:t xml:space="preserve">column (utilizing the Add to C, Add to S and Add to O buttons respectively) and it is then added into the next available row within the column. </w:t>
      </w:r>
    </w:p>
    <w:p w14:paraId="1126E200" w14:textId="77777777" w:rsidR="00FB78ED" w:rsidRPr="00CC7E17" w:rsidRDefault="00FB78ED" w:rsidP="0009624B">
      <w:pPr>
        <w:pStyle w:val="Body"/>
        <w:spacing w:line="360" w:lineRule="auto"/>
        <w:rPr>
          <w:rFonts w:ascii="Arial" w:eastAsia="Arial" w:hAnsi="Arial" w:cs="Arial"/>
          <w:sz w:val="24"/>
          <w:szCs w:val="24"/>
        </w:rPr>
      </w:pPr>
    </w:p>
    <w:p w14:paraId="1BB8D44C" w14:textId="3FA3C6A6" w:rsidR="00FB78ED" w:rsidRPr="00CC7E17" w:rsidRDefault="00FB78ED" w:rsidP="0009624B">
      <w:pPr>
        <w:pStyle w:val="Body"/>
        <w:spacing w:line="360" w:lineRule="auto"/>
        <w:rPr>
          <w:rFonts w:ascii="Arial" w:hAnsi="Arial" w:cs="Arial"/>
          <w:sz w:val="24"/>
          <w:szCs w:val="24"/>
          <w:lang w:val="en-US"/>
        </w:rPr>
      </w:pPr>
      <w:r w:rsidRPr="00CC7E17">
        <w:rPr>
          <w:rFonts w:ascii="Arial" w:hAnsi="Arial" w:cs="Arial"/>
          <w:sz w:val="24"/>
          <w:szCs w:val="24"/>
          <w:lang w:val="en-US"/>
        </w:rPr>
        <w:t xml:space="preserve">Once the baseline risk information has been inputted for the </w:t>
      </w:r>
      <w:r w:rsidR="00427CC4" w:rsidRPr="00CC7E17">
        <w:rPr>
          <w:rFonts w:ascii="Arial" w:hAnsi="Arial" w:cs="Arial"/>
          <w:sz w:val="24"/>
          <w:szCs w:val="24"/>
          <w:lang w:val="en-US"/>
        </w:rPr>
        <w:t>article</w:t>
      </w:r>
      <w:r w:rsidRPr="00CC7E17">
        <w:rPr>
          <w:rFonts w:ascii="Arial" w:hAnsi="Arial" w:cs="Arial"/>
          <w:sz w:val="24"/>
          <w:szCs w:val="24"/>
          <w:lang w:val="en-US"/>
        </w:rPr>
        <w:t xml:space="preserve"> the extractor clicks Submit, which brings h</w:t>
      </w:r>
      <w:r w:rsidR="00677507" w:rsidRPr="00CC7E17">
        <w:rPr>
          <w:rFonts w:ascii="Arial" w:hAnsi="Arial" w:cs="Arial"/>
          <w:sz w:val="24"/>
          <w:szCs w:val="24"/>
          <w:lang w:val="en-US"/>
        </w:rPr>
        <w:t>i</w:t>
      </w:r>
      <w:r w:rsidRPr="00CC7E17">
        <w:rPr>
          <w:rFonts w:ascii="Arial" w:hAnsi="Arial" w:cs="Arial"/>
          <w:sz w:val="24"/>
          <w:szCs w:val="24"/>
          <w:lang w:val="en-US"/>
        </w:rPr>
        <w:t xml:space="preserve">m or her back to the home page. If desired, the information inputted can be modified in the edit article page. This page lists all of the article names from which information has been extracted or articles which have been flagged as </w:t>
      </w:r>
      <w:r w:rsidR="00CA2ECB">
        <w:rPr>
          <w:rFonts w:ascii="Arial" w:hAnsi="Arial" w:cs="Arial"/>
          <w:sz w:val="24"/>
          <w:szCs w:val="24"/>
          <w:lang w:val="en-US"/>
        </w:rPr>
        <w:t>“N</w:t>
      </w:r>
      <w:r w:rsidRPr="00CC7E17">
        <w:rPr>
          <w:rFonts w:ascii="Arial" w:hAnsi="Arial" w:cs="Arial"/>
          <w:sz w:val="24"/>
          <w:szCs w:val="24"/>
          <w:lang w:val="en-US"/>
        </w:rPr>
        <w:t xml:space="preserve">ot of </w:t>
      </w:r>
      <w:r w:rsidR="00CA2ECB">
        <w:rPr>
          <w:rFonts w:ascii="Arial" w:hAnsi="Arial" w:cs="Arial"/>
          <w:sz w:val="24"/>
          <w:szCs w:val="24"/>
          <w:lang w:val="en-US"/>
        </w:rPr>
        <w:t>I</w:t>
      </w:r>
      <w:r w:rsidRPr="00CC7E17">
        <w:rPr>
          <w:rFonts w:ascii="Arial" w:hAnsi="Arial" w:cs="Arial"/>
          <w:sz w:val="24"/>
          <w:szCs w:val="24"/>
          <w:lang w:val="en-US"/>
        </w:rPr>
        <w:t>nterest.</w:t>
      </w:r>
      <w:r w:rsidR="00CA2ECB">
        <w:rPr>
          <w:rFonts w:ascii="Arial" w:hAnsi="Arial" w:cs="Arial"/>
          <w:sz w:val="24"/>
          <w:szCs w:val="24"/>
          <w:lang w:val="en-US"/>
        </w:rPr>
        <w:t>”</w:t>
      </w:r>
    </w:p>
    <w:p w14:paraId="37E7136C" w14:textId="060C9325" w:rsidR="00966DB5" w:rsidRPr="00CC7E17" w:rsidRDefault="00966DB5" w:rsidP="0009624B">
      <w:pPr>
        <w:pStyle w:val="Body"/>
        <w:spacing w:line="360" w:lineRule="auto"/>
        <w:rPr>
          <w:rFonts w:ascii="Arial" w:eastAsia="Arial" w:hAnsi="Arial" w:cs="Arial"/>
          <w:sz w:val="24"/>
          <w:szCs w:val="24"/>
        </w:rPr>
      </w:pPr>
      <w:r w:rsidRPr="009E57CF">
        <w:rPr>
          <w:rFonts w:ascii="Arial" w:eastAsia="Arial" w:hAnsi="Arial" w:cs="Arial"/>
          <w:noProof/>
          <w:sz w:val="24"/>
          <w:szCs w:val="24"/>
          <w:lang w:val="en-US"/>
        </w:rPr>
        <w:drawing>
          <wp:inline distT="0" distB="0" distL="0" distR="0" wp14:anchorId="40CDB395" wp14:editId="45307736">
            <wp:extent cx="5029197" cy="3021594"/>
            <wp:effectExtent l="0" t="0" r="635"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021596"/>
                    </a:xfrm>
                    <a:prstGeom prst="rect">
                      <a:avLst/>
                    </a:prstGeom>
                    <a:noFill/>
                    <a:ln>
                      <a:noFill/>
                    </a:ln>
                  </pic:spPr>
                </pic:pic>
              </a:graphicData>
            </a:graphic>
          </wp:inline>
        </w:drawing>
      </w:r>
    </w:p>
    <w:p w14:paraId="1CB5273A" w14:textId="0A7638DD" w:rsidR="00FB78ED" w:rsidRPr="00CC7E17" w:rsidRDefault="00A43D10" w:rsidP="0009624B">
      <w:pPr>
        <w:pStyle w:val="Caption"/>
        <w:spacing w:line="360" w:lineRule="auto"/>
        <w:rPr>
          <w:rFonts w:ascii="Arial" w:hAnsi="Arial" w:cs="Arial"/>
        </w:rPr>
      </w:pPr>
      <w:bookmarkStart w:id="30" w:name="_Toc286417159"/>
      <w:r w:rsidRPr="00CC7E17">
        <w:rPr>
          <w:rFonts w:ascii="Arial" w:hAnsi="Arial" w:cs="Arial"/>
        </w:rPr>
        <w:t xml:space="preserve">Figure </w:t>
      </w:r>
      <w:r w:rsidRPr="009E57CF">
        <w:rPr>
          <w:rFonts w:ascii="Arial" w:hAnsi="Arial" w:cs="Arial"/>
        </w:rPr>
        <w:fldChar w:fldCharType="begin"/>
      </w:r>
      <w:r w:rsidRPr="00CC7E17">
        <w:rPr>
          <w:rFonts w:ascii="Arial" w:hAnsi="Arial" w:cs="Arial"/>
        </w:rPr>
        <w:instrText xml:space="preserve"> SEQ Figure \* ARABIC </w:instrText>
      </w:r>
      <w:r w:rsidRPr="009E57CF">
        <w:rPr>
          <w:rFonts w:ascii="Arial" w:hAnsi="Arial" w:cs="Arial"/>
        </w:rPr>
        <w:fldChar w:fldCharType="separate"/>
      </w:r>
      <w:r w:rsidRPr="00CC7E17">
        <w:rPr>
          <w:rFonts w:ascii="Arial" w:hAnsi="Arial" w:cs="Arial"/>
          <w:noProof/>
        </w:rPr>
        <w:t>7</w:t>
      </w:r>
      <w:r w:rsidRPr="009E57CF">
        <w:rPr>
          <w:rFonts w:ascii="Arial" w:hAnsi="Arial" w:cs="Arial"/>
        </w:rPr>
        <w:fldChar w:fldCharType="end"/>
      </w:r>
      <w:r w:rsidR="00FB78ED" w:rsidRPr="00CC7E17">
        <w:rPr>
          <w:rFonts w:ascii="Arial" w:hAnsi="Arial" w:cs="Arial"/>
        </w:rPr>
        <w:t>: edit article page</w:t>
      </w:r>
      <w:bookmarkEnd w:id="30"/>
    </w:p>
    <w:p w14:paraId="6CAE97B6" w14:textId="77777777" w:rsidR="00FB78ED" w:rsidRPr="00CC7E17" w:rsidRDefault="00FB78ED" w:rsidP="0009624B">
      <w:pPr>
        <w:pStyle w:val="Caption"/>
        <w:spacing w:line="360" w:lineRule="auto"/>
        <w:rPr>
          <w:rFonts w:ascii="Arial" w:hAnsi="Arial" w:cs="Arial"/>
        </w:rPr>
      </w:pPr>
    </w:p>
    <w:p w14:paraId="00FF1170" w14:textId="0E9FE846" w:rsidR="00FB78ED" w:rsidRPr="00CC7E17" w:rsidRDefault="00FB78ED" w:rsidP="0009624B">
      <w:pPr>
        <w:pStyle w:val="Quote"/>
        <w:spacing w:line="360" w:lineRule="auto"/>
        <w:rPr>
          <w:rFonts w:ascii="Arial" w:eastAsia="Arial" w:hAnsi="Arial" w:cs="Arial"/>
          <w:i w:val="0"/>
        </w:rPr>
      </w:pPr>
      <w:r w:rsidRPr="00CC7E17">
        <w:rPr>
          <w:rFonts w:ascii="Arial" w:hAnsi="Arial" w:cs="Arial"/>
          <w:i w:val="0"/>
        </w:rPr>
        <w:t xml:space="preserve">Clicking the article title within the Edit Article tab brings the user back to the extraction interface page which, in turn, allows the user to edit the information that has been inputted. </w:t>
      </w:r>
    </w:p>
    <w:p w14:paraId="544CB3F4" w14:textId="77777777" w:rsidR="00FB78ED" w:rsidRPr="00CC7E17" w:rsidRDefault="00FB78ED" w:rsidP="0009624B">
      <w:pPr>
        <w:pStyle w:val="Body"/>
        <w:spacing w:line="360" w:lineRule="auto"/>
        <w:rPr>
          <w:rFonts w:ascii="Arial" w:eastAsia="Arial" w:hAnsi="Arial" w:cs="Arial"/>
          <w:sz w:val="24"/>
          <w:szCs w:val="24"/>
        </w:rPr>
      </w:pPr>
    </w:p>
    <w:p w14:paraId="0B3CFA71" w14:textId="2BAFE493" w:rsidR="00FB78ED" w:rsidRPr="00CC7E17" w:rsidRDefault="00FB78ED" w:rsidP="0082450B">
      <w:pPr>
        <w:pStyle w:val="Body"/>
        <w:spacing w:line="360" w:lineRule="auto"/>
        <w:rPr>
          <w:rFonts w:ascii="Arial" w:hAnsi="Arial" w:cs="Arial"/>
        </w:rPr>
      </w:pPr>
      <w:r w:rsidRPr="00CC7E17">
        <w:rPr>
          <w:rFonts w:ascii="Arial" w:hAnsi="Arial" w:cs="Arial"/>
          <w:sz w:val="24"/>
          <w:szCs w:val="24"/>
          <w:lang w:val="en-US"/>
        </w:rPr>
        <w:t>MacPrognosis also allows the user to look at a line-by-line list of all baseline risk</w:t>
      </w:r>
      <w:r w:rsidR="00D572D2" w:rsidRPr="00CC7E17">
        <w:rPr>
          <w:rFonts w:ascii="Arial" w:hAnsi="Arial" w:cs="Arial"/>
          <w:sz w:val="24"/>
          <w:szCs w:val="24"/>
          <w:lang w:val="en-US"/>
        </w:rPr>
        <w:t xml:space="preserve"> information</w:t>
      </w:r>
      <w:r w:rsidRPr="00CC7E17">
        <w:rPr>
          <w:rFonts w:ascii="Arial" w:hAnsi="Arial" w:cs="Arial"/>
          <w:sz w:val="24"/>
          <w:szCs w:val="24"/>
          <w:lang w:val="en-US"/>
        </w:rPr>
        <w:t xml:space="preserve"> that has previously been inputted</w:t>
      </w:r>
      <w:r w:rsidR="00855DDE">
        <w:rPr>
          <w:rFonts w:ascii="Arial" w:hAnsi="Arial" w:cs="Arial"/>
          <w:sz w:val="24"/>
          <w:szCs w:val="24"/>
          <w:lang w:val="en-US"/>
        </w:rPr>
        <w:t>.</w:t>
      </w:r>
      <w:r w:rsidR="0082450B">
        <w:rPr>
          <w:rFonts w:ascii="Arial" w:hAnsi="Arial" w:cs="Arial"/>
          <w:sz w:val="24"/>
          <w:szCs w:val="24"/>
          <w:lang w:val="en-US"/>
        </w:rPr>
        <w:t xml:space="preserve"> Th</w:t>
      </w:r>
      <w:r w:rsidRPr="00CC7E17">
        <w:rPr>
          <w:rFonts w:ascii="Arial" w:hAnsi="Arial" w:cs="Arial"/>
          <w:sz w:val="24"/>
          <w:szCs w:val="24"/>
          <w:lang w:val="en-US"/>
        </w:rPr>
        <w:t>is view represents the complete data set, which can also be queried by the system administrator based on specific criteria relating to predefined fields. For a sample extraction using the new MacPrognosis system please See Appendix 4.</w:t>
      </w:r>
    </w:p>
    <w:p w14:paraId="7E2A8ADC" w14:textId="77777777" w:rsidR="00047A0D" w:rsidRPr="00CC7E17" w:rsidRDefault="00047A0D" w:rsidP="0009624B">
      <w:pPr>
        <w:pStyle w:val="Body"/>
        <w:spacing w:line="360" w:lineRule="auto"/>
        <w:rPr>
          <w:rFonts w:ascii="Arial" w:eastAsia="Cambria" w:hAnsi="Arial" w:cs="Arial"/>
          <w:sz w:val="24"/>
          <w:szCs w:val="24"/>
          <w:u w:color="000000"/>
        </w:rPr>
      </w:pPr>
    </w:p>
    <w:p w14:paraId="08C895B8" w14:textId="15E095ED" w:rsidR="00256DC8" w:rsidRPr="00CC7E17" w:rsidRDefault="00590B3D" w:rsidP="0009624B">
      <w:pPr>
        <w:pStyle w:val="Heading3"/>
        <w:spacing w:line="360" w:lineRule="auto"/>
        <w:rPr>
          <w:rFonts w:ascii="Arial" w:hAnsi="Arial" w:cs="Arial"/>
          <w:u w:color="000000"/>
        </w:rPr>
      </w:pPr>
      <w:bookmarkStart w:id="31" w:name="_Toc286437122"/>
      <w:r w:rsidRPr="00CC7E17">
        <w:rPr>
          <w:rFonts w:ascii="Arial" w:hAnsi="Arial" w:cs="Arial"/>
          <w:u w:color="000000"/>
        </w:rPr>
        <w:t xml:space="preserve">Testing of </w:t>
      </w:r>
      <w:r w:rsidR="00AA5748" w:rsidRPr="00CC7E17">
        <w:rPr>
          <w:rFonts w:ascii="Arial" w:hAnsi="Arial" w:cs="Arial"/>
          <w:u w:color="000000"/>
        </w:rPr>
        <w:t xml:space="preserve">Extractor </w:t>
      </w:r>
      <w:r w:rsidR="00CA2ECB">
        <w:rPr>
          <w:rFonts w:ascii="Arial" w:hAnsi="Arial" w:cs="Arial"/>
          <w:u w:color="000000"/>
        </w:rPr>
        <w:t>I</w:t>
      </w:r>
      <w:r w:rsidR="00AA5748" w:rsidRPr="00CC7E17">
        <w:rPr>
          <w:rFonts w:ascii="Arial" w:hAnsi="Arial" w:cs="Arial"/>
          <w:u w:color="000000"/>
        </w:rPr>
        <w:t>nterface</w:t>
      </w:r>
      <w:bookmarkEnd w:id="31"/>
      <w:r w:rsidR="00AA5748" w:rsidRPr="00CC7E17">
        <w:rPr>
          <w:rFonts w:ascii="Arial" w:hAnsi="Arial" w:cs="Arial"/>
          <w:u w:color="000000"/>
        </w:rPr>
        <w:t xml:space="preserve"> </w:t>
      </w:r>
    </w:p>
    <w:p w14:paraId="6CBBD2EA" w14:textId="7C975F07" w:rsidR="00A76168" w:rsidRPr="00CC7E17" w:rsidRDefault="00A76168" w:rsidP="0009624B">
      <w:pPr>
        <w:pStyle w:val="Heading4"/>
        <w:spacing w:line="360" w:lineRule="auto"/>
        <w:rPr>
          <w:rFonts w:ascii="Arial" w:hAnsi="Arial" w:cs="Arial"/>
          <w:u w:color="000000"/>
        </w:rPr>
      </w:pPr>
      <w:r w:rsidRPr="00CC7E17">
        <w:rPr>
          <w:rFonts w:ascii="Arial" w:hAnsi="Arial" w:cs="Arial"/>
          <w:u w:color="000000"/>
        </w:rPr>
        <w:t>Article Selection</w:t>
      </w:r>
    </w:p>
    <w:p w14:paraId="60D206EC" w14:textId="495ABA42" w:rsidR="00A76168" w:rsidRPr="00CC7E17" w:rsidRDefault="00D36BCB" w:rsidP="0009624B">
      <w:pPr>
        <w:pStyle w:val="Body"/>
        <w:spacing w:line="360" w:lineRule="auto"/>
        <w:rPr>
          <w:rFonts w:ascii="Arial" w:eastAsia="Cambria" w:hAnsi="Arial" w:cs="Arial"/>
          <w:sz w:val="24"/>
          <w:szCs w:val="24"/>
          <w:u w:color="000000"/>
        </w:rPr>
      </w:pPr>
      <w:r w:rsidRPr="00CC7E17">
        <w:rPr>
          <w:rFonts w:ascii="Arial" w:eastAsia="Cambria" w:hAnsi="Arial" w:cs="Arial"/>
          <w:sz w:val="24"/>
          <w:szCs w:val="24"/>
          <w:u w:color="000000"/>
        </w:rPr>
        <w:t xml:space="preserve">After the </w:t>
      </w:r>
      <w:r w:rsidR="00AA5748" w:rsidRPr="00CC7E17">
        <w:rPr>
          <w:rFonts w:ascii="Arial" w:eastAsia="Cambria" w:hAnsi="Arial" w:cs="Arial"/>
          <w:sz w:val="24"/>
          <w:szCs w:val="24"/>
          <w:u w:color="000000"/>
        </w:rPr>
        <w:t>extractor interface</w:t>
      </w:r>
      <w:r w:rsidR="00A50237">
        <w:rPr>
          <w:rFonts w:ascii="Arial" w:eastAsia="Cambria" w:hAnsi="Arial" w:cs="Arial"/>
          <w:sz w:val="24"/>
          <w:szCs w:val="24"/>
          <w:u w:color="000000"/>
        </w:rPr>
        <w:t xml:space="preserve"> </w:t>
      </w:r>
      <w:r w:rsidRPr="00CC7E17">
        <w:rPr>
          <w:rFonts w:ascii="Arial" w:eastAsia="Cambria" w:hAnsi="Arial" w:cs="Arial"/>
          <w:sz w:val="24"/>
          <w:szCs w:val="24"/>
          <w:u w:color="000000"/>
        </w:rPr>
        <w:t>was finalized</w:t>
      </w:r>
      <w:r w:rsidR="00202596" w:rsidRPr="00CC7E17">
        <w:rPr>
          <w:rFonts w:ascii="Arial" w:eastAsia="Cambria" w:hAnsi="Arial" w:cs="Arial"/>
          <w:sz w:val="24"/>
          <w:szCs w:val="24"/>
          <w:u w:color="000000"/>
        </w:rPr>
        <w:t xml:space="preserve">, a test set of articles was </w:t>
      </w:r>
      <w:r w:rsidRPr="00CC7E17">
        <w:rPr>
          <w:rFonts w:ascii="Arial" w:eastAsia="Cambria" w:hAnsi="Arial" w:cs="Arial"/>
          <w:sz w:val="24"/>
          <w:szCs w:val="24"/>
          <w:u w:color="000000"/>
        </w:rPr>
        <w:t xml:space="preserve">gathered </w:t>
      </w:r>
      <w:r w:rsidR="00202596" w:rsidRPr="00CC7E17">
        <w:rPr>
          <w:rFonts w:ascii="Arial" w:eastAsia="Cambria" w:hAnsi="Arial" w:cs="Arial"/>
          <w:sz w:val="24"/>
          <w:szCs w:val="24"/>
          <w:u w:color="000000"/>
        </w:rPr>
        <w:t>from the PLUS database.</w:t>
      </w:r>
      <w:r w:rsidR="00047A0D" w:rsidRPr="00CC7E17">
        <w:rPr>
          <w:rFonts w:ascii="Arial" w:eastAsia="Cambria" w:hAnsi="Arial" w:cs="Arial"/>
          <w:sz w:val="24"/>
          <w:szCs w:val="24"/>
          <w:u w:color="000000"/>
        </w:rPr>
        <w:t xml:space="preserve"> </w:t>
      </w:r>
      <w:r w:rsidR="00C422CE" w:rsidRPr="00CC7E17">
        <w:rPr>
          <w:rFonts w:ascii="Arial" w:eastAsia="Cambria" w:hAnsi="Arial" w:cs="Arial"/>
          <w:sz w:val="24"/>
          <w:szCs w:val="24"/>
          <w:u w:color="000000"/>
        </w:rPr>
        <w:t>T</w:t>
      </w:r>
      <w:r w:rsidR="00047A0D" w:rsidRPr="00CC7E17">
        <w:rPr>
          <w:rFonts w:ascii="Arial" w:eastAsia="Cambria" w:hAnsi="Arial" w:cs="Arial"/>
          <w:sz w:val="24"/>
          <w:szCs w:val="24"/>
          <w:u w:color="000000"/>
        </w:rPr>
        <w:t>o be included in the test set</w:t>
      </w:r>
      <w:r w:rsidR="00677507" w:rsidRPr="00CC7E17">
        <w:rPr>
          <w:rFonts w:ascii="Arial" w:eastAsia="Cambria" w:hAnsi="Arial" w:cs="Arial"/>
          <w:sz w:val="24"/>
          <w:szCs w:val="24"/>
          <w:u w:color="000000"/>
        </w:rPr>
        <w:t>,</w:t>
      </w:r>
      <w:r w:rsidR="00047A0D" w:rsidRPr="00CC7E17">
        <w:rPr>
          <w:rFonts w:ascii="Arial" w:eastAsia="Cambria" w:hAnsi="Arial" w:cs="Arial"/>
          <w:sz w:val="24"/>
          <w:szCs w:val="24"/>
          <w:u w:color="000000"/>
        </w:rPr>
        <w:t xml:space="preserve"> the articles had to meet PLUS inclusion criteria (</w:t>
      </w:r>
      <w:r w:rsidR="003212CF" w:rsidRPr="00CC7E17">
        <w:rPr>
          <w:rFonts w:ascii="Arial" w:eastAsia="Cambria" w:hAnsi="Arial" w:cs="Arial"/>
          <w:sz w:val="24"/>
          <w:szCs w:val="24"/>
          <w:u w:color="000000"/>
        </w:rPr>
        <w:t>see</w:t>
      </w:r>
      <w:r w:rsidR="00047A0D" w:rsidRPr="00CC7E17">
        <w:rPr>
          <w:rFonts w:ascii="Arial" w:eastAsia="Cambria" w:hAnsi="Arial" w:cs="Arial"/>
          <w:sz w:val="24"/>
          <w:szCs w:val="24"/>
          <w:u w:color="000000"/>
        </w:rPr>
        <w:t xml:space="preserve"> </w:t>
      </w:r>
      <w:r w:rsidR="00614645" w:rsidRPr="009E57CF">
        <w:rPr>
          <w:rFonts w:ascii="Arial" w:eastAsia="Cambria" w:hAnsi="Arial" w:cs="Arial"/>
          <w:sz w:val="24"/>
          <w:szCs w:val="24"/>
          <w:u w:color="000000"/>
        </w:rPr>
        <w:fldChar w:fldCharType="begin"/>
      </w:r>
      <w:r w:rsidR="00614645" w:rsidRPr="00CC7E17">
        <w:rPr>
          <w:rFonts w:ascii="Arial" w:eastAsia="Cambria" w:hAnsi="Arial" w:cs="Arial"/>
          <w:sz w:val="24"/>
          <w:szCs w:val="24"/>
          <w:u w:color="000000"/>
        </w:rPr>
        <w:instrText xml:space="preserve"> REF _Ref271784486 \h </w:instrText>
      </w:r>
      <w:r w:rsidR="0009624B" w:rsidRPr="00CC7E17">
        <w:rPr>
          <w:rFonts w:ascii="Arial" w:eastAsia="Cambria" w:hAnsi="Arial" w:cs="Arial"/>
          <w:sz w:val="24"/>
          <w:szCs w:val="24"/>
          <w:u w:color="000000"/>
        </w:rPr>
        <w:instrText xml:space="preserve"> \* MERGEFORMAT </w:instrText>
      </w:r>
      <w:r w:rsidR="00614645" w:rsidRPr="009E57CF">
        <w:rPr>
          <w:rFonts w:ascii="Arial" w:eastAsia="Cambria" w:hAnsi="Arial" w:cs="Arial"/>
          <w:sz w:val="24"/>
          <w:szCs w:val="24"/>
          <w:u w:color="000000"/>
        </w:rPr>
      </w:r>
      <w:r w:rsidR="00614645" w:rsidRPr="009E57CF">
        <w:rPr>
          <w:rFonts w:ascii="Arial" w:eastAsia="Cambria" w:hAnsi="Arial" w:cs="Arial"/>
          <w:sz w:val="24"/>
          <w:szCs w:val="24"/>
          <w:u w:color="000000"/>
        </w:rPr>
        <w:fldChar w:fldCharType="separate"/>
      </w:r>
      <w:r w:rsidR="00614645" w:rsidRPr="009E57CF">
        <w:rPr>
          <w:rFonts w:ascii="Arial" w:hAnsi="Arial" w:cs="Arial"/>
          <w:sz w:val="24"/>
          <w:szCs w:val="24"/>
        </w:rPr>
        <w:t>Appendix 1</w:t>
      </w:r>
      <w:r w:rsidR="00614645" w:rsidRPr="009E57CF">
        <w:rPr>
          <w:rFonts w:ascii="Arial" w:eastAsia="Cambria" w:hAnsi="Arial" w:cs="Arial"/>
          <w:sz w:val="24"/>
          <w:szCs w:val="24"/>
          <w:u w:color="000000"/>
        </w:rPr>
        <w:fldChar w:fldCharType="end"/>
      </w:r>
      <w:r w:rsidR="003212CF" w:rsidRPr="00CC7E17">
        <w:rPr>
          <w:rFonts w:ascii="Arial" w:eastAsia="Cambria" w:hAnsi="Arial" w:cs="Arial"/>
          <w:sz w:val="24"/>
          <w:szCs w:val="24"/>
          <w:u w:color="000000"/>
        </w:rPr>
        <w:t>.</w:t>
      </w:r>
      <w:r w:rsidR="00047A0D" w:rsidRPr="00CC7E17">
        <w:rPr>
          <w:rFonts w:ascii="Arial" w:eastAsia="Cambria" w:hAnsi="Arial" w:cs="Arial"/>
          <w:sz w:val="24"/>
          <w:szCs w:val="24"/>
          <w:u w:color="000000"/>
        </w:rPr>
        <w:t xml:space="preserve">) </w:t>
      </w:r>
      <w:r w:rsidR="003212CF" w:rsidRPr="00CC7E17">
        <w:rPr>
          <w:rFonts w:ascii="Arial" w:eastAsia="Cambria" w:hAnsi="Arial" w:cs="Arial"/>
          <w:sz w:val="24"/>
          <w:szCs w:val="24"/>
          <w:u w:color="000000"/>
        </w:rPr>
        <w:t xml:space="preserve">This meant that included articles must come from a list of pre-approved journals, and meet strict criteria relating to the quality </w:t>
      </w:r>
      <w:r w:rsidR="00677507" w:rsidRPr="00CC7E17">
        <w:rPr>
          <w:rFonts w:ascii="Arial" w:eastAsia="Cambria" w:hAnsi="Arial" w:cs="Arial"/>
          <w:sz w:val="24"/>
          <w:szCs w:val="24"/>
          <w:u w:color="000000"/>
        </w:rPr>
        <w:t xml:space="preserve">and clinical relevance </w:t>
      </w:r>
      <w:r w:rsidR="003212CF" w:rsidRPr="00CC7E17">
        <w:rPr>
          <w:rFonts w:ascii="Arial" w:eastAsia="Cambria" w:hAnsi="Arial" w:cs="Arial"/>
          <w:sz w:val="24"/>
          <w:szCs w:val="24"/>
          <w:u w:color="000000"/>
        </w:rPr>
        <w:t xml:space="preserve">of the article. </w:t>
      </w:r>
    </w:p>
    <w:p w14:paraId="34A661BA" w14:textId="77777777" w:rsidR="00A76168" w:rsidRPr="00CC7E17" w:rsidRDefault="00A76168" w:rsidP="0009624B">
      <w:pPr>
        <w:pStyle w:val="Body"/>
        <w:spacing w:line="360" w:lineRule="auto"/>
        <w:rPr>
          <w:rFonts w:ascii="Arial" w:eastAsia="Cambria" w:hAnsi="Arial" w:cs="Arial"/>
          <w:sz w:val="24"/>
          <w:szCs w:val="24"/>
          <w:u w:color="000000"/>
        </w:rPr>
      </w:pPr>
    </w:p>
    <w:p w14:paraId="6DFFE253" w14:textId="29D49014" w:rsidR="00A76168" w:rsidRPr="00CC7E17" w:rsidRDefault="003212CF" w:rsidP="0009624B">
      <w:pPr>
        <w:pStyle w:val="Body"/>
        <w:spacing w:line="360" w:lineRule="auto"/>
        <w:rPr>
          <w:rFonts w:ascii="Arial" w:eastAsia="Cambria" w:hAnsi="Arial" w:cs="Arial"/>
          <w:sz w:val="24"/>
          <w:szCs w:val="24"/>
          <w:u w:color="000000"/>
        </w:rPr>
      </w:pPr>
      <w:r w:rsidRPr="00CC7E17">
        <w:rPr>
          <w:rFonts w:ascii="Arial" w:eastAsia="Cambria" w:hAnsi="Arial" w:cs="Arial"/>
          <w:sz w:val="24"/>
          <w:szCs w:val="24"/>
          <w:u w:color="000000"/>
        </w:rPr>
        <w:t xml:space="preserve">These articles could be </w:t>
      </w:r>
      <w:r w:rsidR="00231D4A" w:rsidRPr="00CC7E17">
        <w:rPr>
          <w:rFonts w:ascii="Arial" w:eastAsia="Cambria" w:hAnsi="Arial" w:cs="Arial"/>
          <w:sz w:val="24"/>
          <w:szCs w:val="24"/>
          <w:u w:color="000000"/>
        </w:rPr>
        <w:t>RCTs</w:t>
      </w:r>
      <w:r w:rsidRPr="00CC7E17">
        <w:rPr>
          <w:rFonts w:ascii="Arial" w:eastAsia="Cambria" w:hAnsi="Arial" w:cs="Arial"/>
          <w:sz w:val="24"/>
          <w:szCs w:val="24"/>
          <w:u w:color="000000"/>
        </w:rPr>
        <w:t xml:space="preserve">, </w:t>
      </w:r>
      <w:r w:rsidR="003C2B6C" w:rsidRPr="00CC7E17">
        <w:rPr>
          <w:rFonts w:ascii="Arial" w:eastAsia="Cambria" w:hAnsi="Arial" w:cs="Arial"/>
          <w:sz w:val="24"/>
          <w:szCs w:val="24"/>
          <w:u w:color="000000"/>
        </w:rPr>
        <w:t>s</w:t>
      </w:r>
      <w:r w:rsidRPr="00CC7E17">
        <w:rPr>
          <w:rFonts w:ascii="Arial" w:eastAsia="Cambria" w:hAnsi="Arial" w:cs="Arial"/>
          <w:sz w:val="24"/>
          <w:szCs w:val="24"/>
          <w:u w:color="000000"/>
        </w:rPr>
        <w:t xml:space="preserve">ystematic </w:t>
      </w:r>
      <w:r w:rsidR="003C2B6C" w:rsidRPr="00CC7E17">
        <w:rPr>
          <w:rFonts w:ascii="Arial" w:eastAsia="Cambria" w:hAnsi="Arial" w:cs="Arial"/>
          <w:sz w:val="24"/>
          <w:szCs w:val="24"/>
          <w:u w:color="000000"/>
        </w:rPr>
        <w:t>r</w:t>
      </w:r>
      <w:r w:rsidRPr="00CC7E17">
        <w:rPr>
          <w:rFonts w:ascii="Arial" w:eastAsia="Cambria" w:hAnsi="Arial" w:cs="Arial"/>
          <w:sz w:val="24"/>
          <w:szCs w:val="24"/>
          <w:u w:color="000000"/>
        </w:rPr>
        <w:t xml:space="preserve">eviews and </w:t>
      </w:r>
      <w:r w:rsidR="003C2B6C" w:rsidRPr="00CC7E17">
        <w:rPr>
          <w:rFonts w:ascii="Arial" w:eastAsia="Cambria" w:hAnsi="Arial" w:cs="Arial"/>
          <w:sz w:val="24"/>
          <w:szCs w:val="24"/>
          <w:u w:color="000000"/>
        </w:rPr>
        <w:t>m</w:t>
      </w:r>
      <w:r w:rsidRPr="00CC7E17">
        <w:rPr>
          <w:rFonts w:ascii="Arial" w:eastAsia="Cambria" w:hAnsi="Arial" w:cs="Arial"/>
          <w:sz w:val="24"/>
          <w:szCs w:val="24"/>
          <w:u w:color="000000"/>
        </w:rPr>
        <w:t>eta-</w:t>
      </w:r>
      <w:r w:rsidR="003C2B6C" w:rsidRPr="00CC7E17">
        <w:rPr>
          <w:rFonts w:ascii="Arial" w:eastAsia="Cambria" w:hAnsi="Arial" w:cs="Arial"/>
          <w:sz w:val="24"/>
          <w:szCs w:val="24"/>
          <w:u w:color="000000"/>
        </w:rPr>
        <w:t>a</w:t>
      </w:r>
      <w:r w:rsidRPr="00CC7E17">
        <w:rPr>
          <w:rFonts w:ascii="Arial" w:eastAsia="Cambria" w:hAnsi="Arial" w:cs="Arial"/>
          <w:sz w:val="24"/>
          <w:szCs w:val="24"/>
          <w:u w:color="000000"/>
        </w:rPr>
        <w:t xml:space="preserve">nalyses of </w:t>
      </w:r>
      <w:r w:rsidR="00231D4A" w:rsidRPr="00CC7E17">
        <w:rPr>
          <w:rFonts w:ascii="Arial" w:eastAsia="Cambria" w:hAnsi="Arial" w:cs="Arial"/>
          <w:sz w:val="24"/>
          <w:szCs w:val="24"/>
          <w:u w:color="000000"/>
        </w:rPr>
        <w:t>RCTs</w:t>
      </w:r>
      <w:r w:rsidRPr="00CC7E17">
        <w:rPr>
          <w:rFonts w:ascii="Arial" w:eastAsia="Cambria" w:hAnsi="Arial" w:cs="Arial"/>
          <w:sz w:val="24"/>
          <w:szCs w:val="24"/>
          <w:u w:color="000000"/>
        </w:rPr>
        <w:t xml:space="preserve">, </w:t>
      </w:r>
      <w:r w:rsidR="003C2B6C" w:rsidRPr="00CC7E17">
        <w:rPr>
          <w:rFonts w:ascii="Arial" w:eastAsia="Cambria" w:hAnsi="Arial" w:cs="Arial"/>
          <w:sz w:val="24"/>
          <w:szCs w:val="24"/>
          <w:u w:color="000000"/>
        </w:rPr>
        <w:t>o</w:t>
      </w:r>
      <w:r w:rsidRPr="00CC7E17">
        <w:rPr>
          <w:rFonts w:ascii="Arial" w:eastAsia="Cambria" w:hAnsi="Arial" w:cs="Arial"/>
          <w:sz w:val="24"/>
          <w:szCs w:val="24"/>
          <w:u w:color="000000"/>
        </w:rPr>
        <w:t xml:space="preserve">bservational </w:t>
      </w:r>
      <w:r w:rsidR="003C2B6C" w:rsidRPr="00CC7E17">
        <w:rPr>
          <w:rFonts w:ascii="Arial" w:eastAsia="Cambria" w:hAnsi="Arial" w:cs="Arial"/>
          <w:sz w:val="24"/>
          <w:szCs w:val="24"/>
          <w:u w:color="000000"/>
        </w:rPr>
        <w:t>s</w:t>
      </w:r>
      <w:r w:rsidRPr="00CC7E17">
        <w:rPr>
          <w:rFonts w:ascii="Arial" w:eastAsia="Cambria" w:hAnsi="Arial" w:cs="Arial"/>
          <w:sz w:val="24"/>
          <w:szCs w:val="24"/>
          <w:u w:color="000000"/>
        </w:rPr>
        <w:t xml:space="preserve">tudies (whether </w:t>
      </w:r>
      <w:r w:rsidR="005B2368" w:rsidRPr="00CC7E17">
        <w:rPr>
          <w:rFonts w:ascii="Arial" w:eastAsia="Cambria" w:hAnsi="Arial" w:cs="Arial"/>
          <w:sz w:val="24"/>
          <w:szCs w:val="24"/>
          <w:u w:color="000000"/>
        </w:rPr>
        <w:t>prospective or retrospective)</w:t>
      </w:r>
      <w:r w:rsidR="00677507" w:rsidRPr="00CC7E17">
        <w:rPr>
          <w:rFonts w:ascii="Arial" w:eastAsia="Cambria" w:hAnsi="Arial" w:cs="Arial"/>
          <w:sz w:val="24"/>
          <w:szCs w:val="24"/>
          <w:u w:color="000000"/>
        </w:rPr>
        <w:t xml:space="preserve"> and</w:t>
      </w:r>
      <w:r w:rsidR="00A50237">
        <w:rPr>
          <w:rFonts w:ascii="Arial" w:eastAsia="Cambria" w:hAnsi="Arial" w:cs="Arial"/>
          <w:sz w:val="24"/>
          <w:szCs w:val="24"/>
          <w:u w:color="000000"/>
        </w:rPr>
        <w:t xml:space="preserve"> </w:t>
      </w:r>
      <w:r w:rsidR="003C2B6C" w:rsidRPr="00CC7E17">
        <w:rPr>
          <w:rFonts w:ascii="Arial" w:eastAsia="Cambria" w:hAnsi="Arial" w:cs="Arial"/>
          <w:sz w:val="24"/>
          <w:szCs w:val="24"/>
          <w:u w:color="000000"/>
        </w:rPr>
        <w:t>s</w:t>
      </w:r>
      <w:r w:rsidRPr="00CC7E17">
        <w:rPr>
          <w:rFonts w:ascii="Arial" w:eastAsia="Cambria" w:hAnsi="Arial" w:cs="Arial"/>
          <w:sz w:val="24"/>
          <w:szCs w:val="24"/>
          <w:u w:color="000000"/>
        </w:rPr>
        <w:t xml:space="preserve">ystematic </w:t>
      </w:r>
      <w:r w:rsidR="003C2B6C" w:rsidRPr="00CC7E17">
        <w:rPr>
          <w:rFonts w:ascii="Arial" w:eastAsia="Cambria" w:hAnsi="Arial" w:cs="Arial"/>
          <w:sz w:val="24"/>
          <w:szCs w:val="24"/>
          <w:u w:color="000000"/>
        </w:rPr>
        <w:t>r</w:t>
      </w:r>
      <w:r w:rsidRPr="00CC7E17">
        <w:rPr>
          <w:rFonts w:ascii="Arial" w:eastAsia="Cambria" w:hAnsi="Arial" w:cs="Arial"/>
          <w:sz w:val="24"/>
          <w:szCs w:val="24"/>
          <w:u w:color="000000"/>
        </w:rPr>
        <w:t xml:space="preserve">eviews and </w:t>
      </w:r>
      <w:r w:rsidR="003C2B6C" w:rsidRPr="00CC7E17">
        <w:rPr>
          <w:rFonts w:ascii="Arial" w:eastAsia="Cambria" w:hAnsi="Arial" w:cs="Arial"/>
          <w:sz w:val="24"/>
          <w:szCs w:val="24"/>
          <w:u w:color="000000"/>
        </w:rPr>
        <w:t>m</w:t>
      </w:r>
      <w:r w:rsidRPr="00CC7E17">
        <w:rPr>
          <w:rFonts w:ascii="Arial" w:eastAsia="Cambria" w:hAnsi="Arial" w:cs="Arial"/>
          <w:sz w:val="24"/>
          <w:szCs w:val="24"/>
          <w:u w:color="000000"/>
        </w:rPr>
        <w:t>eta-</w:t>
      </w:r>
      <w:r w:rsidR="003C2B6C" w:rsidRPr="00CC7E17">
        <w:rPr>
          <w:rFonts w:ascii="Arial" w:eastAsia="Cambria" w:hAnsi="Arial" w:cs="Arial"/>
          <w:sz w:val="24"/>
          <w:szCs w:val="24"/>
          <w:u w:color="000000"/>
        </w:rPr>
        <w:t>a</w:t>
      </w:r>
      <w:r w:rsidRPr="00CC7E17">
        <w:rPr>
          <w:rFonts w:ascii="Arial" w:eastAsia="Cambria" w:hAnsi="Arial" w:cs="Arial"/>
          <w:sz w:val="24"/>
          <w:szCs w:val="24"/>
          <w:u w:color="000000"/>
        </w:rPr>
        <w:t xml:space="preserve">nalyses of </w:t>
      </w:r>
      <w:r w:rsidR="005B2368" w:rsidRPr="00CC7E17">
        <w:rPr>
          <w:rFonts w:ascii="Arial" w:eastAsia="Cambria" w:hAnsi="Arial" w:cs="Arial"/>
          <w:sz w:val="24"/>
          <w:szCs w:val="24"/>
          <w:u w:color="000000"/>
        </w:rPr>
        <w:t xml:space="preserve">these </w:t>
      </w:r>
      <w:r w:rsidR="00053639" w:rsidRPr="00CC7E17">
        <w:rPr>
          <w:rFonts w:ascii="Arial" w:eastAsia="Cambria" w:hAnsi="Arial" w:cs="Arial"/>
          <w:sz w:val="24"/>
          <w:szCs w:val="24"/>
          <w:u w:color="000000"/>
        </w:rPr>
        <w:t>o</w:t>
      </w:r>
      <w:r w:rsidR="005B2368" w:rsidRPr="00CC7E17">
        <w:rPr>
          <w:rFonts w:ascii="Arial" w:eastAsia="Cambria" w:hAnsi="Arial" w:cs="Arial"/>
          <w:sz w:val="24"/>
          <w:szCs w:val="24"/>
          <w:u w:color="000000"/>
        </w:rPr>
        <w:t xml:space="preserve">bservational Studies. </w:t>
      </w:r>
    </w:p>
    <w:p w14:paraId="2058AFC5" w14:textId="77777777" w:rsidR="00A76168" w:rsidRPr="00CC7E17" w:rsidRDefault="00A76168" w:rsidP="0009624B">
      <w:pPr>
        <w:pStyle w:val="Body"/>
        <w:spacing w:line="360" w:lineRule="auto"/>
        <w:rPr>
          <w:rFonts w:ascii="Arial" w:eastAsia="Cambria" w:hAnsi="Arial" w:cs="Arial"/>
          <w:sz w:val="24"/>
          <w:szCs w:val="24"/>
          <w:u w:color="000000"/>
        </w:rPr>
      </w:pPr>
    </w:p>
    <w:p w14:paraId="303C1650" w14:textId="0627D914" w:rsidR="00A76168" w:rsidRPr="00CC7E17" w:rsidRDefault="00677507" w:rsidP="0009624B">
      <w:pPr>
        <w:pStyle w:val="Body"/>
        <w:spacing w:line="360" w:lineRule="auto"/>
        <w:rPr>
          <w:rFonts w:ascii="Arial" w:eastAsia="Cambria" w:hAnsi="Arial" w:cs="Arial"/>
          <w:sz w:val="24"/>
          <w:szCs w:val="24"/>
          <w:u w:color="000000"/>
        </w:rPr>
      </w:pPr>
      <w:r w:rsidRPr="00CC7E17">
        <w:rPr>
          <w:rFonts w:ascii="Arial" w:eastAsia="Cambria" w:hAnsi="Arial" w:cs="Arial"/>
          <w:sz w:val="24"/>
          <w:szCs w:val="24"/>
          <w:u w:color="000000"/>
        </w:rPr>
        <w:t xml:space="preserve">Clinical </w:t>
      </w:r>
      <w:r w:rsidR="00D572D2" w:rsidRPr="00CC7E17">
        <w:rPr>
          <w:rFonts w:ascii="Arial" w:eastAsia="Cambria" w:hAnsi="Arial" w:cs="Arial"/>
          <w:sz w:val="24"/>
          <w:szCs w:val="24"/>
          <w:u w:color="000000"/>
        </w:rPr>
        <w:t>p</w:t>
      </w:r>
      <w:r w:rsidRPr="00CC7E17">
        <w:rPr>
          <w:rFonts w:ascii="Arial" w:eastAsia="Cambria" w:hAnsi="Arial" w:cs="Arial"/>
          <w:sz w:val="24"/>
          <w:szCs w:val="24"/>
          <w:u w:color="000000"/>
        </w:rPr>
        <w:t xml:space="preserve">rediction </w:t>
      </w:r>
      <w:r w:rsidR="00D572D2" w:rsidRPr="00CC7E17">
        <w:rPr>
          <w:rFonts w:ascii="Arial" w:eastAsia="Cambria" w:hAnsi="Arial" w:cs="Arial"/>
          <w:sz w:val="24"/>
          <w:szCs w:val="24"/>
          <w:u w:color="000000"/>
        </w:rPr>
        <w:t>g</w:t>
      </w:r>
      <w:r w:rsidRPr="00CC7E17">
        <w:rPr>
          <w:rFonts w:ascii="Arial" w:eastAsia="Cambria" w:hAnsi="Arial" w:cs="Arial"/>
          <w:sz w:val="24"/>
          <w:szCs w:val="24"/>
          <w:u w:color="000000"/>
        </w:rPr>
        <w:t xml:space="preserve">uides and case studies were specifically excluded from this study. </w:t>
      </w:r>
      <w:r w:rsidR="005B2368" w:rsidRPr="00CC7E17">
        <w:rPr>
          <w:rFonts w:ascii="Arial" w:eastAsia="Cambria" w:hAnsi="Arial" w:cs="Arial"/>
          <w:sz w:val="24"/>
          <w:szCs w:val="24"/>
          <w:u w:color="000000"/>
        </w:rPr>
        <w:t xml:space="preserve">Clinical </w:t>
      </w:r>
      <w:r w:rsidR="003C2B6C" w:rsidRPr="00CC7E17">
        <w:rPr>
          <w:rFonts w:ascii="Arial" w:eastAsia="Cambria" w:hAnsi="Arial" w:cs="Arial"/>
          <w:sz w:val="24"/>
          <w:szCs w:val="24"/>
          <w:u w:color="000000"/>
        </w:rPr>
        <w:t>p</w:t>
      </w:r>
      <w:r w:rsidR="005B2368" w:rsidRPr="00CC7E17">
        <w:rPr>
          <w:rFonts w:ascii="Arial" w:eastAsia="Cambria" w:hAnsi="Arial" w:cs="Arial"/>
          <w:sz w:val="24"/>
          <w:szCs w:val="24"/>
          <w:u w:color="000000"/>
        </w:rPr>
        <w:t>redictio</w:t>
      </w:r>
      <w:r w:rsidR="00256DC8" w:rsidRPr="00CC7E17">
        <w:rPr>
          <w:rFonts w:ascii="Arial" w:eastAsia="Cambria" w:hAnsi="Arial" w:cs="Arial"/>
          <w:sz w:val="24"/>
          <w:szCs w:val="24"/>
          <w:u w:color="000000"/>
        </w:rPr>
        <w:t xml:space="preserve">n </w:t>
      </w:r>
      <w:r w:rsidR="003C2B6C" w:rsidRPr="00CC7E17">
        <w:rPr>
          <w:rFonts w:ascii="Arial" w:eastAsia="Cambria" w:hAnsi="Arial" w:cs="Arial"/>
          <w:sz w:val="24"/>
          <w:szCs w:val="24"/>
          <w:u w:color="000000"/>
        </w:rPr>
        <w:t>g</w:t>
      </w:r>
      <w:r w:rsidR="00256DC8" w:rsidRPr="00CC7E17">
        <w:rPr>
          <w:rFonts w:ascii="Arial" w:eastAsia="Cambria" w:hAnsi="Arial" w:cs="Arial"/>
          <w:sz w:val="24"/>
          <w:szCs w:val="24"/>
          <w:u w:color="000000"/>
        </w:rPr>
        <w:t xml:space="preserve">uides are </w:t>
      </w:r>
      <w:r w:rsidR="003C2B6C" w:rsidRPr="00CC7E17">
        <w:rPr>
          <w:rFonts w:ascii="Arial" w:eastAsia="Cambria" w:hAnsi="Arial" w:cs="Arial"/>
          <w:sz w:val="24"/>
          <w:szCs w:val="24"/>
          <w:u w:color="000000"/>
        </w:rPr>
        <w:t>g</w:t>
      </w:r>
      <w:r w:rsidR="00256DC8" w:rsidRPr="00CC7E17">
        <w:rPr>
          <w:rFonts w:ascii="Arial" w:eastAsia="Cambria" w:hAnsi="Arial" w:cs="Arial"/>
          <w:sz w:val="24"/>
          <w:szCs w:val="24"/>
          <w:u w:color="000000"/>
        </w:rPr>
        <w:t>uidelines that recommend</w:t>
      </w:r>
      <w:r w:rsidR="00A50237">
        <w:rPr>
          <w:rFonts w:ascii="Arial" w:eastAsia="Cambria" w:hAnsi="Arial" w:cs="Arial"/>
          <w:sz w:val="24"/>
          <w:szCs w:val="24"/>
          <w:u w:color="000000"/>
        </w:rPr>
        <w:t xml:space="preserve"> </w:t>
      </w:r>
      <w:r w:rsidR="00256DC8" w:rsidRPr="00CC7E17">
        <w:rPr>
          <w:rFonts w:ascii="Arial" w:eastAsia="Cambria" w:hAnsi="Arial" w:cs="Arial"/>
          <w:sz w:val="24"/>
          <w:szCs w:val="24"/>
          <w:u w:color="000000"/>
        </w:rPr>
        <w:t>the best course of treatmen</w:t>
      </w:r>
      <w:r w:rsidRPr="00CC7E17">
        <w:rPr>
          <w:rFonts w:ascii="Arial" w:eastAsia="Cambria" w:hAnsi="Arial" w:cs="Arial"/>
          <w:sz w:val="24"/>
          <w:szCs w:val="24"/>
          <w:u w:color="000000"/>
        </w:rPr>
        <w:t>t.</w:t>
      </w:r>
      <w:r w:rsidR="003212CF" w:rsidRPr="00CC7E17">
        <w:rPr>
          <w:rFonts w:ascii="Arial" w:eastAsia="Cambria" w:hAnsi="Arial" w:cs="Arial"/>
          <w:sz w:val="24"/>
          <w:szCs w:val="24"/>
          <w:u w:color="000000"/>
        </w:rPr>
        <w:t xml:space="preserve"> </w:t>
      </w:r>
      <w:r w:rsidR="00A76168" w:rsidRPr="00CC7E17">
        <w:rPr>
          <w:rFonts w:ascii="Arial" w:eastAsia="Cambria" w:hAnsi="Arial" w:cs="Arial"/>
          <w:sz w:val="24"/>
          <w:szCs w:val="24"/>
          <w:u w:color="000000"/>
        </w:rPr>
        <w:t xml:space="preserve">Clinical </w:t>
      </w:r>
      <w:r w:rsidR="003C2B6C" w:rsidRPr="00CC7E17">
        <w:rPr>
          <w:rFonts w:ascii="Arial" w:eastAsia="Cambria" w:hAnsi="Arial" w:cs="Arial"/>
          <w:sz w:val="24"/>
          <w:szCs w:val="24"/>
          <w:u w:color="000000"/>
        </w:rPr>
        <w:t>p</w:t>
      </w:r>
      <w:r w:rsidR="00446836">
        <w:rPr>
          <w:rFonts w:ascii="Arial" w:eastAsia="Cambria" w:hAnsi="Arial" w:cs="Arial"/>
          <w:sz w:val="24"/>
          <w:szCs w:val="24"/>
          <w:u w:color="000000"/>
        </w:rPr>
        <w:t>rediction</w:t>
      </w:r>
      <w:r w:rsidR="00A76168" w:rsidRPr="00CC7E17">
        <w:rPr>
          <w:rFonts w:ascii="Arial" w:eastAsia="Cambria" w:hAnsi="Arial" w:cs="Arial"/>
          <w:sz w:val="24"/>
          <w:szCs w:val="24"/>
          <w:u w:color="000000"/>
        </w:rPr>
        <w:t xml:space="preserve"> </w:t>
      </w:r>
      <w:r w:rsidR="003C2B6C" w:rsidRPr="00CC7E17">
        <w:rPr>
          <w:rFonts w:ascii="Arial" w:eastAsia="Cambria" w:hAnsi="Arial" w:cs="Arial"/>
          <w:sz w:val="24"/>
          <w:szCs w:val="24"/>
          <w:u w:color="000000"/>
        </w:rPr>
        <w:t>g</w:t>
      </w:r>
      <w:r w:rsidR="00A76168" w:rsidRPr="00CC7E17">
        <w:rPr>
          <w:rFonts w:ascii="Arial" w:eastAsia="Cambria" w:hAnsi="Arial" w:cs="Arial"/>
          <w:sz w:val="24"/>
          <w:szCs w:val="24"/>
          <w:u w:color="000000"/>
        </w:rPr>
        <w:t xml:space="preserve">uides were found to require a completely different database and </w:t>
      </w:r>
      <w:r w:rsidRPr="00CC7E17">
        <w:rPr>
          <w:rFonts w:ascii="Arial" w:eastAsia="Cambria" w:hAnsi="Arial" w:cs="Arial"/>
          <w:sz w:val="24"/>
          <w:szCs w:val="24"/>
          <w:u w:color="000000"/>
        </w:rPr>
        <w:t xml:space="preserve">extraction process </w:t>
      </w:r>
      <w:r w:rsidR="00A76168" w:rsidRPr="00CC7E17">
        <w:rPr>
          <w:rFonts w:ascii="Arial" w:eastAsia="Cambria" w:hAnsi="Arial" w:cs="Arial"/>
          <w:sz w:val="24"/>
          <w:szCs w:val="24"/>
          <w:u w:color="000000"/>
        </w:rPr>
        <w:t>when compared to other article types, and therefore were omitted</w:t>
      </w:r>
      <w:r w:rsidR="0082450B">
        <w:rPr>
          <w:rFonts w:ascii="Arial" w:eastAsia="Cambria" w:hAnsi="Arial" w:cs="Arial"/>
          <w:sz w:val="24"/>
          <w:szCs w:val="24"/>
          <w:u w:color="000000"/>
        </w:rPr>
        <w:t>.</w:t>
      </w:r>
    </w:p>
    <w:p w14:paraId="461CEDD8" w14:textId="77777777" w:rsidR="00A76168" w:rsidRPr="00CC7E17" w:rsidRDefault="00A76168" w:rsidP="0009624B">
      <w:pPr>
        <w:pStyle w:val="Body"/>
        <w:spacing w:line="360" w:lineRule="auto"/>
        <w:rPr>
          <w:rFonts w:ascii="Arial" w:eastAsia="Cambria" w:hAnsi="Arial" w:cs="Arial"/>
          <w:sz w:val="24"/>
          <w:szCs w:val="24"/>
          <w:u w:color="000000"/>
        </w:rPr>
      </w:pPr>
    </w:p>
    <w:p w14:paraId="46538190" w14:textId="3995ECD6" w:rsidR="00A87163" w:rsidRPr="00CC7E17" w:rsidRDefault="003212CF" w:rsidP="0009624B">
      <w:pPr>
        <w:pStyle w:val="Body"/>
        <w:spacing w:line="360" w:lineRule="auto"/>
        <w:rPr>
          <w:rFonts w:ascii="Arial" w:eastAsia="Cambria" w:hAnsi="Arial" w:cs="Arial"/>
          <w:sz w:val="24"/>
          <w:szCs w:val="24"/>
          <w:u w:color="000000"/>
        </w:rPr>
      </w:pPr>
      <w:r w:rsidRPr="00CC7E17">
        <w:rPr>
          <w:rFonts w:ascii="Arial" w:eastAsia="Cambria" w:hAnsi="Arial" w:cs="Arial"/>
          <w:sz w:val="24"/>
          <w:szCs w:val="24"/>
          <w:u w:color="000000"/>
        </w:rPr>
        <w:t>Articles that have passed through the Critical Appraisal Process for PLUS inclusion are</w:t>
      </w:r>
      <w:r w:rsidR="00256DC8" w:rsidRPr="00CC7E17">
        <w:rPr>
          <w:rFonts w:ascii="Arial" w:eastAsia="Cambria" w:hAnsi="Arial" w:cs="Arial"/>
          <w:sz w:val="24"/>
          <w:szCs w:val="24"/>
          <w:u w:color="000000"/>
        </w:rPr>
        <w:t xml:space="preserve"> rated on a scale from 1-7 for their clinical relevance and newsworthiness. </w:t>
      </w:r>
      <w:r w:rsidR="00D572D2" w:rsidRPr="00CC7E17">
        <w:rPr>
          <w:rFonts w:ascii="Arial" w:eastAsia="Cambria" w:hAnsi="Arial" w:cs="Arial"/>
          <w:sz w:val="24"/>
          <w:szCs w:val="24"/>
          <w:u w:color="000000"/>
        </w:rPr>
        <w:t>T</w:t>
      </w:r>
      <w:r w:rsidR="00256DC8" w:rsidRPr="00CC7E17">
        <w:rPr>
          <w:rFonts w:ascii="Arial" w:eastAsia="Cambria" w:hAnsi="Arial" w:cs="Arial"/>
          <w:sz w:val="24"/>
          <w:szCs w:val="24"/>
          <w:u w:color="000000"/>
        </w:rPr>
        <w:t>o be included in th</w:t>
      </w:r>
      <w:r w:rsidR="00231D4A" w:rsidRPr="00CC7E17">
        <w:rPr>
          <w:rFonts w:ascii="Arial" w:eastAsia="Cambria" w:hAnsi="Arial" w:cs="Arial"/>
          <w:sz w:val="24"/>
          <w:szCs w:val="24"/>
          <w:u w:color="000000"/>
        </w:rPr>
        <w:t>is</w:t>
      </w:r>
      <w:r w:rsidR="00256DC8" w:rsidRPr="00CC7E17">
        <w:rPr>
          <w:rFonts w:ascii="Arial" w:eastAsia="Cambria" w:hAnsi="Arial" w:cs="Arial"/>
          <w:sz w:val="24"/>
          <w:szCs w:val="24"/>
          <w:u w:color="000000"/>
        </w:rPr>
        <w:t xml:space="preserve"> study</w:t>
      </w:r>
      <w:r w:rsidR="00A76168" w:rsidRPr="00CC7E17">
        <w:rPr>
          <w:rFonts w:ascii="Arial" w:eastAsia="Cambria" w:hAnsi="Arial" w:cs="Arial"/>
          <w:sz w:val="24"/>
          <w:szCs w:val="24"/>
          <w:u w:color="000000"/>
        </w:rPr>
        <w:t xml:space="preserve">, articles must have had a rating of greater than 6 in both clinical relevance and newsworthiness. </w:t>
      </w:r>
      <w:r w:rsidR="00A87163" w:rsidRPr="00CC7E17">
        <w:rPr>
          <w:rFonts w:ascii="Arial" w:eastAsia="Cambria" w:hAnsi="Arial" w:cs="Arial"/>
          <w:sz w:val="24"/>
          <w:szCs w:val="24"/>
          <w:u w:color="000000"/>
        </w:rPr>
        <w:t xml:space="preserve">There were </w:t>
      </w:r>
      <w:r w:rsidR="00D572D2" w:rsidRPr="00CC7E17">
        <w:rPr>
          <w:rFonts w:ascii="Arial" w:eastAsia="Cambria" w:hAnsi="Arial" w:cs="Arial"/>
          <w:sz w:val="24"/>
          <w:szCs w:val="24"/>
          <w:u w:color="000000"/>
        </w:rPr>
        <w:t>656</w:t>
      </w:r>
      <w:r w:rsidR="00A87163" w:rsidRPr="00CC7E17">
        <w:rPr>
          <w:rFonts w:ascii="Arial" w:eastAsia="Cambria" w:hAnsi="Arial" w:cs="Arial"/>
          <w:sz w:val="24"/>
          <w:szCs w:val="24"/>
          <w:u w:color="000000"/>
        </w:rPr>
        <w:t xml:space="preserve"> </w:t>
      </w:r>
      <w:r w:rsidR="00202596" w:rsidRPr="00CC7E17">
        <w:rPr>
          <w:rFonts w:ascii="Arial" w:eastAsia="Cambria" w:hAnsi="Arial" w:cs="Arial"/>
          <w:sz w:val="24"/>
          <w:szCs w:val="24"/>
          <w:u w:color="000000"/>
        </w:rPr>
        <w:t>articles</w:t>
      </w:r>
      <w:r w:rsidR="00A76168" w:rsidRPr="00CC7E17">
        <w:rPr>
          <w:rFonts w:ascii="Arial" w:eastAsia="Cambria" w:hAnsi="Arial" w:cs="Arial"/>
          <w:sz w:val="24"/>
          <w:szCs w:val="24"/>
          <w:u w:color="000000"/>
        </w:rPr>
        <w:t xml:space="preserve"> (</w:t>
      </w:r>
      <w:r w:rsidR="00231D4A" w:rsidRPr="00CC7E17">
        <w:rPr>
          <w:rFonts w:ascii="Arial" w:eastAsia="Cambria" w:hAnsi="Arial" w:cs="Arial"/>
          <w:sz w:val="24"/>
          <w:szCs w:val="24"/>
          <w:u w:color="000000"/>
        </w:rPr>
        <w:t xml:space="preserve">categorized and </w:t>
      </w:r>
      <w:r w:rsidR="00A76168" w:rsidRPr="00CC7E17">
        <w:rPr>
          <w:rFonts w:ascii="Arial" w:eastAsia="Cambria" w:hAnsi="Arial" w:cs="Arial"/>
          <w:sz w:val="24"/>
          <w:szCs w:val="24"/>
          <w:u w:color="000000"/>
        </w:rPr>
        <w:t>listed in Works Cited section)</w:t>
      </w:r>
      <w:r w:rsidR="00A87163" w:rsidRPr="00CC7E17">
        <w:rPr>
          <w:rFonts w:ascii="Arial" w:eastAsia="Cambria" w:hAnsi="Arial" w:cs="Arial"/>
          <w:sz w:val="24"/>
          <w:szCs w:val="24"/>
          <w:u w:color="000000"/>
        </w:rPr>
        <w:t xml:space="preserve"> which </w:t>
      </w:r>
      <w:r w:rsidR="00202596" w:rsidRPr="00CC7E17">
        <w:rPr>
          <w:rFonts w:ascii="Arial" w:eastAsia="Cambria" w:hAnsi="Arial" w:cs="Arial"/>
          <w:sz w:val="24"/>
          <w:szCs w:val="24"/>
          <w:u w:color="000000"/>
        </w:rPr>
        <w:t xml:space="preserve">met the inclusion criteria </w:t>
      </w:r>
      <w:r w:rsidR="00A76168" w:rsidRPr="00CC7E17">
        <w:rPr>
          <w:rFonts w:ascii="Arial" w:eastAsia="Cambria" w:hAnsi="Arial" w:cs="Arial"/>
          <w:sz w:val="24"/>
          <w:szCs w:val="24"/>
          <w:u w:color="000000"/>
        </w:rPr>
        <w:t xml:space="preserve">as mentioned above. </w:t>
      </w:r>
    </w:p>
    <w:p w14:paraId="0BECD3CB" w14:textId="77777777" w:rsidR="00E041C7" w:rsidRPr="00CC7E17" w:rsidRDefault="00E041C7" w:rsidP="0009624B">
      <w:pPr>
        <w:pStyle w:val="Body"/>
        <w:spacing w:line="360" w:lineRule="auto"/>
        <w:rPr>
          <w:rFonts w:ascii="Arial" w:eastAsia="Cambria" w:hAnsi="Arial" w:cs="Arial"/>
          <w:sz w:val="24"/>
          <w:szCs w:val="24"/>
          <w:u w:color="000000"/>
        </w:rPr>
      </w:pPr>
    </w:p>
    <w:p w14:paraId="6E18CAB1" w14:textId="3C474142" w:rsidR="00E041C7" w:rsidRPr="00CC7E17" w:rsidRDefault="00E041C7" w:rsidP="0009624B">
      <w:pPr>
        <w:pStyle w:val="Heading4"/>
        <w:spacing w:line="360" w:lineRule="auto"/>
        <w:rPr>
          <w:rFonts w:ascii="Arial" w:hAnsi="Arial" w:cs="Arial"/>
          <w:u w:color="000000"/>
        </w:rPr>
      </w:pPr>
      <w:r w:rsidRPr="00CC7E17">
        <w:rPr>
          <w:rFonts w:ascii="Arial" w:hAnsi="Arial" w:cs="Arial"/>
          <w:u w:color="000000"/>
        </w:rPr>
        <w:t>Outcome Measures</w:t>
      </w:r>
    </w:p>
    <w:p w14:paraId="5DEF6223" w14:textId="706B6519" w:rsidR="00E041C7" w:rsidRPr="009E57CF" w:rsidRDefault="00C11346" w:rsidP="009E57CF">
      <w:pPr>
        <w:spacing w:line="360" w:lineRule="auto"/>
        <w:rPr>
          <w:rFonts w:ascii="Arial" w:eastAsia="Cambria" w:hAnsi="Arial" w:cs="Arial"/>
          <w:u w:color="000000"/>
        </w:rPr>
      </w:pPr>
      <w:r w:rsidRPr="009E57CF">
        <w:rPr>
          <w:rFonts w:ascii="Arial" w:hAnsi="Arial" w:cs="Arial"/>
        </w:rPr>
        <w:t>This study involved the development and modification of</w:t>
      </w:r>
      <w:r w:rsidR="00A50237">
        <w:rPr>
          <w:rFonts w:ascii="Arial" w:hAnsi="Arial" w:cs="Arial"/>
        </w:rPr>
        <w:t xml:space="preserve"> </w:t>
      </w:r>
      <w:r w:rsidRPr="009E57CF">
        <w:rPr>
          <w:rFonts w:ascii="Arial" w:hAnsi="Arial" w:cs="Arial"/>
        </w:rPr>
        <w:t xml:space="preserve">an extraction process for the BRiskeT tool. </w:t>
      </w:r>
      <w:r w:rsidR="009E177A">
        <w:rPr>
          <w:rFonts w:ascii="Arial" w:hAnsi="Arial" w:cs="Arial"/>
        </w:rPr>
        <w:t>T</w:t>
      </w:r>
      <w:r w:rsidRPr="009E57CF">
        <w:rPr>
          <w:rFonts w:ascii="Arial" w:hAnsi="Arial" w:cs="Arial"/>
        </w:rPr>
        <w:t>o refine the extraction process, this study focused on process outcomes.</w:t>
      </w:r>
      <w:r w:rsidR="00A50237">
        <w:rPr>
          <w:rFonts w:ascii="Arial" w:hAnsi="Arial" w:cs="Arial"/>
        </w:rPr>
        <w:t xml:space="preserve"> </w:t>
      </w:r>
      <w:r w:rsidR="00A76168" w:rsidRPr="009E57CF">
        <w:rPr>
          <w:rFonts w:ascii="Arial" w:hAnsi="Arial" w:cs="Arial"/>
          <w:bdr w:val="none" w:sz="0" w:space="0" w:color="auto"/>
        </w:rPr>
        <w:t xml:space="preserve">The </w:t>
      </w:r>
      <w:r w:rsidR="00E041C7" w:rsidRPr="009E57CF">
        <w:rPr>
          <w:rFonts w:ascii="Arial" w:hAnsi="Arial" w:cs="Arial"/>
          <w:bdr w:val="none" w:sz="0" w:space="0" w:color="auto"/>
        </w:rPr>
        <w:t>outcome measures for the study</w:t>
      </w:r>
      <w:r w:rsidR="00A50237">
        <w:rPr>
          <w:rFonts w:ascii="Arial" w:hAnsi="Arial" w:cs="Arial"/>
          <w:bdr w:val="none" w:sz="0" w:space="0" w:color="auto"/>
        </w:rPr>
        <w:t xml:space="preserve"> </w:t>
      </w:r>
      <w:r w:rsidR="00A76168" w:rsidRPr="009E57CF">
        <w:rPr>
          <w:rFonts w:ascii="Arial" w:hAnsi="Arial" w:cs="Arial"/>
          <w:bdr w:val="none" w:sz="0" w:space="0" w:color="auto"/>
        </w:rPr>
        <w:t>were the amount of time spent per article to extract information, and the proportion of articles from which baseline risk data w</w:t>
      </w:r>
      <w:r w:rsidR="00D572D2" w:rsidRPr="009E57CF">
        <w:rPr>
          <w:rFonts w:ascii="Arial" w:hAnsi="Arial" w:cs="Arial"/>
          <w:bdr w:val="none" w:sz="0" w:space="0" w:color="auto"/>
        </w:rPr>
        <w:t>ere</w:t>
      </w:r>
      <w:r w:rsidR="00A76168" w:rsidRPr="009E57CF">
        <w:rPr>
          <w:rFonts w:ascii="Arial" w:hAnsi="Arial" w:cs="Arial"/>
          <w:bdr w:val="none" w:sz="0" w:space="0" w:color="auto"/>
        </w:rPr>
        <w:t xml:space="preserve"> successfully extracted. The time spent per </w:t>
      </w:r>
      <w:r w:rsidR="00E041C7" w:rsidRPr="009E57CF">
        <w:rPr>
          <w:rFonts w:ascii="Arial" w:hAnsi="Arial" w:cs="Arial"/>
          <w:bdr w:val="none" w:sz="0" w:space="0" w:color="auto"/>
        </w:rPr>
        <w:t xml:space="preserve">article was measured as the </w:t>
      </w:r>
      <w:r w:rsidR="00A76168" w:rsidRPr="009E57CF">
        <w:rPr>
          <w:rFonts w:ascii="Arial" w:hAnsi="Arial" w:cs="Arial"/>
          <w:bdr w:val="none" w:sz="0" w:space="0" w:color="auto"/>
        </w:rPr>
        <w:t>amount of time required to find, copy and enter baseline risk information into the extractor interface</w:t>
      </w:r>
      <w:r w:rsidR="00E041C7" w:rsidRPr="009E57CF">
        <w:rPr>
          <w:rFonts w:ascii="Arial" w:hAnsi="Arial" w:cs="Arial"/>
          <w:bdr w:val="none" w:sz="0" w:space="0" w:color="auto"/>
        </w:rPr>
        <w:t xml:space="preserve">. The amount of time was manually measured by marking the time when an article was opened to the time when the “Next Article” button was clicked on </w:t>
      </w:r>
      <w:r w:rsidR="00816171" w:rsidRPr="009E57CF">
        <w:rPr>
          <w:rFonts w:ascii="Arial" w:hAnsi="Arial" w:cs="Arial"/>
          <w:bdr w:val="none" w:sz="0" w:space="0" w:color="auto"/>
        </w:rPr>
        <w:t xml:space="preserve">MacPrognosis. </w:t>
      </w:r>
      <w:r w:rsidR="00E041C7" w:rsidRPr="009E57CF">
        <w:rPr>
          <w:rFonts w:ascii="Arial" w:eastAsia="Cambria" w:hAnsi="Arial" w:cs="Arial"/>
          <w:u w:color="000000"/>
        </w:rPr>
        <w:t>The articles chosen for timing were chosen at random by the data extractor. These times were placed in a table to be compared against times required to extract baseline risk data from the feasibility study</w:t>
      </w:r>
      <w:r w:rsidR="00816171" w:rsidRPr="009E57CF">
        <w:rPr>
          <w:rFonts w:ascii="Arial" w:eastAsia="Cambria" w:hAnsi="Arial" w:cs="Arial"/>
          <w:u w:color="000000"/>
        </w:rPr>
        <w:t xml:space="preserve"> which was done in 2012</w:t>
      </w:r>
      <w:r w:rsidR="00E041C7" w:rsidRPr="009E57CF">
        <w:rPr>
          <w:rFonts w:ascii="Arial" w:eastAsia="Cambria" w:hAnsi="Arial" w:cs="Arial"/>
          <w:u w:color="000000"/>
        </w:rPr>
        <w:t xml:space="preserve">. Five studies from the </w:t>
      </w:r>
      <w:r w:rsidR="00816171" w:rsidRPr="009E57CF">
        <w:rPr>
          <w:rFonts w:ascii="Arial" w:eastAsia="Cambria" w:hAnsi="Arial" w:cs="Arial"/>
          <w:u w:color="000000"/>
        </w:rPr>
        <w:t>2012 study</w:t>
      </w:r>
      <w:r w:rsidR="00E041C7" w:rsidRPr="009E57CF">
        <w:rPr>
          <w:rFonts w:ascii="Arial" w:eastAsia="Cambria" w:hAnsi="Arial" w:cs="Arial"/>
          <w:u w:color="000000"/>
        </w:rPr>
        <w:t xml:space="preserve"> were chosen at random to be re-extracted to compare against </w:t>
      </w:r>
      <w:r w:rsidR="00816171" w:rsidRPr="009E57CF">
        <w:rPr>
          <w:rFonts w:ascii="Arial" w:eastAsia="Cambria" w:hAnsi="Arial" w:cs="Arial"/>
          <w:u w:color="000000"/>
        </w:rPr>
        <w:t xml:space="preserve">the </w:t>
      </w:r>
      <w:r w:rsidR="00E041C7" w:rsidRPr="009E57CF">
        <w:rPr>
          <w:rFonts w:ascii="Arial" w:eastAsia="Cambria" w:hAnsi="Arial" w:cs="Arial"/>
          <w:u w:color="000000"/>
        </w:rPr>
        <w:t>results from the current study. Due to the fact that these articl</w:t>
      </w:r>
      <w:r w:rsidR="005B460F" w:rsidRPr="009E57CF">
        <w:rPr>
          <w:rFonts w:ascii="Arial" w:eastAsia="Cambria" w:hAnsi="Arial" w:cs="Arial"/>
          <w:u w:color="000000"/>
        </w:rPr>
        <w:t xml:space="preserve">es had not been read for over </w:t>
      </w:r>
      <w:r w:rsidR="00DF6502">
        <w:rPr>
          <w:rFonts w:ascii="Arial" w:eastAsia="Cambria" w:hAnsi="Arial" w:cs="Arial"/>
          <w:u w:color="000000"/>
        </w:rPr>
        <w:t>two</w:t>
      </w:r>
      <w:r w:rsidR="005B460F" w:rsidRPr="009E57CF">
        <w:rPr>
          <w:rFonts w:ascii="Arial" w:eastAsia="Cambria" w:hAnsi="Arial" w:cs="Arial"/>
          <w:u w:color="000000"/>
        </w:rPr>
        <w:t xml:space="preserve"> </w:t>
      </w:r>
      <w:r w:rsidR="00E041C7" w:rsidRPr="009E57CF">
        <w:rPr>
          <w:rFonts w:ascii="Arial" w:eastAsia="Cambria" w:hAnsi="Arial" w:cs="Arial"/>
          <w:u w:color="000000"/>
        </w:rPr>
        <w:t>years, the extractor had no familiarity with the baseline risk data. Re-extracting these articles also ensured that a similar timing method could be employed reliably</w:t>
      </w:r>
      <w:r w:rsidR="009E177A">
        <w:rPr>
          <w:rFonts w:ascii="Arial" w:eastAsia="Cambria" w:hAnsi="Arial" w:cs="Arial"/>
          <w:u w:color="000000"/>
        </w:rPr>
        <w:t xml:space="preserve"> for both study periods</w:t>
      </w:r>
      <w:r w:rsidR="00DF6502">
        <w:rPr>
          <w:rFonts w:ascii="Arial" w:eastAsia="Cambria" w:hAnsi="Arial" w:cs="Arial"/>
          <w:u w:color="000000"/>
        </w:rPr>
        <w:t>.</w:t>
      </w:r>
    </w:p>
    <w:p w14:paraId="4394B075" w14:textId="77777777" w:rsidR="00E041C7" w:rsidRPr="00CC7E17" w:rsidRDefault="00E041C7" w:rsidP="0009624B">
      <w:pPr>
        <w:pStyle w:val="Body"/>
        <w:spacing w:line="360" w:lineRule="auto"/>
        <w:rPr>
          <w:rFonts w:ascii="Arial" w:eastAsia="Cambria" w:hAnsi="Arial" w:cs="Arial"/>
          <w:sz w:val="24"/>
          <w:szCs w:val="24"/>
          <w:u w:color="000000"/>
        </w:rPr>
      </w:pPr>
    </w:p>
    <w:p w14:paraId="79D913F5" w14:textId="5E14020F" w:rsidR="00615B74" w:rsidRPr="00CC7E17" w:rsidRDefault="00E041C7" w:rsidP="0009624B">
      <w:pPr>
        <w:pStyle w:val="Body"/>
        <w:spacing w:line="360" w:lineRule="auto"/>
        <w:rPr>
          <w:rFonts w:ascii="Arial" w:hAnsi="Arial" w:cs="Arial"/>
          <w:sz w:val="24"/>
          <w:szCs w:val="24"/>
        </w:rPr>
      </w:pPr>
      <w:r w:rsidRPr="009E57CF">
        <w:rPr>
          <w:rFonts w:ascii="Arial" w:eastAsiaTheme="minorEastAsia" w:hAnsi="Arial" w:cs="Arial"/>
          <w:bCs/>
          <w:sz w:val="24"/>
          <w:szCs w:val="24"/>
          <w:bdr w:val="none" w:sz="0" w:space="0" w:color="auto"/>
        </w:rPr>
        <w:t xml:space="preserve">The extraction proportion percentage </w:t>
      </w:r>
      <w:r w:rsidR="00816171" w:rsidRPr="009E57CF">
        <w:rPr>
          <w:rFonts w:ascii="Arial" w:eastAsiaTheme="minorEastAsia" w:hAnsi="Arial" w:cs="Arial"/>
          <w:bCs/>
          <w:sz w:val="24"/>
          <w:szCs w:val="24"/>
          <w:bdr w:val="none" w:sz="0" w:space="0" w:color="auto"/>
        </w:rPr>
        <w:t>was</w:t>
      </w:r>
      <w:r w:rsidRPr="009E57CF">
        <w:rPr>
          <w:rFonts w:ascii="Arial" w:eastAsiaTheme="minorEastAsia" w:hAnsi="Arial" w:cs="Arial"/>
          <w:bCs/>
          <w:sz w:val="24"/>
          <w:szCs w:val="24"/>
          <w:bdr w:val="none" w:sz="0" w:space="0" w:color="auto"/>
        </w:rPr>
        <w:t xml:space="preserve"> calculated as the number of papers from which baseline risk data w</w:t>
      </w:r>
      <w:r w:rsidR="00D572D2" w:rsidRPr="009E57CF">
        <w:rPr>
          <w:rFonts w:ascii="Arial" w:eastAsiaTheme="minorEastAsia" w:hAnsi="Arial" w:cs="Arial"/>
          <w:bCs/>
          <w:sz w:val="24"/>
          <w:szCs w:val="24"/>
          <w:bdr w:val="none" w:sz="0" w:space="0" w:color="auto"/>
        </w:rPr>
        <w:t>ere</w:t>
      </w:r>
      <w:r w:rsidRPr="009E57CF">
        <w:rPr>
          <w:rFonts w:ascii="Arial" w:eastAsiaTheme="minorEastAsia" w:hAnsi="Arial" w:cs="Arial"/>
          <w:bCs/>
          <w:sz w:val="24"/>
          <w:szCs w:val="24"/>
          <w:bdr w:val="none" w:sz="0" w:space="0" w:color="auto"/>
        </w:rPr>
        <w:t xml:space="preserve"> successfully extracted divided by the total number of papers </w:t>
      </w:r>
      <w:r w:rsidR="009E177A">
        <w:rPr>
          <w:rFonts w:ascii="Arial" w:eastAsiaTheme="minorEastAsia" w:hAnsi="Arial" w:cs="Arial"/>
          <w:bCs/>
          <w:sz w:val="24"/>
          <w:szCs w:val="24"/>
          <w:bdr w:val="none" w:sz="0" w:space="0" w:color="auto"/>
        </w:rPr>
        <w:t>for which data extraction was</w:t>
      </w:r>
      <w:r w:rsidRPr="009E57CF">
        <w:rPr>
          <w:rFonts w:ascii="Arial" w:eastAsiaTheme="minorEastAsia" w:hAnsi="Arial" w:cs="Arial"/>
          <w:bCs/>
          <w:sz w:val="24"/>
          <w:szCs w:val="24"/>
          <w:bdr w:val="none" w:sz="0" w:space="0" w:color="auto"/>
        </w:rPr>
        <w:t xml:space="preserve"> attempted.</w:t>
      </w:r>
      <w:r w:rsidRPr="00CC7E17">
        <w:rPr>
          <w:rFonts w:ascii="Arial" w:hAnsi="Arial" w:cs="Arial"/>
          <w:sz w:val="24"/>
          <w:szCs w:val="24"/>
        </w:rPr>
        <w:t xml:space="preserve"> </w:t>
      </w:r>
      <w:r w:rsidRPr="00CC7E17">
        <w:rPr>
          <w:rFonts w:ascii="Arial" w:eastAsia="Cambria" w:hAnsi="Arial" w:cs="Arial"/>
          <w:sz w:val="24"/>
          <w:szCs w:val="24"/>
          <w:u w:color="000000"/>
        </w:rPr>
        <w:t xml:space="preserve">Each article either had its baseline risk </w:t>
      </w:r>
      <w:r w:rsidRPr="0082450B">
        <w:rPr>
          <w:rFonts w:ascii="Arial" w:eastAsia="Cambria" w:hAnsi="Arial" w:cs="Arial"/>
          <w:sz w:val="24"/>
          <w:szCs w:val="24"/>
          <w:u w:color="000000"/>
        </w:rPr>
        <w:t>information inputted into the database or was deemed “Not of interest” with an associated reason for ineligibility.</w:t>
      </w:r>
      <w:r w:rsidR="00A50237" w:rsidRPr="00637DDF">
        <w:rPr>
          <w:rFonts w:ascii="Arial" w:eastAsia="Cambria" w:hAnsi="Arial" w:cs="Arial"/>
          <w:sz w:val="24"/>
          <w:szCs w:val="24"/>
          <w:u w:color="000000"/>
        </w:rPr>
        <w:t xml:space="preserve"> </w:t>
      </w:r>
      <w:r w:rsidRPr="00637DDF">
        <w:rPr>
          <w:rFonts w:ascii="Arial" w:eastAsia="Cambria" w:hAnsi="Arial" w:cs="Arial"/>
          <w:sz w:val="24"/>
          <w:szCs w:val="24"/>
          <w:u w:color="000000"/>
        </w:rPr>
        <w:t>To determine t</w:t>
      </w:r>
      <w:r w:rsidRPr="00ED7C8D">
        <w:rPr>
          <w:rFonts w:ascii="Arial" w:eastAsia="Cambria" w:hAnsi="Arial" w:cs="Arial"/>
          <w:sz w:val="24"/>
          <w:szCs w:val="24"/>
          <w:u w:color="000000"/>
        </w:rPr>
        <w:t>he proportion of articles from which data were successfully extracted, the database was queried at the end of the test to compare those with baseline risk information and those deemed “not of interest”</w:t>
      </w:r>
      <w:r w:rsidR="00DF6502">
        <w:rPr>
          <w:rFonts w:ascii="Arial" w:eastAsia="Cambria" w:hAnsi="Arial" w:cs="Arial"/>
          <w:sz w:val="24"/>
          <w:szCs w:val="24"/>
          <w:u w:color="000000"/>
        </w:rPr>
        <w:t>.</w:t>
      </w:r>
      <w:r w:rsidRPr="00ED7C8D">
        <w:rPr>
          <w:rFonts w:ascii="Arial" w:eastAsia="Cambria" w:hAnsi="Arial" w:cs="Arial"/>
          <w:sz w:val="24"/>
          <w:szCs w:val="24"/>
          <w:u w:color="000000"/>
        </w:rPr>
        <w:t xml:space="preserve"> This proportion was then compared against results from the feasibility study. </w:t>
      </w:r>
      <w:r w:rsidR="00A76168" w:rsidRPr="0082450B">
        <w:rPr>
          <w:rFonts w:ascii="Arial" w:eastAsiaTheme="minorEastAsia" w:hAnsi="Arial" w:cs="Arial"/>
          <w:bCs/>
          <w:sz w:val="24"/>
          <w:szCs w:val="24"/>
          <w:bdr w:val="none" w:sz="0" w:space="0" w:color="auto"/>
        </w:rPr>
        <w:t xml:space="preserve">The </w:t>
      </w:r>
      <w:r w:rsidR="00535338" w:rsidRPr="00B72AC7">
        <w:rPr>
          <w:rFonts w:ascii="Arial" w:eastAsiaTheme="minorEastAsia" w:hAnsi="Arial" w:cs="Arial"/>
          <w:bCs/>
          <w:sz w:val="24"/>
          <w:szCs w:val="24"/>
          <w:bdr w:val="none" w:sz="0" w:space="0" w:color="auto"/>
        </w:rPr>
        <w:t xml:space="preserve">pre-established </w:t>
      </w:r>
      <w:r w:rsidR="00A76168" w:rsidRPr="00637DDF">
        <w:rPr>
          <w:rFonts w:ascii="Arial" w:eastAsiaTheme="minorEastAsia" w:hAnsi="Arial" w:cs="Arial"/>
          <w:bCs/>
          <w:sz w:val="24"/>
          <w:szCs w:val="24"/>
          <w:bdr w:val="none" w:sz="0" w:space="0" w:color="auto"/>
        </w:rPr>
        <w:t xml:space="preserve">threshold for success was an extraction proportion of greater than 50%. </w:t>
      </w:r>
    </w:p>
    <w:p w14:paraId="58786ACA" w14:textId="409FD1F1" w:rsidR="00990A75" w:rsidRPr="00CC7E17" w:rsidRDefault="00202596" w:rsidP="00ED7C8D">
      <w:pPr>
        <w:pStyle w:val="Heading1"/>
        <w:spacing w:line="360" w:lineRule="auto"/>
      </w:pPr>
      <w:bookmarkStart w:id="32" w:name="_Toc286437123"/>
      <w:r w:rsidRPr="00CC7E17">
        <w:rPr>
          <w:rFonts w:ascii="Arial" w:hAnsi="Arial" w:cs="Arial"/>
          <w:u w:color="000000"/>
        </w:rPr>
        <w:t>Results</w:t>
      </w:r>
      <w:bookmarkEnd w:id="32"/>
    </w:p>
    <w:p w14:paraId="1EA5AF9C" w14:textId="4E45D1E2" w:rsidR="00990A75" w:rsidRPr="00CC7E17" w:rsidRDefault="00990A75" w:rsidP="0009624B">
      <w:pPr>
        <w:spacing w:line="360" w:lineRule="auto"/>
        <w:rPr>
          <w:rFonts w:ascii="Arial" w:hAnsi="Arial" w:cs="Arial"/>
        </w:rPr>
      </w:pPr>
      <w:r w:rsidRPr="00CC7E17">
        <w:rPr>
          <w:rFonts w:ascii="Arial" w:hAnsi="Arial" w:cs="Arial"/>
        </w:rPr>
        <w:t>As has been mentioned above, the two main outcomes of interest were the amount of time required to extract information from an article and the proportion of articles from which data could</w:t>
      </w:r>
      <w:r w:rsidR="00053639" w:rsidRPr="00CC7E17">
        <w:rPr>
          <w:rFonts w:ascii="Arial" w:hAnsi="Arial" w:cs="Arial"/>
        </w:rPr>
        <w:t xml:space="preserve"> be</w:t>
      </w:r>
      <w:r w:rsidRPr="00CC7E17">
        <w:rPr>
          <w:rFonts w:ascii="Arial" w:hAnsi="Arial" w:cs="Arial"/>
        </w:rPr>
        <w:t xml:space="preserve"> successfully extracted. The results of the 2012 study utilizing the paper based extracted process are contrasted against the current study which utilized the </w:t>
      </w:r>
      <w:r w:rsidR="00EE02D4">
        <w:rPr>
          <w:rFonts w:ascii="Arial" w:hAnsi="Arial" w:cs="Arial"/>
        </w:rPr>
        <w:t>eForm-based</w:t>
      </w:r>
      <w:r w:rsidRPr="00CC7E17">
        <w:rPr>
          <w:rFonts w:ascii="Arial" w:hAnsi="Arial" w:cs="Arial"/>
        </w:rPr>
        <w:t xml:space="preserve"> MacPrognosis interface in terms of these outcomes. </w:t>
      </w:r>
    </w:p>
    <w:p w14:paraId="490529E7" w14:textId="4F2B4344" w:rsidR="002C7D28" w:rsidRPr="00CC7E17" w:rsidRDefault="002C7D28" w:rsidP="0009624B">
      <w:pPr>
        <w:pStyle w:val="Heading3"/>
        <w:spacing w:line="360" w:lineRule="auto"/>
        <w:rPr>
          <w:rFonts w:ascii="Arial" w:eastAsia="Arial" w:hAnsi="Arial" w:cs="Arial"/>
        </w:rPr>
      </w:pPr>
      <w:bookmarkStart w:id="33" w:name="_Toc286437124"/>
      <w:r w:rsidRPr="00CC7E17">
        <w:rPr>
          <w:rFonts w:ascii="Arial" w:hAnsi="Arial" w:cs="Arial"/>
        </w:rPr>
        <w:t xml:space="preserve">Results of Feasibility Study </w:t>
      </w:r>
      <w:r w:rsidR="00990A75" w:rsidRPr="00CC7E17">
        <w:rPr>
          <w:rFonts w:ascii="Arial" w:hAnsi="Arial" w:cs="Arial"/>
        </w:rPr>
        <w:t>– Successful Extraction Proportion</w:t>
      </w:r>
      <w:bookmarkEnd w:id="33"/>
    </w:p>
    <w:p w14:paraId="40C942A4" w14:textId="2106EDC1" w:rsidR="002C7D28" w:rsidRPr="00CC7E17" w:rsidRDefault="00816171"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In 2012, a feasibility study was undertaken to pilot the </w:t>
      </w:r>
      <w:r w:rsidR="00AA5748" w:rsidRPr="00CC7E17">
        <w:rPr>
          <w:rFonts w:ascii="Arial" w:hAnsi="Arial" w:cs="Arial"/>
          <w:sz w:val="24"/>
          <w:szCs w:val="24"/>
          <w:lang w:val="en-US"/>
        </w:rPr>
        <w:t>BRiskeT</w:t>
      </w:r>
      <w:r w:rsidRPr="00CC7E17">
        <w:rPr>
          <w:rFonts w:ascii="Arial" w:hAnsi="Arial" w:cs="Arial"/>
          <w:sz w:val="24"/>
          <w:szCs w:val="24"/>
          <w:lang w:val="en-US"/>
        </w:rPr>
        <w:t xml:space="preserve"> concept. Mockups of the potential </w:t>
      </w:r>
      <w:r w:rsidR="00E07E27" w:rsidRPr="00CC7E17">
        <w:rPr>
          <w:rFonts w:ascii="Arial" w:hAnsi="Arial" w:cs="Arial"/>
          <w:sz w:val="24"/>
          <w:szCs w:val="24"/>
          <w:lang w:val="en-US"/>
        </w:rPr>
        <w:t>front-end</w:t>
      </w:r>
      <w:r w:rsidRPr="00CC7E17">
        <w:rPr>
          <w:rFonts w:ascii="Arial" w:hAnsi="Arial" w:cs="Arial"/>
          <w:sz w:val="24"/>
          <w:szCs w:val="24"/>
          <w:lang w:val="en-US"/>
        </w:rPr>
        <w:t xml:space="preserve"> system, along with an extraction process were tested. </w:t>
      </w:r>
      <w:r w:rsidR="00E07E27" w:rsidRPr="00CC7E17">
        <w:rPr>
          <w:rFonts w:ascii="Arial" w:hAnsi="Arial" w:cs="Arial"/>
          <w:sz w:val="24"/>
          <w:szCs w:val="24"/>
          <w:lang w:val="en-US"/>
        </w:rPr>
        <w:t>Thirty-eight</w:t>
      </w:r>
      <w:r w:rsidRPr="00CC7E17">
        <w:rPr>
          <w:rFonts w:ascii="Arial" w:hAnsi="Arial" w:cs="Arial"/>
          <w:sz w:val="24"/>
          <w:szCs w:val="24"/>
          <w:lang w:val="en-US"/>
        </w:rPr>
        <w:t xml:space="preserve"> articles were chosen from the PLUS database and baseline risk data was attempted to be extracted from them. </w:t>
      </w:r>
      <w:r w:rsidR="004B03BD" w:rsidRPr="00CC7E17">
        <w:rPr>
          <w:rFonts w:ascii="Arial" w:hAnsi="Arial" w:cs="Arial"/>
          <w:sz w:val="24"/>
          <w:szCs w:val="24"/>
          <w:lang w:val="en-US"/>
        </w:rPr>
        <w:t>Eighteen</w:t>
      </w:r>
      <w:r w:rsidRPr="00CC7E17">
        <w:rPr>
          <w:rFonts w:ascii="Arial" w:hAnsi="Arial" w:cs="Arial"/>
          <w:sz w:val="24"/>
          <w:szCs w:val="24"/>
          <w:lang w:val="en-US"/>
        </w:rPr>
        <w:t xml:space="preserve"> out of </w:t>
      </w:r>
      <w:r w:rsidR="00DF6502">
        <w:rPr>
          <w:rFonts w:ascii="Arial" w:hAnsi="Arial" w:cs="Arial"/>
          <w:sz w:val="24"/>
          <w:szCs w:val="24"/>
          <w:lang w:val="en-US"/>
        </w:rPr>
        <w:t>thirty-eight</w:t>
      </w:r>
      <w:r w:rsidR="00CF42D0" w:rsidRPr="00CC7E17">
        <w:rPr>
          <w:rFonts w:ascii="Arial" w:hAnsi="Arial" w:cs="Arial"/>
          <w:sz w:val="24"/>
          <w:szCs w:val="24"/>
          <w:lang w:val="en-US"/>
        </w:rPr>
        <w:t xml:space="preserve"> a</w:t>
      </w:r>
      <w:r w:rsidR="002C7D28" w:rsidRPr="00CC7E17">
        <w:rPr>
          <w:rFonts w:ascii="Arial" w:hAnsi="Arial" w:cs="Arial"/>
          <w:sz w:val="24"/>
          <w:szCs w:val="24"/>
          <w:lang w:val="en-US"/>
        </w:rPr>
        <w:t xml:space="preserve">rticles were successfully extracted for the feasibility study. What was not considered at the outset of the study was that </w:t>
      </w:r>
      <w:r w:rsidR="00A46F13">
        <w:rPr>
          <w:rFonts w:ascii="Arial" w:hAnsi="Arial" w:cs="Arial"/>
          <w:sz w:val="24"/>
          <w:szCs w:val="24"/>
          <w:lang w:val="en-US"/>
        </w:rPr>
        <w:t xml:space="preserve">papers which display results on a continuous variable scale were not able to be extracted as the form that had been generated was designed for dichotomous outcomes. </w:t>
      </w:r>
      <w:r w:rsidR="002C7D28" w:rsidRPr="00CC7E17">
        <w:rPr>
          <w:rFonts w:ascii="Arial" w:hAnsi="Arial" w:cs="Arial"/>
          <w:sz w:val="24"/>
          <w:szCs w:val="24"/>
          <w:lang w:val="en-US"/>
        </w:rPr>
        <w:t xml:space="preserve">For example, in </w:t>
      </w:r>
      <w:r w:rsidRPr="00CC7E17">
        <w:rPr>
          <w:rFonts w:ascii="Arial" w:hAnsi="Arial" w:cs="Arial"/>
          <w:sz w:val="24"/>
          <w:szCs w:val="24"/>
          <w:lang w:val="en-US"/>
        </w:rPr>
        <w:t xml:space="preserve">the feasibility study </w:t>
      </w:r>
      <w:r w:rsidR="002C7D28" w:rsidRPr="00CC7E17">
        <w:rPr>
          <w:rFonts w:ascii="Arial" w:hAnsi="Arial" w:cs="Arial"/>
          <w:sz w:val="24"/>
          <w:szCs w:val="24"/>
          <w:lang w:val="en-US"/>
        </w:rPr>
        <w:t>it was not possible t</w:t>
      </w:r>
      <w:r w:rsidR="00CF42D0" w:rsidRPr="00CC7E17">
        <w:rPr>
          <w:rFonts w:ascii="Arial" w:hAnsi="Arial" w:cs="Arial"/>
          <w:sz w:val="24"/>
          <w:szCs w:val="24"/>
          <w:lang w:val="en-US"/>
        </w:rPr>
        <w:t xml:space="preserve">o extract information from Pain-related </w:t>
      </w:r>
      <w:r w:rsidR="002C7D28" w:rsidRPr="00CC7E17">
        <w:rPr>
          <w:rFonts w:ascii="Arial" w:hAnsi="Arial" w:cs="Arial"/>
          <w:sz w:val="24"/>
          <w:szCs w:val="24"/>
          <w:lang w:val="en-US"/>
        </w:rPr>
        <w:t xml:space="preserve">articles. This was </w:t>
      </w:r>
      <w:r w:rsidRPr="00CC7E17">
        <w:rPr>
          <w:rFonts w:ascii="Arial" w:hAnsi="Arial" w:cs="Arial"/>
          <w:sz w:val="24"/>
          <w:szCs w:val="24"/>
          <w:lang w:val="en-US"/>
        </w:rPr>
        <w:t>because</w:t>
      </w:r>
      <w:r w:rsidR="00A46F13">
        <w:rPr>
          <w:rFonts w:ascii="Arial" w:hAnsi="Arial" w:cs="Arial"/>
          <w:sz w:val="24"/>
          <w:szCs w:val="24"/>
          <w:lang w:val="en-US"/>
        </w:rPr>
        <w:t xml:space="preserve"> results from</w:t>
      </w:r>
      <w:r w:rsidR="002C7D28" w:rsidRPr="00CC7E17">
        <w:rPr>
          <w:rFonts w:ascii="Arial" w:hAnsi="Arial" w:cs="Arial"/>
          <w:sz w:val="24"/>
          <w:szCs w:val="24"/>
          <w:lang w:val="en-US"/>
        </w:rPr>
        <w:t xml:space="preserve"> pain based articles</w:t>
      </w:r>
      <w:r w:rsidR="00A46F13">
        <w:rPr>
          <w:rFonts w:ascii="Arial" w:hAnsi="Arial" w:cs="Arial"/>
          <w:sz w:val="24"/>
          <w:szCs w:val="24"/>
          <w:lang w:val="en-US"/>
        </w:rPr>
        <w:t xml:space="preserve"> are given on a continuous scale</w:t>
      </w:r>
      <w:r w:rsidR="002C7D28" w:rsidRPr="00CC7E17">
        <w:rPr>
          <w:rFonts w:ascii="Arial" w:hAnsi="Arial" w:cs="Arial"/>
          <w:sz w:val="24"/>
          <w:szCs w:val="24"/>
          <w:lang w:val="en-US"/>
        </w:rPr>
        <w:t>. The outcomes are typically pain rated on</w:t>
      </w:r>
      <w:r w:rsidR="00CF42D0" w:rsidRPr="00CC7E17">
        <w:rPr>
          <w:rFonts w:ascii="Arial" w:hAnsi="Arial" w:cs="Arial"/>
          <w:sz w:val="24"/>
          <w:szCs w:val="24"/>
          <w:lang w:val="en-US"/>
        </w:rPr>
        <w:t xml:space="preserve"> a</w:t>
      </w:r>
      <w:r w:rsidR="002C7D28" w:rsidRPr="00CC7E17">
        <w:rPr>
          <w:rFonts w:ascii="Arial" w:hAnsi="Arial" w:cs="Arial"/>
          <w:sz w:val="24"/>
          <w:szCs w:val="24"/>
          <w:lang w:val="en-US"/>
        </w:rPr>
        <w:t xml:space="preserve"> discipline-specific scale, which are not easily translated to the </w:t>
      </w:r>
      <w:r w:rsidR="003A5EB0">
        <w:rPr>
          <w:rFonts w:ascii="Arial" w:hAnsi="Arial" w:cs="Arial"/>
          <w:sz w:val="24"/>
          <w:szCs w:val="24"/>
          <w:lang w:val="en-US"/>
        </w:rPr>
        <w:t xml:space="preserve">dichotomous form </w:t>
      </w:r>
      <w:r w:rsidR="002C7D28" w:rsidRPr="00CC7E17">
        <w:rPr>
          <w:rFonts w:ascii="Arial" w:hAnsi="Arial" w:cs="Arial"/>
          <w:sz w:val="24"/>
          <w:szCs w:val="24"/>
          <w:lang w:val="en-US"/>
        </w:rPr>
        <w:t xml:space="preserve">that had </w:t>
      </w:r>
      <w:r w:rsidR="00CF42D0" w:rsidRPr="00CC7E17">
        <w:rPr>
          <w:rFonts w:ascii="Arial" w:hAnsi="Arial" w:cs="Arial"/>
          <w:sz w:val="24"/>
          <w:szCs w:val="24"/>
          <w:lang w:val="en-US"/>
        </w:rPr>
        <w:t xml:space="preserve">been </w:t>
      </w:r>
      <w:r w:rsidR="002C7D28" w:rsidRPr="00CC7E17">
        <w:rPr>
          <w:rFonts w:ascii="Arial" w:hAnsi="Arial" w:cs="Arial"/>
          <w:sz w:val="24"/>
          <w:szCs w:val="24"/>
          <w:lang w:val="en-US"/>
        </w:rPr>
        <w:t>developed. Discounting these articles, 18 out of 34 articles we</w:t>
      </w:r>
      <w:r w:rsidR="00AF20F9" w:rsidRPr="00CC7E17">
        <w:rPr>
          <w:rFonts w:ascii="Arial" w:hAnsi="Arial" w:cs="Arial"/>
          <w:sz w:val="24"/>
          <w:szCs w:val="24"/>
          <w:lang w:val="en-US"/>
        </w:rPr>
        <w:t xml:space="preserve">re successfully extracted, which was </w:t>
      </w:r>
      <w:r w:rsidR="002C7D28" w:rsidRPr="00CC7E17">
        <w:rPr>
          <w:rFonts w:ascii="Arial" w:hAnsi="Arial" w:cs="Arial"/>
          <w:sz w:val="24"/>
          <w:szCs w:val="24"/>
          <w:lang w:val="en-US"/>
        </w:rPr>
        <w:t xml:space="preserve">above our </w:t>
      </w:r>
      <w:r w:rsidR="009E177A">
        <w:rPr>
          <w:rFonts w:ascii="Arial" w:hAnsi="Arial" w:cs="Arial"/>
          <w:sz w:val="24"/>
          <w:szCs w:val="24"/>
          <w:lang w:val="en-US"/>
        </w:rPr>
        <w:t xml:space="preserve">predetermined </w:t>
      </w:r>
      <w:r w:rsidR="002C7D28" w:rsidRPr="00CC7E17">
        <w:rPr>
          <w:rFonts w:ascii="Arial" w:hAnsi="Arial" w:cs="Arial"/>
          <w:sz w:val="24"/>
          <w:szCs w:val="24"/>
          <w:lang w:val="en-US"/>
        </w:rPr>
        <w:t xml:space="preserve">50% threshold. </w:t>
      </w:r>
      <w:r w:rsidR="00990A75" w:rsidRPr="00CC7E17">
        <w:rPr>
          <w:rFonts w:ascii="Arial" w:hAnsi="Arial" w:cs="Arial"/>
          <w:sz w:val="24"/>
          <w:szCs w:val="24"/>
          <w:lang w:val="en-US"/>
        </w:rPr>
        <w:t xml:space="preserve">These results were used as a benchmark with which to test MacPrognosis. </w:t>
      </w:r>
    </w:p>
    <w:p w14:paraId="0E92A19C" w14:textId="21DBCEFF" w:rsidR="00990A75" w:rsidRPr="00CC7E17" w:rsidRDefault="00990A75" w:rsidP="00ED7C8D">
      <w:pPr>
        <w:pStyle w:val="Heading3"/>
        <w:spacing w:line="360" w:lineRule="auto"/>
      </w:pPr>
      <w:bookmarkStart w:id="34" w:name="_Toc271280695"/>
      <w:bookmarkStart w:id="35" w:name="_Toc286437125"/>
      <w:r w:rsidRPr="00CC7E17">
        <w:rPr>
          <w:rFonts w:ascii="Arial" w:hAnsi="Arial" w:cs="Arial"/>
        </w:rPr>
        <w:t>Results of the Current Study</w:t>
      </w:r>
      <w:bookmarkEnd w:id="34"/>
      <w:r w:rsidRPr="00CC7E17">
        <w:rPr>
          <w:rFonts w:ascii="Arial" w:hAnsi="Arial" w:cs="Arial"/>
        </w:rPr>
        <w:t xml:space="preserve"> - Successful Extraction Proportion</w:t>
      </w:r>
      <w:bookmarkEnd w:id="35"/>
    </w:p>
    <w:p w14:paraId="2CE631DB" w14:textId="1BCDDC12" w:rsidR="00855DDE" w:rsidRDefault="00990A75" w:rsidP="0009624B">
      <w:pPr>
        <w:pStyle w:val="Default"/>
        <w:spacing w:after="240" w:line="360" w:lineRule="auto"/>
        <w:rPr>
          <w:rFonts w:ascii="Arial" w:hAnsi="Arial" w:cs="Arial"/>
          <w:b/>
          <w:sz w:val="24"/>
          <w:szCs w:val="24"/>
        </w:rPr>
      </w:pPr>
      <w:r w:rsidRPr="00CC7E17">
        <w:rPr>
          <w:rFonts w:ascii="Arial" w:hAnsi="Arial" w:cs="Arial"/>
          <w:sz w:val="24"/>
          <w:szCs w:val="24"/>
          <w:lang w:val="en-US"/>
        </w:rPr>
        <w:t>In total 656 articles comprised the current study set. Of these, 295 were successfully added to</w:t>
      </w:r>
      <w:r w:rsidR="00053639" w:rsidRPr="00CC7E17">
        <w:rPr>
          <w:rFonts w:ascii="Arial" w:hAnsi="Arial" w:cs="Arial"/>
          <w:sz w:val="24"/>
          <w:szCs w:val="24"/>
          <w:lang w:val="en-US"/>
        </w:rPr>
        <w:t xml:space="preserve"> </w:t>
      </w:r>
      <w:r w:rsidR="00E54AE4" w:rsidRPr="00CC7E17">
        <w:rPr>
          <w:rFonts w:ascii="Arial" w:hAnsi="Arial" w:cs="Arial"/>
          <w:sz w:val="24"/>
          <w:szCs w:val="24"/>
          <w:lang w:val="en-US"/>
        </w:rPr>
        <w:t>the</w:t>
      </w:r>
      <w:r w:rsidRPr="00CC7E17">
        <w:rPr>
          <w:rFonts w:ascii="Arial" w:hAnsi="Arial" w:cs="Arial"/>
          <w:sz w:val="24"/>
          <w:szCs w:val="24"/>
          <w:lang w:val="en-US"/>
        </w:rPr>
        <w:t xml:space="preserve"> </w:t>
      </w:r>
      <w:r w:rsidR="00AA5748" w:rsidRPr="00CC7E17">
        <w:rPr>
          <w:rFonts w:ascii="Arial" w:hAnsi="Arial" w:cs="Arial"/>
          <w:sz w:val="24"/>
          <w:szCs w:val="24"/>
          <w:lang w:val="da-DK"/>
        </w:rPr>
        <w:t>BRiskeT</w:t>
      </w:r>
      <w:r w:rsidRPr="00CC7E17">
        <w:rPr>
          <w:rFonts w:ascii="Arial" w:hAnsi="Arial" w:cs="Arial"/>
          <w:sz w:val="24"/>
          <w:szCs w:val="24"/>
          <w:lang w:val="en-US"/>
        </w:rPr>
        <w:t xml:space="preserve"> database and 361 articles were unable to have had their data extracted. </w:t>
      </w:r>
      <w:r w:rsidR="00260290">
        <w:rPr>
          <w:rFonts w:ascii="Arial" w:hAnsi="Arial" w:cs="Arial"/>
          <w:sz w:val="24"/>
          <w:szCs w:val="24"/>
          <w:lang w:val="en-US"/>
        </w:rPr>
        <w:t>Please note that articles with two reasons of ineligibility have been categorized twice.</w:t>
      </w:r>
    </w:p>
    <w:p w14:paraId="0BE38AB0" w14:textId="08AEAA4B" w:rsidR="00990A75" w:rsidRPr="00CC7E17" w:rsidRDefault="003616E0" w:rsidP="0009624B">
      <w:pPr>
        <w:pStyle w:val="Default"/>
        <w:spacing w:after="240" w:line="360" w:lineRule="auto"/>
        <w:rPr>
          <w:rFonts w:ascii="Arial" w:hAnsi="Arial" w:cs="Arial"/>
          <w:b/>
          <w:bCs/>
          <w:sz w:val="24"/>
          <w:szCs w:val="24"/>
          <w:u w:val="single"/>
          <w:lang w:val="en-US"/>
        </w:rPr>
      </w:pPr>
      <w:bookmarkStart w:id="36" w:name="_Toc290901851"/>
      <w:r w:rsidRPr="00CC7E17">
        <w:rPr>
          <w:rFonts w:ascii="Arial" w:hAnsi="Arial" w:cs="Arial"/>
          <w:b/>
          <w:sz w:val="24"/>
          <w:szCs w:val="24"/>
        </w:rPr>
        <w:t xml:space="preserve">TABLE </w:t>
      </w:r>
      <w:r w:rsidRPr="009E57CF">
        <w:rPr>
          <w:rFonts w:ascii="Arial" w:hAnsi="Arial" w:cs="Arial"/>
          <w:b/>
          <w:sz w:val="24"/>
          <w:szCs w:val="24"/>
        </w:rPr>
        <w:fldChar w:fldCharType="begin"/>
      </w:r>
      <w:r w:rsidRPr="009E57CF">
        <w:rPr>
          <w:rFonts w:ascii="Arial" w:hAnsi="Arial" w:cs="Arial"/>
          <w:b/>
          <w:sz w:val="24"/>
          <w:szCs w:val="24"/>
        </w:rPr>
        <w:instrText xml:space="preserve"> SEQ Table \* ARABIC </w:instrText>
      </w:r>
      <w:r w:rsidRPr="009E57CF">
        <w:rPr>
          <w:rFonts w:ascii="Arial" w:hAnsi="Arial" w:cs="Arial"/>
          <w:b/>
          <w:sz w:val="24"/>
          <w:szCs w:val="24"/>
        </w:rPr>
        <w:fldChar w:fldCharType="separate"/>
      </w:r>
      <w:r w:rsidRPr="00CC7E17">
        <w:rPr>
          <w:rFonts w:ascii="Arial" w:hAnsi="Arial" w:cs="Arial"/>
          <w:b/>
          <w:noProof/>
          <w:sz w:val="24"/>
          <w:szCs w:val="24"/>
        </w:rPr>
        <w:t>2</w:t>
      </w:r>
      <w:r w:rsidRPr="009E57CF">
        <w:rPr>
          <w:rFonts w:ascii="Arial" w:hAnsi="Arial" w:cs="Arial"/>
          <w:b/>
          <w:sz w:val="24"/>
          <w:szCs w:val="24"/>
        </w:rPr>
        <w:fldChar w:fldCharType="end"/>
      </w:r>
      <w:r w:rsidRPr="00CC7E17">
        <w:rPr>
          <w:rFonts w:ascii="Arial" w:hAnsi="Arial" w:cs="Arial"/>
          <w:b/>
          <w:sz w:val="24"/>
          <w:szCs w:val="24"/>
        </w:rPr>
        <w:t>: ARTICLES FLAGGED NOT OF INTEREST</w:t>
      </w:r>
      <w:bookmarkEnd w:id="36"/>
    </w:p>
    <w:tbl>
      <w:tblPr>
        <w:tblStyle w:val="TableGrid"/>
        <w:tblW w:w="0" w:type="auto"/>
        <w:tblLook w:val="04A0" w:firstRow="1" w:lastRow="0" w:firstColumn="1" w:lastColumn="0" w:noHBand="0" w:noVBand="1"/>
      </w:tblPr>
      <w:tblGrid>
        <w:gridCol w:w="2952"/>
        <w:gridCol w:w="1123"/>
        <w:gridCol w:w="4781"/>
      </w:tblGrid>
      <w:tr w:rsidR="00990A75" w:rsidRPr="00CC7E17" w14:paraId="7C46AFD4" w14:textId="77777777" w:rsidTr="00ED7C8D">
        <w:tc>
          <w:tcPr>
            <w:tcW w:w="2952" w:type="dxa"/>
            <w:shd w:val="clear" w:color="auto" w:fill="D9D9D9"/>
          </w:tcPr>
          <w:p w14:paraId="334C44A0"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6401AD">
              <w:rPr>
                <w:rFonts w:ascii="Arial" w:eastAsia="Arial" w:hAnsi="Arial" w:cs="Arial"/>
                <w:bCs/>
                <w:sz w:val="24"/>
                <w:szCs w:val="24"/>
              </w:rPr>
              <w:t>Reason why deemed not of Interest</w:t>
            </w:r>
          </w:p>
        </w:tc>
        <w:tc>
          <w:tcPr>
            <w:tcW w:w="1123" w:type="dxa"/>
            <w:shd w:val="clear" w:color="auto" w:fill="D9D9D9"/>
          </w:tcPr>
          <w:p w14:paraId="0FF17AEE"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eastAsia="Arial" w:hAnsi="Arial" w:cs="Arial"/>
                <w:bCs/>
                <w:sz w:val="24"/>
                <w:szCs w:val="24"/>
              </w:rPr>
              <w:t xml:space="preserve">Number of Articles </w:t>
            </w:r>
          </w:p>
        </w:tc>
        <w:tc>
          <w:tcPr>
            <w:tcW w:w="4781" w:type="dxa"/>
            <w:shd w:val="clear" w:color="auto" w:fill="D9D9D9"/>
          </w:tcPr>
          <w:p w14:paraId="3E05B6E8"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eastAsia="Arial" w:hAnsi="Arial" w:cs="Arial"/>
                <w:bCs/>
                <w:sz w:val="24"/>
                <w:szCs w:val="24"/>
              </w:rPr>
              <w:t>Description</w:t>
            </w:r>
          </w:p>
        </w:tc>
      </w:tr>
      <w:tr w:rsidR="00990A75" w:rsidRPr="00CC7E17" w14:paraId="24A7386D" w14:textId="77777777" w:rsidTr="00990A75">
        <w:trPr>
          <w:trHeight w:val="1221"/>
        </w:trPr>
        <w:tc>
          <w:tcPr>
            <w:tcW w:w="2952" w:type="dxa"/>
          </w:tcPr>
          <w:p w14:paraId="3ED45825" w14:textId="2FC7A277" w:rsidR="00990A75" w:rsidRPr="006401AD" w:rsidRDefault="007144C3" w:rsidP="007144C3">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bCs/>
                <w:sz w:val="24"/>
                <w:szCs w:val="24"/>
                <w:lang w:val="en-US"/>
              </w:rPr>
              <w:t>Articles discarded by mistake</w:t>
            </w:r>
          </w:p>
        </w:tc>
        <w:tc>
          <w:tcPr>
            <w:tcW w:w="1123" w:type="dxa"/>
          </w:tcPr>
          <w:p w14:paraId="73464E4B"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sz w:val="24"/>
                <w:szCs w:val="24"/>
                <w:lang w:val="en-US"/>
              </w:rPr>
              <w:t>3</w:t>
            </w:r>
          </w:p>
        </w:tc>
        <w:tc>
          <w:tcPr>
            <w:tcW w:w="4781" w:type="dxa"/>
          </w:tcPr>
          <w:p w14:paraId="6B367EB1" w14:textId="18B070F2" w:rsidR="00990A75" w:rsidRPr="00CC7E17" w:rsidRDefault="00990A75" w:rsidP="0009624B">
            <w:pPr>
              <w:pStyle w:val="Default"/>
              <w:spacing w:after="240" w:line="360" w:lineRule="auto"/>
              <w:rPr>
                <w:rFonts w:ascii="Arial" w:eastAsia="Arial" w:hAnsi="Arial" w:cs="Arial"/>
                <w:bCs/>
                <w:sz w:val="24"/>
                <w:szCs w:val="24"/>
              </w:rPr>
            </w:pPr>
            <w:r w:rsidRPr="00CC7E17">
              <w:rPr>
                <w:rFonts w:ascii="Arial" w:hAnsi="Arial" w:cs="Arial"/>
                <w:sz w:val="24"/>
                <w:szCs w:val="24"/>
                <w:lang w:val="en-US"/>
              </w:rPr>
              <w:t xml:space="preserve">These articles were simply categorized incorrectly </w:t>
            </w:r>
            <w:r w:rsidR="007144C3" w:rsidRPr="00CC7E17">
              <w:rPr>
                <w:rFonts w:ascii="Arial" w:hAnsi="Arial" w:cs="Arial"/>
                <w:sz w:val="24"/>
                <w:szCs w:val="24"/>
                <w:lang w:val="en-US"/>
              </w:rPr>
              <w:t xml:space="preserve">by the extractor </w:t>
            </w:r>
            <w:r w:rsidRPr="00CC7E17">
              <w:rPr>
                <w:rFonts w:ascii="Arial" w:hAnsi="Arial" w:cs="Arial"/>
                <w:sz w:val="24"/>
                <w:szCs w:val="24"/>
                <w:lang w:val="en-US"/>
              </w:rPr>
              <w:t xml:space="preserve">and should be inputted into </w:t>
            </w:r>
            <w:r w:rsidR="00AA5748" w:rsidRPr="00CC7E17">
              <w:rPr>
                <w:rFonts w:ascii="Arial" w:hAnsi="Arial" w:cs="Arial"/>
                <w:sz w:val="24"/>
                <w:szCs w:val="24"/>
                <w:lang w:val="da-DK"/>
              </w:rPr>
              <w:t>BRiskeT</w:t>
            </w:r>
            <w:r w:rsidRPr="00CC7E17">
              <w:rPr>
                <w:rFonts w:ascii="Arial" w:hAnsi="Arial" w:cs="Arial"/>
                <w:sz w:val="24"/>
                <w:szCs w:val="24"/>
                <w:lang w:val="en-US"/>
              </w:rPr>
              <w:t xml:space="preserve"> database.</w:t>
            </w:r>
          </w:p>
        </w:tc>
      </w:tr>
      <w:tr w:rsidR="00990A75" w:rsidRPr="00CC7E17" w14:paraId="583C8453" w14:textId="77777777" w:rsidTr="00990A75">
        <w:tc>
          <w:tcPr>
            <w:tcW w:w="2952" w:type="dxa"/>
          </w:tcPr>
          <w:p w14:paraId="3E2C6545"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bCs/>
                <w:sz w:val="24"/>
                <w:szCs w:val="24"/>
                <w:lang w:val="en-US"/>
              </w:rPr>
              <w:t>PDF Not Available</w:t>
            </w:r>
          </w:p>
        </w:tc>
        <w:tc>
          <w:tcPr>
            <w:tcW w:w="1123" w:type="dxa"/>
          </w:tcPr>
          <w:p w14:paraId="4835E055"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6401AD">
              <w:rPr>
                <w:rFonts w:ascii="Arial" w:eastAsia="Arial" w:hAnsi="Arial" w:cs="Arial"/>
                <w:bCs/>
                <w:sz w:val="24"/>
                <w:szCs w:val="24"/>
              </w:rPr>
              <w:t>44</w:t>
            </w:r>
          </w:p>
        </w:tc>
        <w:tc>
          <w:tcPr>
            <w:tcW w:w="4781" w:type="dxa"/>
          </w:tcPr>
          <w:p w14:paraId="55EBF5AB" w14:textId="1A35BD31"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sz w:val="24"/>
                <w:szCs w:val="24"/>
                <w:lang w:val="en-US"/>
              </w:rPr>
              <w:t>These articles did not have the PDF version of the article, as a result, they were flagged as not of interest.</w:t>
            </w:r>
          </w:p>
        </w:tc>
      </w:tr>
      <w:tr w:rsidR="00990A75" w:rsidRPr="00CC7E17" w14:paraId="2576D4A9" w14:textId="77777777" w:rsidTr="00990A75">
        <w:tc>
          <w:tcPr>
            <w:tcW w:w="2952" w:type="dxa"/>
          </w:tcPr>
          <w:p w14:paraId="24AD50E0" w14:textId="43E9B2DB" w:rsidR="00990A75" w:rsidRPr="006401AD" w:rsidRDefault="003616E0"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bCs/>
                <w:sz w:val="24"/>
                <w:szCs w:val="24"/>
                <w:lang w:val="en-US"/>
              </w:rPr>
              <w:t>More than 10 outcomes reported</w:t>
            </w:r>
          </w:p>
        </w:tc>
        <w:tc>
          <w:tcPr>
            <w:tcW w:w="1123" w:type="dxa"/>
          </w:tcPr>
          <w:p w14:paraId="28046A5B"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eastAsia="Arial" w:hAnsi="Arial" w:cs="Arial"/>
                <w:bCs/>
                <w:sz w:val="24"/>
                <w:szCs w:val="24"/>
              </w:rPr>
              <w:t>50</w:t>
            </w:r>
          </w:p>
        </w:tc>
        <w:tc>
          <w:tcPr>
            <w:tcW w:w="4781" w:type="dxa"/>
          </w:tcPr>
          <w:p w14:paraId="4C70FBC0" w14:textId="43806A9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sz w:val="24"/>
                <w:szCs w:val="24"/>
                <w:lang w:val="en-US"/>
              </w:rPr>
              <w:t>MacPrognosis was built with the option to include up to 10 rows of baseline risk information for one article. The 50 articles that were classified as “not enough rows” had more than 10 lines of baseline risk information. The next iteration of the extractor interface</w:t>
            </w:r>
            <w:r w:rsidR="00A50237">
              <w:rPr>
                <w:rFonts w:ascii="Arial" w:hAnsi="Arial" w:cs="Arial"/>
                <w:sz w:val="24"/>
                <w:szCs w:val="24"/>
                <w:lang w:val="en-US"/>
              </w:rPr>
              <w:t xml:space="preserve"> </w:t>
            </w:r>
            <w:r w:rsidRPr="00CC7E17">
              <w:rPr>
                <w:rFonts w:ascii="Arial" w:hAnsi="Arial" w:cs="Arial"/>
                <w:sz w:val="24"/>
                <w:szCs w:val="24"/>
                <w:lang w:val="en-US"/>
              </w:rPr>
              <w:t>must be able to add rows as needed for articles that require more data space.</w:t>
            </w:r>
          </w:p>
        </w:tc>
      </w:tr>
      <w:tr w:rsidR="00990A75" w:rsidRPr="00CC7E17" w14:paraId="62B5DDF0" w14:textId="77777777" w:rsidTr="00990A75">
        <w:tc>
          <w:tcPr>
            <w:tcW w:w="2952" w:type="dxa"/>
          </w:tcPr>
          <w:p w14:paraId="5AC91E0D" w14:textId="38341424" w:rsidR="00990A75" w:rsidRPr="006401AD"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bCs/>
                <w:sz w:val="24"/>
                <w:szCs w:val="24"/>
                <w:lang w:val="en-US"/>
              </w:rPr>
              <w:t xml:space="preserve">No absolute </w:t>
            </w:r>
            <w:r w:rsidR="00D572D2" w:rsidRPr="00CC7E17">
              <w:rPr>
                <w:rFonts w:ascii="Arial" w:hAnsi="Arial" w:cs="Arial"/>
                <w:bCs/>
                <w:sz w:val="24"/>
                <w:szCs w:val="24"/>
                <w:lang w:val="en-US"/>
              </w:rPr>
              <w:t>d</w:t>
            </w:r>
            <w:r w:rsidRPr="00CC7E17">
              <w:rPr>
                <w:rFonts w:ascii="Arial" w:hAnsi="Arial" w:cs="Arial"/>
                <w:bCs/>
                <w:sz w:val="24"/>
                <w:szCs w:val="24"/>
                <w:lang w:val="en-US"/>
              </w:rPr>
              <w:t>ata</w:t>
            </w:r>
          </w:p>
        </w:tc>
        <w:tc>
          <w:tcPr>
            <w:tcW w:w="1123" w:type="dxa"/>
          </w:tcPr>
          <w:p w14:paraId="7092BD93"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eastAsia="Arial" w:hAnsi="Arial" w:cs="Arial"/>
                <w:bCs/>
                <w:sz w:val="24"/>
                <w:szCs w:val="24"/>
              </w:rPr>
              <w:t>66</w:t>
            </w:r>
          </w:p>
        </w:tc>
        <w:tc>
          <w:tcPr>
            <w:tcW w:w="4781" w:type="dxa"/>
          </w:tcPr>
          <w:p w14:paraId="487F9CF9" w14:textId="76C3C87F"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sz w:val="24"/>
                <w:szCs w:val="24"/>
                <w:lang w:val="en-US"/>
              </w:rPr>
              <w:t xml:space="preserve">These articles only contained information regarding relative risk. This may have taken the form of </w:t>
            </w:r>
            <w:r w:rsidR="00D572D2" w:rsidRPr="00CC7E17">
              <w:rPr>
                <w:rFonts w:ascii="Arial" w:hAnsi="Arial" w:cs="Arial"/>
                <w:sz w:val="24"/>
                <w:szCs w:val="24"/>
                <w:lang w:val="en-US"/>
              </w:rPr>
              <w:t>r</w:t>
            </w:r>
            <w:r w:rsidRPr="00CC7E17">
              <w:rPr>
                <w:rFonts w:ascii="Arial" w:hAnsi="Arial" w:cs="Arial"/>
                <w:sz w:val="24"/>
                <w:szCs w:val="24"/>
                <w:lang w:val="en-US"/>
              </w:rPr>
              <w:t xml:space="preserve">elative </w:t>
            </w:r>
            <w:r w:rsidR="00D572D2" w:rsidRPr="00CC7E17">
              <w:rPr>
                <w:rFonts w:ascii="Arial" w:hAnsi="Arial" w:cs="Arial"/>
                <w:sz w:val="24"/>
                <w:szCs w:val="24"/>
              </w:rPr>
              <w:t>r</w:t>
            </w:r>
            <w:r w:rsidRPr="00CC7E17">
              <w:rPr>
                <w:rFonts w:ascii="Arial" w:hAnsi="Arial" w:cs="Arial"/>
                <w:sz w:val="24"/>
                <w:szCs w:val="24"/>
              </w:rPr>
              <w:t>isk/</w:t>
            </w:r>
            <w:r w:rsidR="00D572D2" w:rsidRPr="00CC7E17">
              <w:rPr>
                <w:rFonts w:ascii="Arial" w:hAnsi="Arial" w:cs="Arial"/>
                <w:sz w:val="24"/>
                <w:szCs w:val="24"/>
              </w:rPr>
              <w:t>o</w:t>
            </w:r>
            <w:r w:rsidRPr="00CC7E17">
              <w:rPr>
                <w:rFonts w:ascii="Arial" w:hAnsi="Arial" w:cs="Arial"/>
                <w:sz w:val="24"/>
                <w:szCs w:val="24"/>
              </w:rPr>
              <w:t>dds</w:t>
            </w:r>
            <w:r w:rsidRPr="00CC7E17">
              <w:rPr>
                <w:rFonts w:ascii="Arial" w:hAnsi="Arial" w:cs="Arial"/>
                <w:sz w:val="24"/>
                <w:szCs w:val="24"/>
                <w:lang w:val="en-US"/>
              </w:rPr>
              <w:t xml:space="preserve"> ratio or hazard ratio without the requisite population total for back calculation of other necessary numbers.</w:t>
            </w:r>
          </w:p>
        </w:tc>
      </w:tr>
      <w:tr w:rsidR="00990A75" w:rsidRPr="00CC7E17" w14:paraId="13998642" w14:textId="77777777" w:rsidTr="00990A75">
        <w:tc>
          <w:tcPr>
            <w:tcW w:w="2952" w:type="dxa"/>
          </w:tcPr>
          <w:p w14:paraId="76102616" w14:textId="36E331C1"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eastAsia="Arial" w:hAnsi="Arial" w:cs="Arial"/>
                <w:bCs/>
                <w:sz w:val="24"/>
                <w:szCs w:val="24"/>
              </w:rPr>
              <w:t xml:space="preserve">Systematic </w:t>
            </w:r>
            <w:r w:rsidR="00D572D2" w:rsidRPr="00CC7E17">
              <w:rPr>
                <w:rFonts w:ascii="Arial" w:eastAsia="Arial" w:hAnsi="Arial" w:cs="Arial"/>
                <w:bCs/>
                <w:sz w:val="24"/>
                <w:szCs w:val="24"/>
              </w:rPr>
              <w:t>r</w:t>
            </w:r>
            <w:r w:rsidRPr="00CC7E17">
              <w:rPr>
                <w:rFonts w:ascii="Arial" w:eastAsia="Arial" w:hAnsi="Arial" w:cs="Arial"/>
                <w:bCs/>
                <w:sz w:val="24"/>
                <w:szCs w:val="24"/>
              </w:rPr>
              <w:t xml:space="preserve">eview and </w:t>
            </w:r>
            <w:r w:rsidR="00D572D2" w:rsidRPr="006401AD">
              <w:rPr>
                <w:rFonts w:ascii="Arial" w:eastAsia="Arial" w:hAnsi="Arial" w:cs="Arial"/>
                <w:bCs/>
                <w:sz w:val="24"/>
                <w:szCs w:val="24"/>
              </w:rPr>
              <w:t>m</w:t>
            </w:r>
            <w:r w:rsidRPr="00CC7E17">
              <w:rPr>
                <w:rFonts w:ascii="Arial" w:eastAsia="Arial" w:hAnsi="Arial" w:cs="Arial"/>
                <w:bCs/>
                <w:sz w:val="24"/>
                <w:szCs w:val="24"/>
              </w:rPr>
              <w:t>eta-</w:t>
            </w:r>
            <w:r w:rsidR="00D572D2" w:rsidRPr="00CC7E17">
              <w:rPr>
                <w:rFonts w:ascii="Arial" w:eastAsia="Arial" w:hAnsi="Arial" w:cs="Arial"/>
                <w:bCs/>
                <w:sz w:val="24"/>
                <w:szCs w:val="24"/>
              </w:rPr>
              <w:t>a</w:t>
            </w:r>
            <w:r w:rsidRPr="00CC7E17">
              <w:rPr>
                <w:rFonts w:ascii="Arial" w:eastAsia="Arial" w:hAnsi="Arial" w:cs="Arial"/>
                <w:bCs/>
                <w:sz w:val="24"/>
                <w:szCs w:val="24"/>
              </w:rPr>
              <w:t>nalysis</w:t>
            </w:r>
          </w:p>
        </w:tc>
        <w:tc>
          <w:tcPr>
            <w:tcW w:w="1123" w:type="dxa"/>
          </w:tcPr>
          <w:p w14:paraId="64921B64" w14:textId="27680835"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eastAsia="Arial" w:hAnsi="Arial" w:cs="Arial"/>
                <w:bCs/>
                <w:sz w:val="24"/>
                <w:szCs w:val="24"/>
              </w:rPr>
              <w:t>58</w:t>
            </w:r>
            <w:r w:rsidR="003A5EB0">
              <w:rPr>
                <w:rFonts w:ascii="Arial" w:eastAsia="Arial" w:hAnsi="Arial" w:cs="Arial"/>
                <w:bCs/>
                <w:sz w:val="24"/>
                <w:szCs w:val="24"/>
              </w:rPr>
              <w:t xml:space="preserve"> </w:t>
            </w:r>
          </w:p>
        </w:tc>
        <w:tc>
          <w:tcPr>
            <w:tcW w:w="4781" w:type="dxa"/>
          </w:tcPr>
          <w:p w14:paraId="5431BFD7" w14:textId="548B8F93" w:rsidR="00990A75" w:rsidRPr="00CC7E17" w:rsidRDefault="00990A75" w:rsidP="00E54AE4">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sz w:val="24"/>
                <w:szCs w:val="24"/>
                <w:lang w:val="en-US"/>
              </w:rPr>
              <w:t xml:space="preserve">Systematic reviews almost always provided more than 10 rows of baseline risk information </w:t>
            </w:r>
          </w:p>
        </w:tc>
      </w:tr>
      <w:tr w:rsidR="00990A75" w:rsidRPr="00CC7E17" w14:paraId="77115BE4" w14:textId="77777777" w:rsidTr="00ED7C8D">
        <w:trPr>
          <w:trHeight w:val="1225"/>
        </w:trPr>
        <w:tc>
          <w:tcPr>
            <w:tcW w:w="2952" w:type="dxa"/>
          </w:tcPr>
          <w:p w14:paraId="03C03BB7"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hAnsi="Arial" w:cs="Arial"/>
                <w:bCs/>
                <w:sz w:val="24"/>
                <w:szCs w:val="24"/>
                <w:lang w:val="en-US"/>
              </w:rPr>
              <w:t>Not suitable for extraction</w:t>
            </w:r>
          </w:p>
        </w:tc>
        <w:tc>
          <w:tcPr>
            <w:tcW w:w="1123" w:type="dxa"/>
          </w:tcPr>
          <w:p w14:paraId="00BF95A1"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6401AD">
              <w:rPr>
                <w:rFonts w:ascii="Arial" w:eastAsia="Arial" w:hAnsi="Arial" w:cs="Arial"/>
                <w:bCs/>
                <w:sz w:val="24"/>
                <w:szCs w:val="24"/>
              </w:rPr>
              <w:t>130</w:t>
            </w:r>
          </w:p>
        </w:tc>
        <w:tc>
          <w:tcPr>
            <w:tcW w:w="4781" w:type="dxa"/>
          </w:tcPr>
          <w:p w14:paraId="50DBF32A" w14:textId="77777777" w:rsidR="00990A75" w:rsidRPr="00CC7E17" w:rsidRDefault="00990A75" w:rsidP="0009624B">
            <w:pPr>
              <w:pStyle w:val="Default"/>
              <w:spacing w:after="240" w:line="360" w:lineRule="auto"/>
              <w:rPr>
                <w:rFonts w:ascii="Arial" w:eastAsia="Arial" w:hAnsi="Arial" w:cs="Arial"/>
                <w:position w:val="-2"/>
                <w:sz w:val="24"/>
                <w:szCs w:val="24"/>
              </w:rPr>
            </w:pPr>
            <w:r w:rsidRPr="00CC7E17">
              <w:rPr>
                <w:rFonts w:ascii="Arial" w:hAnsi="Arial" w:cs="Arial"/>
                <w:sz w:val="24"/>
                <w:szCs w:val="24"/>
                <w:lang w:val="en-US"/>
              </w:rPr>
              <w:t>These articles may have been wrongly categorized or did not include baseline risk information</w:t>
            </w:r>
          </w:p>
          <w:p w14:paraId="210C7C82" w14:textId="77777777" w:rsidR="00990A75" w:rsidRPr="00CC7E17" w:rsidRDefault="00990A75"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p>
        </w:tc>
      </w:tr>
      <w:tr w:rsidR="00A8343C" w:rsidRPr="00CC7E17" w14:paraId="144BFF4C" w14:textId="77777777" w:rsidTr="00ED7C8D">
        <w:trPr>
          <w:trHeight w:val="4005"/>
        </w:trPr>
        <w:tc>
          <w:tcPr>
            <w:tcW w:w="2952" w:type="dxa"/>
            <w:tcBorders>
              <w:bottom w:val="single" w:sz="4" w:space="0" w:color="auto"/>
            </w:tcBorders>
          </w:tcPr>
          <w:p w14:paraId="6FFF43C5" w14:textId="77777777" w:rsidR="00A8343C" w:rsidRPr="00CC7E17" w:rsidRDefault="00A8343C"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CC7E17">
              <w:rPr>
                <w:rFonts w:ascii="Arial" w:eastAsia="Arial" w:hAnsi="Arial" w:cs="Arial"/>
                <w:bCs/>
                <w:sz w:val="24"/>
                <w:szCs w:val="24"/>
              </w:rPr>
              <w:t>Imaging</w:t>
            </w:r>
          </w:p>
        </w:tc>
        <w:tc>
          <w:tcPr>
            <w:tcW w:w="1123" w:type="dxa"/>
            <w:tcBorders>
              <w:bottom w:val="single" w:sz="4" w:space="0" w:color="auto"/>
            </w:tcBorders>
          </w:tcPr>
          <w:p w14:paraId="2ED7C5D8" w14:textId="30860AB5" w:rsidR="00A8343C" w:rsidRPr="00CC7E17" w:rsidRDefault="00A8343C"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r w:rsidRPr="006401AD">
              <w:rPr>
                <w:rFonts w:ascii="Arial" w:eastAsia="Arial" w:hAnsi="Arial" w:cs="Arial"/>
                <w:bCs/>
                <w:sz w:val="24"/>
                <w:szCs w:val="24"/>
              </w:rPr>
              <w:t>3</w:t>
            </w:r>
            <w:r w:rsidR="003A5EB0">
              <w:rPr>
                <w:rFonts w:ascii="Arial" w:eastAsia="Arial" w:hAnsi="Arial" w:cs="Arial"/>
                <w:bCs/>
                <w:sz w:val="24"/>
                <w:szCs w:val="24"/>
              </w:rPr>
              <w:t>1</w:t>
            </w:r>
          </w:p>
        </w:tc>
        <w:tc>
          <w:tcPr>
            <w:tcW w:w="4781" w:type="dxa"/>
            <w:tcBorders>
              <w:bottom w:val="single" w:sz="4" w:space="0" w:color="auto"/>
            </w:tcBorders>
          </w:tcPr>
          <w:p w14:paraId="26CDAAE4" w14:textId="1D208C19" w:rsidR="00A8343C" w:rsidRPr="00CC7E17" w:rsidRDefault="00A8343C" w:rsidP="0009624B">
            <w:pPr>
              <w:pStyle w:val="Default"/>
              <w:spacing w:after="240" w:line="360" w:lineRule="auto"/>
              <w:rPr>
                <w:rFonts w:ascii="Arial" w:eastAsia="Arial" w:hAnsi="Arial" w:cs="Arial"/>
                <w:position w:val="-2"/>
                <w:sz w:val="24"/>
                <w:szCs w:val="24"/>
              </w:rPr>
            </w:pPr>
            <w:r w:rsidRPr="00CC7E17">
              <w:rPr>
                <w:rFonts w:ascii="Arial" w:hAnsi="Arial" w:cs="Arial"/>
                <w:sz w:val="24"/>
                <w:szCs w:val="24"/>
                <w:lang w:val="en-US"/>
              </w:rPr>
              <w:t>Imaging, as pain-based articles had proven in the feasibility study, were not suitable for data extraction. This was due to the fact that the information provided was largely communicated in imaging scans (e.g.</w:t>
            </w:r>
            <w:r>
              <w:rPr>
                <w:rFonts w:ascii="Arial" w:hAnsi="Arial" w:cs="Arial"/>
                <w:sz w:val="24"/>
                <w:szCs w:val="24"/>
                <w:lang w:val="en-US"/>
              </w:rPr>
              <w:t>,</w:t>
            </w:r>
            <w:r w:rsidRPr="00CC7E17">
              <w:rPr>
                <w:rFonts w:ascii="Arial" w:hAnsi="Arial" w:cs="Arial"/>
                <w:sz w:val="24"/>
                <w:szCs w:val="24"/>
                <w:lang w:val="en-US"/>
              </w:rPr>
              <w:t xml:space="preserve"> </w:t>
            </w:r>
            <w:r>
              <w:rPr>
                <w:rFonts w:ascii="Arial" w:hAnsi="Arial" w:cs="Arial"/>
                <w:sz w:val="24"/>
                <w:szCs w:val="24"/>
                <w:lang w:val="en-US"/>
              </w:rPr>
              <w:t>m</w:t>
            </w:r>
            <w:r w:rsidRPr="00CC7E17">
              <w:rPr>
                <w:rFonts w:ascii="Arial" w:hAnsi="Arial" w:cs="Arial"/>
                <w:sz w:val="24"/>
                <w:szCs w:val="24"/>
                <w:lang w:val="en-US"/>
              </w:rPr>
              <w:t>agnetic resonance imaging scans, X-</w:t>
            </w:r>
            <w:r>
              <w:rPr>
                <w:rFonts w:ascii="Arial" w:hAnsi="Arial" w:cs="Arial"/>
                <w:sz w:val="24"/>
                <w:szCs w:val="24"/>
                <w:lang w:val="en-US"/>
              </w:rPr>
              <w:t>r</w:t>
            </w:r>
            <w:r w:rsidRPr="00CC7E17">
              <w:rPr>
                <w:rFonts w:ascii="Arial" w:hAnsi="Arial" w:cs="Arial"/>
                <w:sz w:val="24"/>
                <w:szCs w:val="24"/>
                <w:lang w:val="en-US"/>
              </w:rPr>
              <w:t>ay computed tomography scans)</w:t>
            </w:r>
            <w:r>
              <w:rPr>
                <w:rFonts w:ascii="Arial" w:hAnsi="Arial" w:cs="Arial"/>
                <w:sz w:val="24"/>
                <w:szCs w:val="24"/>
                <w:lang w:val="en-US"/>
              </w:rPr>
              <w:t>.</w:t>
            </w:r>
            <w:r w:rsidRPr="00CC7E17">
              <w:rPr>
                <w:rFonts w:ascii="Arial" w:hAnsi="Arial" w:cs="Arial"/>
                <w:sz w:val="24"/>
                <w:szCs w:val="24"/>
                <w:lang w:val="en-US"/>
              </w:rPr>
              <w:t xml:space="preserve"> It was not possible to convey these risks in a way that fit </w:t>
            </w:r>
            <w:r w:rsidR="00260290">
              <w:rPr>
                <w:rFonts w:ascii="Arial" w:hAnsi="Arial" w:cs="Arial"/>
                <w:sz w:val="24"/>
                <w:szCs w:val="24"/>
                <w:lang w:val="en-US"/>
              </w:rPr>
              <w:t>into the form that had been developed</w:t>
            </w:r>
            <w:r w:rsidRPr="00CC7E17">
              <w:rPr>
                <w:rFonts w:ascii="Arial" w:hAnsi="Arial" w:cs="Arial"/>
                <w:sz w:val="24"/>
                <w:szCs w:val="24"/>
                <w:lang w:val="en-US"/>
              </w:rPr>
              <w:t>.</w:t>
            </w:r>
          </w:p>
          <w:p w14:paraId="3B21A1E1" w14:textId="77777777" w:rsidR="00A8343C" w:rsidRPr="00CC7E17" w:rsidRDefault="00A8343C" w:rsidP="0009624B">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Arial" w:eastAsia="Arial" w:hAnsi="Arial" w:cs="Arial"/>
                <w:bCs/>
                <w:sz w:val="24"/>
                <w:szCs w:val="24"/>
              </w:rPr>
            </w:pPr>
          </w:p>
        </w:tc>
      </w:tr>
    </w:tbl>
    <w:p w14:paraId="428DAFD2" w14:textId="4531203D" w:rsidR="00990A75" w:rsidRPr="00CC7E17" w:rsidRDefault="00990A75">
      <w:pPr>
        <w:pStyle w:val="Caption"/>
        <w:spacing w:line="360" w:lineRule="auto"/>
        <w:rPr>
          <w:rFonts w:ascii="Arial" w:hAnsi="Arial" w:cs="Arial"/>
        </w:rPr>
      </w:pPr>
    </w:p>
    <w:p w14:paraId="009E2241" w14:textId="77777777" w:rsidR="00990A75" w:rsidRPr="00CC7E17" w:rsidRDefault="00990A75">
      <w:pPr>
        <w:spacing w:line="360" w:lineRule="auto"/>
        <w:rPr>
          <w:rFonts w:ascii="Arial" w:hAnsi="Arial" w:cs="Arial"/>
        </w:rPr>
      </w:pPr>
    </w:p>
    <w:p w14:paraId="4D94D32E" w14:textId="3D24FC46" w:rsidR="00990A75" w:rsidRPr="00CC7E17" w:rsidRDefault="00990A75">
      <w:pPr>
        <w:pStyle w:val="Default"/>
        <w:spacing w:after="240" w:line="360" w:lineRule="auto"/>
        <w:rPr>
          <w:rFonts w:ascii="Arial" w:eastAsia="Arial" w:hAnsi="Arial" w:cs="Arial"/>
          <w:sz w:val="24"/>
          <w:szCs w:val="24"/>
        </w:rPr>
      </w:pPr>
      <w:r w:rsidRPr="00CC7E17">
        <w:rPr>
          <w:rFonts w:ascii="Arial" w:hAnsi="Arial" w:cs="Arial"/>
          <w:sz w:val="24"/>
          <w:szCs w:val="24"/>
          <w:lang w:val="en-US"/>
        </w:rPr>
        <w:t>Once again, a success rate of</w:t>
      </w:r>
      <w:r w:rsidR="00A50237">
        <w:rPr>
          <w:rFonts w:ascii="Arial" w:hAnsi="Arial" w:cs="Arial"/>
          <w:sz w:val="24"/>
          <w:szCs w:val="24"/>
          <w:lang w:val="en-US"/>
        </w:rPr>
        <w:t xml:space="preserve"> </w:t>
      </w:r>
      <w:r w:rsidRPr="00CC7E17">
        <w:rPr>
          <w:rFonts w:ascii="Arial" w:hAnsi="Arial" w:cs="Arial"/>
          <w:sz w:val="24"/>
          <w:szCs w:val="24"/>
          <w:lang w:val="en-US"/>
        </w:rPr>
        <w:t>50% was the goal for this study. Although this mark was not quite reached (</w:t>
      </w:r>
      <w:r w:rsidRPr="00CC7E17">
        <w:rPr>
          <w:rFonts w:ascii="Arial" w:hAnsi="Arial" w:cs="Arial"/>
          <w:sz w:val="24"/>
          <w:szCs w:val="24"/>
        </w:rPr>
        <w:t>29</w:t>
      </w:r>
      <w:r w:rsidR="00260290">
        <w:rPr>
          <w:rFonts w:ascii="Arial" w:hAnsi="Arial" w:cs="Arial"/>
          <w:sz w:val="24"/>
          <w:szCs w:val="24"/>
        </w:rPr>
        <w:t>5</w:t>
      </w:r>
      <w:r w:rsidRPr="00CC7E17">
        <w:rPr>
          <w:rFonts w:ascii="Arial" w:hAnsi="Arial" w:cs="Arial"/>
          <w:sz w:val="24"/>
          <w:szCs w:val="24"/>
        </w:rPr>
        <w:t>/656</w:t>
      </w:r>
      <w:r w:rsidRPr="00CC7E17">
        <w:rPr>
          <w:rFonts w:ascii="Arial" w:hAnsi="Arial" w:cs="Arial"/>
          <w:sz w:val="24"/>
          <w:szCs w:val="24"/>
          <w:lang w:val="en-US"/>
        </w:rPr>
        <w:t xml:space="preserve"> = 45%) a portion of the articles deemed not of interest could easily be extracted with minimal changes to the interface, these included (From Table 6): </w:t>
      </w:r>
    </w:p>
    <w:p w14:paraId="6176750F" w14:textId="4E6D10CB" w:rsidR="00990A75" w:rsidRPr="00CC7E17" w:rsidRDefault="00990A75" w:rsidP="0009624B">
      <w:pPr>
        <w:pStyle w:val="Default"/>
        <w:spacing w:after="240" w:line="360" w:lineRule="auto"/>
        <w:rPr>
          <w:rFonts w:ascii="Arial" w:eastAsia="Arial" w:hAnsi="Arial" w:cs="Arial"/>
          <w:sz w:val="24"/>
          <w:szCs w:val="24"/>
        </w:rPr>
      </w:pPr>
      <w:r w:rsidRPr="00CC7E17">
        <w:rPr>
          <w:rFonts w:ascii="Arial" w:eastAsia="Arial" w:hAnsi="Arial" w:cs="Arial"/>
          <w:sz w:val="24"/>
          <w:szCs w:val="24"/>
          <w:lang w:val="en-US"/>
        </w:rPr>
        <w:tab/>
        <w:t xml:space="preserve">Articles </w:t>
      </w:r>
      <w:r w:rsidR="007144C3" w:rsidRPr="00CC7E17">
        <w:rPr>
          <w:rFonts w:ascii="Arial" w:eastAsia="Arial" w:hAnsi="Arial" w:cs="Arial"/>
          <w:sz w:val="24"/>
          <w:szCs w:val="24"/>
          <w:lang w:val="en-US"/>
        </w:rPr>
        <w:t>discarded by mistake</w:t>
      </w:r>
      <w:r w:rsidRPr="00CC7E17">
        <w:rPr>
          <w:rFonts w:ascii="Arial" w:eastAsia="Arial" w:hAnsi="Arial" w:cs="Arial"/>
          <w:sz w:val="24"/>
          <w:szCs w:val="24"/>
          <w:lang w:val="en-US"/>
        </w:rPr>
        <w:t xml:space="preserve">: 3 articles </w:t>
      </w:r>
    </w:p>
    <w:p w14:paraId="1875B497" w14:textId="4FA5CDFE" w:rsidR="00990A75" w:rsidRPr="00CC7E17" w:rsidRDefault="00990A75" w:rsidP="0009624B">
      <w:pPr>
        <w:pStyle w:val="Default"/>
        <w:spacing w:after="240"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lang w:val="fr-FR"/>
        </w:rPr>
        <w:t xml:space="preserve">PDF </w:t>
      </w:r>
      <w:r w:rsidR="004D3E5E" w:rsidRPr="00CC7E17">
        <w:rPr>
          <w:rFonts w:ascii="Arial" w:hAnsi="Arial" w:cs="Arial"/>
          <w:sz w:val="24"/>
          <w:szCs w:val="24"/>
          <w:lang w:val="fr-FR"/>
        </w:rPr>
        <w:t>n</w:t>
      </w:r>
      <w:r w:rsidRPr="00CC7E17">
        <w:rPr>
          <w:rFonts w:ascii="Arial" w:hAnsi="Arial" w:cs="Arial"/>
          <w:sz w:val="24"/>
          <w:szCs w:val="24"/>
          <w:lang w:val="fr-FR"/>
        </w:rPr>
        <w:t>ot available: 44 articles</w:t>
      </w:r>
    </w:p>
    <w:p w14:paraId="769DCD29" w14:textId="492A0A59" w:rsidR="00990A75" w:rsidRPr="00CC7E17" w:rsidRDefault="00990A75" w:rsidP="0009624B">
      <w:pPr>
        <w:pStyle w:val="Default"/>
        <w:spacing w:after="240" w:line="360" w:lineRule="auto"/>
        <w:rPr>
          <w:rFonts w:ascii="Arial" w:eastAsia="Arial" w:hAnsi="Arial" w:cs="Arial"/>
          <w:sz w:val="24"/>
          <w:szCs w:val="24"/>
        </w:rPr>
      </w:pPr>
      <w:r w:rsidRPr="00CC7E17">
        <w:rPr>
          <w:rFonts w:ascii="Arial" w:eastAsia="Arial" w:hAnsi="Arial" w:cs="Arial"/>
          <w:sz w:val="24"/>
          <w:szCs w:val="24"/>
        </w:rPr>
        <w:tab/>
      </w:r>
      <w:r w:rsidR="003616E0" w:rsidRPr="006401AD">
        <w:rPr>
          <w:rFonts w:ascii="Arial" w:hAnsi="Arial" w:cs="Arial"/>
          <w:sz w:val="24"/>
          <w:szCs w:val="24"/>
          <w:lang w:val="en-US"/>
        </w:rPr>
        <w:t>More than 10 outcomes reported</w:t>
      </w:r>
      <w:r w:rsidRPr="00CC7E17">
        <w:rPr>
          <w:rFonts w:ascii="Arial" w:hAnsi="Arial" w:cs="Arial"/>
          <w:sz w:val="24"/>
          <w:szCs w:val="24"/>
          <w:lang w:val="en-US"/>
        </w:rPr>
        <w:t>: 50 articles</w:t>
      </w:r>
    </w:p>
    <w:p w14:paraId="1ED4829A" w14:textId="406182F5" w:rsidR="00990A75" w:rsidRPr="00CC7E17" w:rsidRDefault="00990A75" w:rsidP="0009624B">
      <w:pPr>
        <w:pStyle w:val="Default"/>
        <w:spacing w:after="240"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lang w:val="fr-FR"/>
        </w:rPr>
        <w:t>Meta-</w:t>
      </w:r>
      <w:r w:rsidR="00501736" w:rsidRPr="00CC7E17">
        <w:rPr>
          <w:rFonts w:ascii="Arial" w:hAnsi="Arial" w:cs="Arial"/>
          <w:sz w:val="24"/>
          <w:szCs w:val="24"/>
          <w:lang w:val="fr-FR"/>
        </w:rPr>
        <w:t>a</w:t>
      </w:r>
      <w:r w:rsidRPr="00CC7E17">
        <w:rPr>
          <w:rFonts w:ascii="Arial" w:hAnsi="Arial" w:cs="Arial"/>
          <w:sz w:val="24"/>
          <w:szCs w:val="24"/>
          <w:lang w:val="fr-FR"/>
        </w:rPr>
        <w:t xml:space="preserve">nalysis or </w:t>
      </w:r>
      <w:r w:rsidR="00501736" w:rsidRPr="00CC7E17">
        <w:rPr>
          <w:rFonts w:ascii="Arial" w:hAnsi="Arial" w:cs="Arial"/>
          <w:sz w:val="24"/>
          <w:szCs w:val="24"/>
          <w:lang w:val="fr-FR"/>
        </w:rPr>
        <w:t>s</w:t>
      </w:r>
      <w:r w:rsidRPr="00CC7E17">
        <w:rPr>
          <w:rFonts w:ascii="Arial" w:hAnsi="Arial" w:cs="Arial"/>
          <w:sz w:val="24"/>
          <w:szCs w:val="24"/>
          <w:lang w:val="fr-FR"/>
        </w:rPr>
        <w:t xml:space="preserve">ystematic </w:t>
      </w:r>
      <w:r w:rsidR="00501736" w:rsidRPr="00CC7E17">
        <w:rPr>
          <w:rFonts w:ascii="Arial" w:hAnsi="Arial" w:cs="Arial"/>
          <w:sz w:val="24"/>
          <w:szCs w:val="24"/>
          <w:lang w:val="fr-FR"/>
        </w:rPr>
        <w:t>r</w:t>
      </w:r>
      <w:r w:rsidRPr="00CC7E17">
        <w:rPr>
          <w:rFonts w:ascii="Arial" w:hAnsi="Arial" w:cs="Arial"/>
          <w:sz w:val="24"/>
          <w:szCs w:val="24"/>
          <w:lang w:val="fr-FR"/>
        </w:rPr>
        <w:t>eview: 58 articles</w:t>
      </w:r>
    </w:p>
    <w:p w14:paraId="4E8D07B9" w14:textId="2021ED0E" w:rsidR="00990A75" w:rsidRPr="00CC7E17" w:rsidRDefault="00990A75" w:rsidP="0009624B">
      <w:pPr>
        <w:pStyle w:val="Default"/>
        <w:spacing w:after="240" w:line="360" w:lineRule="auto"/>
        <w:rPr>
          <w:rFonts w:ascii="Arial" w:hAnsi="Arial" w:cs="Arial"/>
          <w:sz w:val="24"/>
          <w:szCs w:val="24"/>
          <w:lang w:val="en-US"/>
        </w:rPr>
      </w:pPr>
      <w:r w:rsidRPr="00CC7E17">
        <w:rPr>
          <w:rFonts w:ascii="Arial" w:hAnsi="Arial" w:cs="Arial"/>
          <w:sz w:val="24"/>
          <w:szCs w:val="24"/>
          <w:lang w:val="en-US"/>
        </w:rPr>
        <w:t>Together, these articles which can be extracted with minimal changes to the interface add up to 155 articles. Hypothetically, once these changes are made and these articles have their baseline risk data extracted, a total of</w:t>
      </w:r>
      <w:r w:rsidR="00260290">
        <w:rPr>
          <w:rFonts w:ascii="Arial" w:hAnsi="Arial" w:cs="Arial"/>
          <w:sz w:val="24"/>
          <w:szCs w:val="24"/>
          <w:lang w:val="en-US"/>
        </w:rPr>
        <w:t xml:space="preserve"> up to</w:t>
      </w:r>
      <w:r w:rsidRPr="00CC7E17">
        <w:rPr>
          <w:rFonts w:ascii="Arial" w:hAnsi="Arial" w:cs="Arial"/>
          <w:sz w:val="24"/>
          <w:szCs w:val="24"/>
          <w:lang w:val="en-US"/>
        </w:rPr>
        <w:t xml:space="preserve"> 4</w:t>
      </w:r>
      <w:r w:rsidR="00260290">
        <w:rPr>
          <w:rFonts w:ascii="Arial" w:hAnsi="Arial" w:cs="Arial"/>
          <w:sz w:val="24"/>
          <w:szCs w:val="24"/>
          <w:lang w:val="en-US"/>
        </w:rPr>
        <w:t>50</w:t>
      </w:r>
      <w:r w:rsidRPr="00CC7E17">
        <w:rPr>
          <w:rFonts w:ascii="Arial" w:hAnsi="Arial" w:cs="Arial"/>
          <w:sz w:val="24"/>
          <w:szCs w:val="24"/>
          <w:lang w:val="en-US"/>
        </w:rPr>
        <w:t xml:space="preserve"> articles from which baseline risk data have been extracted would populate the </w:t>
      </w:r>
      <w:r w:rsidR="00AA5748" w:rsidRPr="00CC7E17">
        <w:rPr>
          <w:rFonts w:ascii="Arial" w:hAnsi="Arial" w:cs="Arial"/>
          <w:sz w:val="24"/>
          <w:szCs w:val="24"/>
          <w:lang w:val="en-US"/>
        </w:rPr>
        <w:t>BRiskeT</w:t>
      </w:r>
      <w:r w:rsidRPr="00CC7E17">
        <w:rPr>
          <w:rFonts w:ascii="Arial" w:hAnsi="Arial" w:cs="Arial"/>
          <w:sz w:val="24"/>
          <w:szCs w:val="24"/>
          <w:lang w:val="en-US"/>
        </w:rPr>
        <w:t xml:space="preserve"> database (29</w:t>
      </w:r>
      <w:r w:rsidR="00260290">
        <w:rPr>
          <w:rFonts w:ascii="Arial" w:hAnsi="Arial" w:cs="Arial"/>
          <w:sz w:val="24"/>
          <w:szCs w:val="24"/>
          <w:lang w:val="en-US"/>
        </w:rPr>
        <w:t>5</w:t>
      </w:r>
      <w:r w:rsidRPr="00CC7E17">
        <w:rPr>
          <w:rFonts w:ascii="Arial" w:hAnsi="Arial" w:cs="Arial"/>
          <w:sz w:val="24"/>
          <w:szCs w:val="24"/>
          <w:lang w:val="en-US"/>
        </w:rPr>
        <w:t xml:space="preserve"> + 155 = 4</w:t>
      </w:r>
      <w:r w:rsidR="00260290">
        <w:rPr>
          <w:rFonts w:ascii="Arial" w:hAnsi="Arial" w:cs="Arial"/>
          <w:sz w:val="24"/>
          <w:szCs w:val="24"/>
          <w:lang w:val="en-US"/>
        </w:rPr>
        <w:t>50</w:t>
      </w:r>
      <w:r w:rsidRPr="00CC7E17">
        <w:rPr>
          <w:rFonts w:ascii="Arial" w:hAnsi="Arial" w:cs="Arial"/>
          <w:sz w:val="24"/>
          <w:szCs w:val="24"/>
          <w:lang w:val="en-US"/>
        </w:rPr>
        <w:t>). Once these articles have been extracted, the proportion of articles from which data has b</w:t>
      </w:r>
      <w:r w:rsidR="00DF29B4" w:rsidRPr="00CC7E17">
        <w:rPr>
          <w:rFonts w:ascii="Arial" w:hAnsi="Arial" w:cs="Arial"/>
          <w:sz w:val="24"/>
          <w:szCs w:val="24"/>
          <w:lang w:val="en-US"/>
        </w:rPr>
        <w:t>een extracted would become 68% (4</w:t>
      </w:r>
      <w:r w:rsidR="00260290">
        <w:rPr>
          <w:rFonts w:ascii="Arial" w:hAnsi="Arial" w:cs="Arial"/>
          <w:sz w:val="24"/>
          <w:szCs w:val="24"/>
          <w:lang w:val="en-US"/>
        </w:rPr>
        <w:t>50</w:t>
      </w:r>
      <w:r w:rsidR="00DF29B4" w:rsidRPr="00CC7E17">
        <w:rPr>
          <w:rFonts w:ascii="Arial" w:hAnsi="Arial" w:cs="Arial"/>
          <w:sz w:val="24"/>
          <w:szCs w:val="24"/>
          <w:lang w:val="en-US"/>
        </w:rPr>
        <w:t xml:space="preserve">/ 656). </w:t>
      </w:r>
    </w:p>
    <w:p w14:paraId="2A4E9E30" w14:textId="257EE185" w:rsidR="00990A75" w:rsidRPr="00CC7E17" w:rsidRDefault="00DF29B4" w:rsidP="0009624B">
      <w:pPr>
        <w:pStyle w:val="Heading3"/>
        <w:spacing w:line="360" w:lineRule="auto"/>
        <w:rPr>
          <w:rFonts w:ascii="Arial" w:hAnsi="Arial" w:cs="Arial"/>
        </w:rPr>
      </w:pPr>
      <w:bookmarkStart w:id="37" w:name="_Toc286437126"/>
      <w:r w:rsidRPr="00CC7E17">
        <w:rPr>
          <w:rFonts w:ascii="Arial" w:hAnsi="Arial" w:cs="Arial"/>
        </w:rPr>
        <w:t>Time required to extract data from one article – Paper Based Process</w:t>
      </w:r>
      <w:bookmarkEnd w:id="37"/>
    </w:p>
    <w:p w14:paraId="040E74D5" w14:textId="0C739884" w:rsidR="002C7D28" w:rsidRPr="00CC7E17" w:rsidRDefault="00DF29B4" w:rsidP="0009624B">
      <w:pPr>
        <w:pStyle w:val="Body"/>
        <w:spacing w:line="360" w:lineRule="auto"/>
        <w:rPr>
          <w:rFonts w:ascii="Arial" w:hAnsi="Arial" w:cs="Arial"/>
          <w:sz w:val="24"/>
          <w:szCs w:val="24"/>
          <w:lang w:val="en-US"/>
        </w:rPr>
      </w:pPr>
      <w:r w:rsidRPr="00CC7E17">
        <w:rPr>
          <w:rFonts w:ascii="Arial" w:hAnsi="Arial" w:cs="Arial"/>
          <w:sz w:val="24"/>
          <w:szCs w:val="24"/>
          <w:lang w:val="en-US"/>
        </w:rPr>
        <w:t>The next outcome of interest for this study was the amount of time required</w:t>
      </w:r>
      <w:r w:rsidR="00792C32">
        <w:rPr>
          <w:rFonts w:ascii="Arial" w:hAnsi="Arial" w:cs="Arial"/>
          <w:sz w:val="24"/>
          <w:szCs w:val="24"/>
          <w:lang w:val="en-US"/>
        </w:rPr>
        <w:t xml:space="preserve">, </w:t>
      </w:r>
      <w:r w:rsidR="00E07E27">
        <w:rPr>
          <w:rFonts w:ascii="Arial" w:hAnsi="Arial" w:cs="Arial"/>
          <w:sz w:val="24"/>
          <w:szCs w:val="24"/>
          <w:lang w:val="en-US"/>
        </w:rPr>
        <w:t>on average</w:t>
      </w:r>
      <w:r w:rsidR="00792C32">
        <w:rPr>
          <w:rFonts w:ascii="Arial" w:hAnsi="Arial" w:cs="Arial"/>
          <w:sz w:val="24"/>
          <w:szCs w:val="24"/>
          <w:lang w:val="en-US"/>
        </w:rPr>
        <w:t>,</w:t>
      </w:r>
      <w:r w:rsidRPr="00CC7E17">
        <w:rPr>
          <w:rFonts w:ascii="Arial" w:hAnsi="Arial" w:cs="Arial"/>
          <w:sz w:val="24"/>
          <w:szCs w:val="24"/>
          <w:lang w:val="en-US"/>
        </w:rPr>
        <w:t xml:space="preserve"> to extract data from one article. In 2012, after building a test set of articles, extraction was attempted using a paper-based system. The extraction process was timed for a random sample of these for</w:t>
      </w:r>
      <w:r w:rsidR="00DD2E00" w:rsidRPr="00CC7E17">
        <w:rPr>
          <w:rFonts w:ascii="Arial" w:hAnsi="Arial" w:cs="Arial"/>
          <w:sz w:val="24"/>
          <w:szCs w:val="24"/>
          <w:lang w:val="en-US"/>
        </w:rPr>
        <w:t xml:space="preserve"> </w:t>
      </w:r>
      <w:r w:rsidRPr="00CC7E17">
        <w:rPr>
          <w:rFonts w:ascii="Arial" w:hAnsi="Arial" w:cs="Arial"/>
          <w:sz w:val="24"/>
          <w:szCs w:val="24"/>
          <w:lang w:val="en-US"/>
        </w:rPr>
        <w:t>analysis. It was the initial intention</w:t>
      </w:r>
      <w:r w:rsidR="007964C0" w:rsidRPr="00CC7E17">
        <w:rPr>
          <w:rFonts w:ascii="Arial" w:hAnsi="Arial" w:cs="Arial"/>
          <w:sz w:val="24"/>
          <w:szCs w:val="24"/>
          <w:lang w:val="en-US"/>
        </w:rPr>
        <w:t xml:space="preserve"> of the current study</w:t>
      </w:r>
      <w:r w:rsidRPr="00CC7E17">
        <w:rPr>
          <w:rFonts w:ascii="Arial" w:hAnsi="Arial" w:cs="Arial"/>
          <w:sz w:val="24"/>
          <w:szCs w:val="24"/>
          <w:lang w:val="en-US"/>
        </w:rPr>
        <w:t xml:space="preserve"> to compare and contrast the times from the 2012 study with the current </w:t>
      </w:r>
      <w:r w:rsidR="007964C0" w:rsidRPr="00CC7E17">
        <w:rPr>
          <w:rFonts w:ascii="Arial" w:hAnsi="Arial" w:cs="Arial"/>
          <w:sz w:val="24"/>
          <w:szCs w:val="24"/>
          <w:lang w:val="en-US"/>
        </w:rPr>
        <w:t xml:space="preserve">study’s </w:t>
      </w:r>
      <w:r w:rsidRPr="00CC7E17">
        <w:rPr>
          <w:rFonts w:ascii="Arial" w:hAnsi="Arial" w:cs="Arial"/>
          <w:sz w:val="24"/>
          <w:szCs w:val="24"/>
          <w:lang w:val="en-US"/>
        </w:rPr>
        <w:t xml:space="preserve">results using MacPrognosis to determine if time </w:t>
      </w:r>
      <w:r w:rsidR="00501736" w:rsidRPr="00CC7E17">
        <w:rPr>
          <w:rFonts w:ascii="Arial" w:hAnsi="Arial" w:cs="Arial"/>
          <w:sz w:val="24"/>
          <w:szCs w:val="24"/>
          <w:lang w:val="en-US"/>
        </w:rPr>
        <w:t>could potentially be</w:t>
      </w:r>
      <w:r w:rsidRPr="00CC7E17">
        <w:rPr>
          <w:rFonts w:ascii="Arial" w:hAnsi="Arial" w:cs="Arial"/>
          <w:sz w:val="24"/>
          <w:szCs w:val="24"/>
          <w:lang w:val="en-US"/>
        </w:rPr>
        <w:t xml:space="preserve"> saved. Unfortunately, the timing process differed significantly between the 2012 study and the current study.</w:t>
      </w:r>
      <w:r w:rsidR="00C226BF">
        <w:rPr>
          <w:rFonts w:ascii="Arial" w:hAnsi="Arial" w:cs="Arial"/>
          <w:sz w:val="24"/>
          <w:szCs w:val="24"/>
          <w:lang w:val="en-US"/>
        </w:rPr>
        <w:t xml:space="preserve"> The feasibility study was timed solely on the basis of filling in the paper-based form, while the current study was timed from the moment that the paper was selected until the time the data was submitted to the database.</w:t>
      </w:r>
      <w:r w:rsidRPr="00CC7E17">
        <w:rPr>
          <w:rFonts w:ascii="Arial" w:hAnsi="Arial" w:cs="Arial"/>
          <w:sz w:val="24"/>
          <w:szCs w:val="24"/>
          <w:lang w:val="en-US"/>
        </w:rPr>
        <w:t xml:space="preserve"> </w:t>
      </w:r>
      <w:r w:rsidR="00501736" w:rsidRPr="00CC7E17">
        <w:rPr>
          <w:rFonts w:ascii="Arial" w:hAnsi="Arial" w:cs="Arial"/>
          <w:sz w:val="24"/>
          <w:szCs w:val="24"/>
          <w:lang w:val="en-US"/>
        </w:rPr>
        <w:t>T</w:t>
      </w:r>
      <w:r w:rsidRPr="00CC7E17">
        <w:rPr>
          <w:rFonts w:ascii="Arial" w:hAnsi="Arial" w:cs="Arial"/>
          <w:sz w:val="24"/>
          <w:szCs w:val="24"/>
          <w:lang w:val="en-US"/>
        </w:rPr>
        <w:t xml:space="preserve">o ensure similar methods for timing, a random sample of articles were extracted utilizing similar methods to those used for the timing of the extraction process utilizing MacPrognosis. </w:t>
      </w:r>
      <w:r w:rsidR="007964C0" w:rsidRPr="009E57CF">
        <w:rPr>
          <w:rFonts w:ascii="Arial" w:hAnsi="Arial" w:cs="Arial"/>
          <w:sz w:val="24"/>
          <w:szCs w:val="24"/>
          <w:lang w:val="en-US"/>
        </w:rPr>
        <w:t>The time required to extract baseline risk information from an article using the paper-based process,</w:t>
      </w:r>
      <w:r w:rsidR="00A50237">
        <w:rPr>
          <w:rFonts w:ascii="Arial" w:hAnsi="Arial" w:cs="Arial"/>
          <w:sz w:val="24"/>
          <w:szCs w:val="24"/>
          <w:lang w:val="en-US"/>
        </w:rPr>
        <w:t xml:space="preserve"> </w:t>
      </w:r>
      <w:r w:rsidR="007964C0" w:rsidRPr="009E57CF">
        <w:rPr>
          <w:rFonts w:ascii="Arial" w:hAnsi="Arial" w:cs="Arial"/>
          <w:sz w:val="24"/>
          <w:szCs w:val="24"/>
          <w:lang w:val="en-US"/>
        </w:rPr>
        <w:t xml:space="preserve">from selection to </w:t>
      </w:r>
      <w:r w:rsidR="00C226BF">
        <w:rPr>
          <w:rFonts w:ascii="Arial" w:hAnsi="Arial" w:cs="Arial"/>
          <w:sz w:val="24"/>
          <w:szCs w:val="24"/>
          <w:lang w:val="en-US"/>
        </w:rPr>
        <w:t>submission</w:t>
      </w:r>
      <w:r w:rsidR="007964C0" w:rsidRPr="009E57CF">
        <w:rPr>
          <w:rFonts w:ascii="Arial" w:hAnsi="Arial" w:cs="Arial"/>
          <w:sz w:val="24"/>
          <w:szCs w:val="24"/>
          <w:lang w:val="en-US"/>
        </w:rPr>
        <w:t>, are shown below</w:t>
      </w:r>
      <w:r w:rsidR="00E54AE4" w:rsidRPr="00CC7E17">
        <w:rPr>
          <w:rFonts w:ascii="Arial" w:hAnsi="Arial" w:cs="Arial"/>
          <w:sz w:val="24"/>
          <w:szCs w:val="24"/>
          <w:lang w:val="en-US"/>
        </w:rPr>
        <w:t xml:space="preserve"> in Table 3</w:t>
      </w:r>
      <w:r w:rsidR="007964C0" w:rsidRPr="009E57CF">
        <w:rPr>
          <w:rFonts w:ascii="Arial" w:hAnsi="Arial" w:cs="Arial"/>
          <w:sz w:val="24"/>
          <w:szCs w:val="24"/>
          <w:lang w:val="en-US"/>
        </w:rPr>
        <w:t>:</w:t>
      </w:r>
    </w:p>
    <w:p w14:paraId="168874ED" w14:textId="77777777" w:rsidR="00DF29B4" w:rsidRPr="00CC7E17" w:rsidRDefault="00DF29B4" w:rsidP="0009624B">
      <w:pPr>
        <w:pStyle w:val="Body"/>
        <w:spacing w:line="360" w:lineRule="auto"/>
        <w:rPr>
          <w:rFonts w:ascii="Arial" w:eastAsia="Arial" w:hAnsi="Arial" w:cs="Arial"/>
          <w:sz w:val="24"/>
          <w:szCs w:val="24"/>
        </w:rPr>
      </w:pPr>
    </w:p>
    <w:p w14:paraId="28560CDF" w14:textId="70DD2262" w:rsidR="00501736" w:rsidRPr="009E57CF" w:rsidRDefault="003616E0" w:rsidP="00501736">
      <w:pPr>
        <w:pStyle w:val="Caption"/>
        <w:spacing w:line="360" w:lineRule="auto"/>
        <w:rPr>
          <w:rFonts w:ascii="Arial" w:eastAsia="Arial" w:hAnsi="Arial" w:cs="Arial"/>
          <w:sz w:val="24"/>
          <w:szCs w:val="24"/>
        </w:rPr>
      </w:pPr>
      <w:bookmarkStart w:id="38" w:name="_Toc290901852"/>
      <w:r w:rsidRPr="009E57CF">
        <w:rPr>
          <w:rFonts w:ascii="Arial" w:hAnsi="Arial" w:cs="Arial"/>
          <w:sz w:val="24"/>
          <w:szCs w:val="24"/>
        </w:rPr>
        <w:t xml:space="preserve">Table </w:t>
      </w:r>
      <w:r w:rsidRPr="009E57CF">
        <w:rPr>
          <w:rFonts w:ascii="Arial" w:hAnsi="Arial" w:cs="Arial"/>
          <w:sz w:val="24"/>
          <w:szCs w:val="24"/>
        </w:rPr>
        <w:fldChar w:fldCharType="begin"/>
      </w:r>
      <w:r w:rsidRPr="009E57CF">
        <w:rPr>
          <w:rFonts w:ascii="Arial" w:hAnsi="Arial" w:cs="Arial"/>
          <w:sz w:val="24"/>
          <w:szCs w:val="24"/>
        </w:rPr>
        <w:instrText xml:space="preserve"> SEQ Table \* ARABIC </w:instrText>
      </w:r>
      <w:r w:rsidRPr="009E57CF">
        <w:rPr>
          <w:rFonts w:ascii="Arial" w:hAnsi="Arial" w:cs="Arial"/>
          <w:sz w:val="24"/>
          <w:szCs w:val="24"/>
        </w:rPr>
        <w:fldChar w:fldCharType="separate"/>
      </w:r>
      <w:r w:rsidRPr="009E57CF">
        <w:rPr>
          <w:rFonts w:ascii="Arial" w:hAnsi="Arial" w:cs="Arial"/>
          <w:noProof/>
          <w:sz w:val="24"/>
          <w:szCs w:val="24"/>
        </w:rPr>
        <w:t>3</w:t>
      </w:r>
      <w:r w:rsidRPr="009E57CF">
        <w:rPr>
          <w:rFonts w:ascii="Arial" w:hAnsi="Arial" w:cs="Arial"/>
          <w:sz w:val="24"/>
          <w:szCs w:val="24"/>
        </w:rPr>
        <w:fldChar w:fldCharType="end"/>
      </w:r>
      <w:r w:rsidR="00501736" w:rsidRPr="009E57CF">
        <w:rPr>
          <w:rFonts w:ascii="Arial" w:hAnsi="Arial" w:cs="Arial"/>
          <w:sz w:val="24"/>
          <w:szCs w:val="24"/>
        </w:rPr>
        <w:t>: Time required to extract baseline information utilizing paper- based extraction process</w:t>
      </w:r>
      <w:bookmarkEnd w:id="38"/>
      <w:r w:rsidR="00501736" w:rsidRPr="009E57CF">
        <w:rPr>
          <w:rFonts w:ascii="Arial" w:hAnsi="Arial" w:cs="Arial"/>
          <w:sz w:val="24"/>
          <w:szCs w:val="24"/>
        </w:rPr>
        <w:t xml:space="preserve"> </w:t>
      </w:r>
    </w:p>
    <w:p w14:paraId="39A4CE65" w14:textId="77777777" w:rsidR="002C7D28" w:rsidRPr="00CC7E17" w:rsidRDefault="002C7D28" w:rsidP="0009624B">
      <w:pPr>
        <w:pStyle w:val="Body"/>
        <w:spacing w:line="360" w:lineRule="auto"/>
        <w:rPr>
          <w:rFonts w:ascii="Arial" w:eastAsia="Arial" w:hAnsi="Arial" w:cs="Arial"/>
        </w:rPr>
      </w:pPr>
    </w:p>
    <w:tbl>
      <w:tblPr>
        <w:tblW w:w="86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329"/>
        <w:gridCol w:w="4329"/>
      </w:tblGrid>
      <w:tr w:rsidR="002C7D28" w:rsidRPr="00CC7E17" w14:paraId="0909611C" w14:textId="77777777" w:rsidTr="00F07FB0">
        <w:trPr>
          <w:trHeight w:val="279"/>
          <w:tblHeader/>
        </w:trPr>
        <w:tc>
          <w:tcPr>
            <w:tcW w:w="432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28EC951" w14:textId="77777777" w:rsidR="002C7D28" w:rsidRPr="00CC7E17" w:rsidRDefault="002C7D28" w:rsidP="0009624B">
            <w:pPr>
              <w:pStyle w:val="TableStyle1"/>
              <w:spacing w:line="360" w:lineRule="auto"/>
              <w:rPr>
                <w:rFonts w:ascii="Arial" w:hAnsi="Arial" w:cs="Arial"/>
              </w:rPr>
            </w:pPr>
            <w:r w:rsidRPr="006401AD">
              <w:rPr>
                <w:rFonts w:ascii="Arial" w:eastAsia="Arial Unicode MS" w:hAnsi="Arial" w:cs="Arial"/>
              </w:rPr>
              <w:t xml:space="preserve">Article </w:t>
            </w:r>
          </w:p>
        </w:tc>
        <w:tc>
          <w:tcPr>
            <w:tcW w:w="432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ACDECFC" w14:textId="77777777" w:rsidR="002C7D28" w:rsidRPr="00CC7E17" w:rsidRDefault="002C7D28" w:rsidP="0009624B">
            <w:pPr>
              <w:pStyle w:val="TableStyle1"/>
              <w:spacing w:line="360" w:lineRule="auto"/>
              <w:rPr>
                <w:rFonts w:ascii="Arial" w:hAnsi="Arial" w:cs="Arial"/>
              </w:rPr>
            </w:pPr>
            <w:r w:rsidRPr="00CC7E17">
              <w:rPr>
                <w:rFonts w:ascii="Arial" w:eastAsia="Arial Unicode MS" w:hAnsi="Arial" w:cs="Arial"/>
              </w:rPr>
              <w:t>Time required</w:t>
            </w:r>
          </w:p>
        </w:tc>
      </w:tr>
      <w:tr w:rsidR="002C7D28" w:rsidRPr="00CC7E17" w14:paraId="33EF93DA" w14:textId="77777777" w:rsidTr="00F07FB0">
        <w:tblPrEx>
          <w:shd w:val="clear" w:color="auto" w:fill="auto"/>
        </w:tblPrEx>
        <w:trPr>
          <w:trHeight w:val="279"/>
        </w:trPr>
        <w:tc>
          <w:tcPr>
            <w:tcW w:w="4329"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7DF2652" w14:textId="77777777" w:rsidR="002C7D28" w:rsidRPr="00CC7E17" w:rsidRDefault="002C7D28" w:rsidP="0009624B">
            <w:pPr>
              <w:pStyle w:val="TableStyle1"/>
              <w:spacing w:line="360" w:lineRule="auto"/>
              <w:rPr>
                <w:rFonts w:ascii="Arial" w:hAnsi="Arial" w:cs="Arial"/>
              </w:rPr>
            </w:pPr>
            <w:r w:rsidRPr="00CC7E17">
              <w:rPr>
                <w:rFonts w:ascii="Arial" w:eastAsia="Arial Unicode MS" w:hAnsi="Arial" w:cs="Arial"/>
              </w:rPr>
              <w:t>Article 1</w:t>
            </w:r>
          </w:p>
        </w:tc>
        <w:tc>
          <w:tcPr>
            <w:tcW w:w="4329"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6CDE5A3" w14:textId="77777777" w:rsidR="002C7D28" w:rsidRPr="00CC7E17" w:rsidRDefault="002C7D28" w:rsidP="0009624B">
            <w:pPr>
              <w:pStyle w:val="TableStyle2"/>
              <w:spacing w:line="360" w:lineRule="auto"/>
              <w:rPr>
                <w:rFonts w:ascii="Arial" w:hAnsi="Arial" w:cs="Arial"/>
              </w:rPr>
            </w:pPr>
            <w:r w:rsidRPr="006401AD">
              <w:rPr>
                <w:rFonts w:ascii="Arial" w:eastAsia="Arial Unicode MS" w:hAnsi="Arial" w:cs="Arial"/>
              </w:rPr>
              <w:t>15 minutes</w:t>
            </w:r>
          </w:p>
        </w:tc>
      </w:tr>
      <w:tr w:rsidR="002C7D28" w:rsidRPr="00CC7E17" w14:paraId="52C7BF19" w14:textId="77777777" w:rsidTr="00F07FB0">
        <w:tblPrEx>
          <w:shd w:val="clear" w:color="auto" w:fill="auto"/>
        </w:tblPrEx>
        <w:trPr>
          <w:trHeight w:val="279"/>
        </w:trPr>
        <w:tc>
          <w:tcPr>
            <w:tcW w:w="432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907F2C8" w14:textId="77777777" w:rsidR="002C7D28" w:rsidRPr="00CC7E17" w:rsidRDefault="002C7D28" w:rsidP="0009624B">
            <w:pPr>
              <w:pStyle w:val="TableStyle1"/>
              <w:spacing w:line="360" w:lineRule="auto"/>
              <w:rPr>
                <w:rFonts w:ascii="Arial" w:hAnsi="Arial" w:cs="Arial"/>
              </w:rPr>
            </w:pPr>
            <w:r w:rsidRPr="00CC7E17">
              <w:rPr>
                <w:rFonts w:ascii="Arial" w:eastAsia="Arial Unicode MS" w:hAnsi="Arial" w:cs="Arial"/>
              </w:rPr>
              <w:t>Article 2</w:t>
            </w:r>
          </w:p>
        </w:tc>
        <w:tc>
          <w:tcPr>
            <w:tcW w:w="432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0F99B4E" w14:textId="77777777" w:rsidR="002C7D28" w:rsidRPr="00CC7E17" w:rsidRDefault="002C7D28" w:rsidP="0009624B">
            <w:pPr>
              <w:pStyle w:val="TableStyle2"/>
              <w:spacing w:line="360" w:lineRule="auto"/>
              <w:rPr>
                <w:rFonts w:ascii="Arial" w:hAnsi="Arial" w:cs="Arial"/>
              </w:rPr>
            </w:pPr>
            <w:r w:rsidRPr="006401AD">
              <w:rPr>
                <w:rFonts w:ascii="Arial" w:eastAsia="Arial Unicode MS" w:hAnsi="Arial" w:cs="Arial"/>
              </w:rPr>
              <w:t xml:space="preserve">24 minutes </w:t>
            </w:r>
          </w:p>
        </w:tc>
      </w:tr>
      <w:tr w:rsidR="002C7D28" w:rsidRPr="00CC7E17" w14:paraId="36199AEB" w14:textId="77777777" w:rsidTr="00F07FB0">
        <w:tblPrEx>
          <w:shd w:val="clear" w:color="auto" w:fill="auto"/>
        </w:tblPrEx>
        <w:trPr>
          <w:trHeight w:val="279"/>
        </w:trPr>
        <w:tc>
          <w:tcPr>
            <w:tcW w:w="432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3FB1206" w14:textId="77777777" w:rsidR="002C7D28" w:rsidRPr="00CC7E17" w:rsidRDefault="002C7D28" w:rsidP="0009624B">
            <w:pPr>
              <w:pStyle w:val="TableStyle1"/>
              <w:spacing w:line="360" w:lineRule="auto"/>
              <w:rPr>
                <w:rFonts w:ascii="Arial" w:hAnsi="Arial" w:cs="Arial"/>
              </w:rPr>
            </w:pPr>
            <w:r w:rsidRPr="00CC7E17">
              <w:rPr>
                <w:rFonts w:ascii="Arial" w:eastAsia="Arial Unicode MS" w:hAnsi="Arial" w:cs="Arial"/>
              </w:rPr>
              <w:t>Article 3</w:t>
            </w:r>
          </w:p>
        </w:tc>
        <w:tc>
          <w:tcPr>
            <w:tcW w:w="43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1EF5841" w14:textId="77777777" w:rsidR="002C7D28" w:rsidRPr="00CC7E17" w:rsidRDefault="002C7D28" w:rsidP="0009624B">
            <w:pPr>
              <w:pStyle w:val="TableStyle2"/>
              <w:spacing w:line="360" w:lineRule="auto"/>
              <w:rPr>
                <w:rFonts w:ascii="Arial" w:hAnsi="Arial" w:cs="Arial"/>
              </w:rPr>
            </w:pPr>
            <w:r w:rsidRPr="006401AD">
              <w:rPr>
                <w:rFonts w:ascii="Arial" w:eastAsia="Arial Unicode MS" w:hAnsi="Arial" w:cs="Arial"/>
              </w:rPr>
              <w:t>19 minutes</w:t>
            </w:r>
          </w:p>
        </w:tc>
      </w:tr>
      <w:tr w:rsidR="002C7D28" w:rsidRPr="00CC7E17" w14:paraId="01F797E5" w14:textId="77777777" w:rsidTr="00F07FB0">
        <w:tblPrEx>
          <w:shd w:val="clear" w:color="auto" w:fill="auto"/>
        </w:tblPrEx>
        <w:trPr>
          <w:trHeight w:val="279"/>
        </w:trPr>
        <w:tc>
          <w:tcPr>
            <w:tcW w:w="432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F58F307" w14:textId="77777777" w:rsidR="002C7D28" w:rsidRPr="00CC7E17" w:rsidRDefault="002C7D28" w:rsidP="0009624B">
            <w:pPr>
              <w:pStyle w:val="TableStyle1"/>
              <w:spacing w:line="360" w:lineRule="auto"/>
              <w:rPr>
                <w:rFonts w:ascii="Arial" w:hAnsi="Arial" w:cs="Arial"/>
              </w:rPr>
            </w:pPr>
            <w:r w:rsidRPr="00CC7E17">
              <w:rPr>
                <w:rFonts w:ascii="Arial" w:eastAsia="Arial Unicode MS" w:hAnsi="Arial" w:cs="Arial"/>
              </w:rPr>
              <w:t xml:space="preserve">Article 4 </w:t>
            </w:r>
          </w:p>
        </w:tc>
        <w:tc>
          <w:tcPr>
            <w:tcW w:w="432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2701C39" w14:textId="77777777" w:rsidR="002C7D28" w:rsidRPr="00CC7E17" w:rsidRDefault="002C7D28" w:rsidP="0009624B">
            <w:pPr>
              <w:pStyle w:val="TableStyle2"/>
              <w:spacing w:line="360" w:lineRule="auto"/>
              <w:rPr>
                <w:rFonts w:ascii="Arial" w:hAnsi="Arial" w:cs="Arial"/>
              </w:rPr>
            </w:pPr>
            <w:r w:rsidRPr="006401AD">
              <w:rPr>
                <w:rFonts w:ascii="Arial" w:eastAsia="Arial Unicode MS" w:hAnsi="Arial" w:cs="Arial"/>
              </w:rPr>
              <w:t>11 minutes</w:t>
            </w:r>
          </w:p>
        </w:tc>
      </w:tr>
      <w:tr w:rsidR="002C7D28" w:rsidRPr="00CC7E17" w14:paraId="3F8B3935" w14:textId="77777777" w:rsidTr="00F07FB0">
        <w:tblPrEx>
          <w:shd w:val="clear" w:color="auto" w:fill="auto"/>
        </w:tblPrEx>
        <w:trPr>
          <w:trHeight w:val="279"/>
        </w:trPr>
        <w:tc>
          <w:tcPr>
            <w:tcW w:w="432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28ACFDC" w14:textId="77777777" w:rsidR="002C7D28" w:rsidRPr="00CC7E17" w:rsidRDefault="002C7D28" w:rsidP="0009624B">
            <w:pPr>
              <w:pStyle w:val="TableStyle1"/>
              <w:spacing w:line="360" w:lineRule="auto"/>
              <w:rPr>
                <w:rFonts w:ascii="Arial" w:hAnsi="Arial" w:cs="Arial"/>
              </w:rPr>
            </w:pPr>
            <w:r w:rsidRPr="00CC7E17">
              <w:rPr>
                <w:rFonts w:ascii="Arial" w:eastAsia="Arial Unicode MS" w:hAnsi="Arial" w:cs="Arial"/>
              </w:rPr>
              <w:t>Article 5</w:t>
            </w:r>
          </w:p>
        </w:tc>
        <w:tc>
          <w:tcPr>
            <w:tcW w:w="432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254F015" w14:textId="77777777" w:rsidR="002C7D28" w:rsidRPr="00CC7E17" w:rsidRDefault="002C7D28" w:rsidP="0009624B">
            <w:pPr>
              <w:pStyle w:val="TableStyle2"/>
              <w:spacing w:line="360" w:lineRule="auto"/>
              <w:rPr>
                <w:rFonts w:ascii="Arial" w:hAnsi="Arial" w:cs="Arial"/>
              </w:rPr>
            </w:pPr>
            <w:r w:rsidRPr="006401AD">
              <w:rPr>
                <w:rFonts w:ascii="Arial" w:eastAsia="Arial Unicode MS" w:hAnsi="Arial" w:cs="Arial"/>
              </w:rPr>
              <w:t xml:space="preserve">9 minutes </w:t>
            </w:r>
          </w:p>
        </w:tc>
      </w:tr>
      <w:tr w:rsidR="002C7D28" w:rsidRPr="00CC7E17" w14:paraId="2BEA0D32" w14:textId="77777777" w:rsidTr="00F07FB0">
        <w:tblPrEx>
          <w:shd w:val="clear" w:color="auto" w:fill="auto"/>
        </w:tblPrEx>
        <w:trPr>
          <w:trHeight w:val="279"/>
        </w:trPr>
        <w:tc>
          <w:tcPr>
            <w:tcW w:w="432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B1E8F87" w14:textId="77777777" w:rsidR="002C7D28" w:rsidRPr="00CC7E17" w:rsidRDefault="002C7D28" w:rsidP="0009624B">
            <w:pPr>
              <w:pStyle w:val="TableStyle1"/>
              <w:spacing w:line="360" w:lineRule="auto"/>
              <w:rPr>
                <w:rFonts w:ascii="Arial" w:hAnsi="Arial" w:cs="Arial"/>
              </w:rPr>
            </w:pPr>
            <w:r w:rsidRPr="00CC7E17">
              <w:rPr>
                <w:rFonts w:ascii="Arial" w:eastAsia="Arial Unicode MS" w:hAnsi="Arial" w:cs="Arial"/>
              </w:rPr>
              <w:t xml:space="preserve">Average Time Required </w:t>
            </w:r>
          </w:p>
        </w:tc>
        <w:tc>
          <w:tcPr>
            <w:tcW w:w="432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E750FC0" w14:textId="77777777" w:rsidR="002C7D28" w:rsidRPr="00CC7E17" w:rsidRDefault="002C7D28" w:rsidP="0009624B">
            <w:pPr>
              <w:pStyle w:val="TableStyle2"/>
              <w:spacing w:line="360" w:lineRule="auto"/>
              <w:rPr>
                <w:rFonts w:ascii="Arial" w:hAnsi="Arial" w:cs="Arial"/>
              </w:rPr>
            </w:pPr>
            <w:r w:rsidRPr="006401AD">
              <w:rPr>
                <w:rFonts w:ascii="Arial" w:eastAsia="Arial Unicode MS" w:hAnsi="Arial" w:cs="Arial"/>
              </w:rPr>
              <w:t xml:space="preserve">15.8 minutes </w:t>
            </w:r>
          </w:p>
        </w:tc>
      </w:tr>
    </w:tbl>
    <w:p w14:paraId="663ACE25" w14:textId="77777777" w:rsidR="00DF29B4" w:rsidRPr="00CC7E17" w:rsidRDefault="00DF29B4" w:rsidP="0009624B">
      <w:pPr>
        <w:pStyle w:val="Body"/>
        <w:spacing w:line="360" w:lineRule="auto"/>
        <w:rPr>
          <w:rFonts w:ascii="Arial" w:hAnsi="Arial" w:cs="Arial"/>
          <w:b/>
          <w:bCs/>
          <w:u w:val="single"/>
          <w:lang w:val="en-US"/>
        </w:rPr>
      </w:pPr>
    </w:p>
    <w:p w14:paraId="0F9E7D97" w14:textId="41A83997" w:rsidR="00DF29B4" w:rsidRPr="00CC7E17" w:rsidRDefault="00DF29B4" w:rsidP="0009624B">
      <w:pPr>
        <w:pStyle w:val="Heading3"/>
        <w:spacing w:line="360" w:lineRule="auto"/>
        <w:rPr>
          <w:rFonts w:ascii="Arial" w:hAnsi="Arial" w:cs="Arial"/>
        </w:rPr>
      </w:pPr>
      <w:bookmarkStart w:id="39" w:name="_Toc286437127"/>
      <w:r w:rsidRPr="00CC7E17">
        <w:rPr>
          <w:rFonts w:ascii="Arial" w:hAnsi="Arial" w:cs="Arial"/>
        </w:rPr>
        <w:t xml:space="preserve">Time required to extract data from one article – </w:t>
      </w:r>
      <w:r w:rsidR="005965AF">
        <w:rPr>
          <w:rFonts w:ascii="Arial" w:hAnsi="Arial" w:cs="Arial"/>
        </w:rPr>
        <w:t>e</w:t>
      </w:r>
      <w:r w:rsidR="004959B9">
        <w:rPr>
          <w:rFonts w:ascii="Arial" w:hAnsi="Arial" w:cs="Arial"/>
        </w:rPr>
        <w:t>Form-based</w:t>
      </w:r>
      <w:r w:rsidRPr="00CC7E17">
        <w:rPr>
          <w:rFonts w:ascii="Arial" w:hAnsi="Arial" w:cs="Arial"/>
        </w:rPr>
        <w:t xml:space="preserve"> Process</w:t>
      </w:r>
      <w:bookmarkEnd w:id="39"/>
    </w:p>
    <w:p w14:paraId="79034DC9" w14:textId="7206A303" w:rsidR="00DF29B4" w:rsidRPr="00ED7C8D" w:rsidRDefault="00DF29B4" w:rsidP="0009624B">
      <w:pPr>
        <w:pStyle w:val="Body"/>
        <w:spacing w:line="360" w:lineRule="auto"/>
        <w:rPr>
          <w:rFonts w:ascii="Arial" w:eastAsia="Arial" w:hAnsi="Arial" w:cs="Arial"/>
          <w:sz w:val="24"/>
          <w:szCs w:val="24"/>
        </w:rPr>
      </w:pPr>
      <w:r w:rsidRPr="00ED7C8D">
        <w:rPr>
          <w:rFonts w:ascii="Arial" w:hAnsi="Arial" w:cs="Arial"/>
          <w:sz w:val="24"/>
          <w:szCs w:val="24"/>
          <w:lang w:val="en-US"/>
        </w:rPr>
        <w:t xml:space="preserve">To </w:t>
      </w:r>
      <w:r w:rsidR="007964C0" w:rsidRPr="00ED7C8D">
        <w:rPr>
          <w:rFonts w:ascii="Arial" w:hAnsi="Arial" w:cs="Arial"/>
          <w:sz w:val="24"/>
          <w:szCs w:val="24"/>
          <w:lang w:val="en-US"/>
        </w:rPr>
        <w:t xml:space="preserve">compare the amount of time required to extract baseline risk information between the paper-based and </w:t>
      </w:r>
      <w:r w:rsidR="00EE02D4" w:rsidRPr="00ED7C8D">
        <w:rPr>
          <w:rFonts w:ascii="Arial" w:hAnsi="Arial" w:cs="Arial"/>
          <w:sz w:val="24"/>
          <w:szCs w:val="24"/>
          <w:lang w:val="en-US"/>
        </w:rPr>
        <w:t>eForm-based</w:t>
      </w:r>
      <w:r w:rsidR="007964C0" w:rsidRPr="00ED7C8D">
        <w:rPr>
          <w:rFonts w:ascii="Arial" w:hAnsi="Arial" w:cs="Arial"/>
          <w:sz w:val="24"/>
          <w:szCs w:val="24"/>
          <w:lang w:val="en-US"/>
        </w:rPr>
        <w:t xml:space="preserve"> process, 10 papers from the test set of </w:t>
      </w:r>
      <w:r w:rsidR="00501736" w:rsidRPr="00ED7C8D">
        <w:rPr>
          <w:rFonts w:ascii="Arial" w:hAnsi="Arial" w:cs="Arial"/>
          <w:sz w:val="24"/>
          <w:szCs w:val="24"/>
          <w:lang w:val="en-US"/>
        </w:rPr>
        <w:t>656</w:t>
      </w:r>
      <w:r w:rsidR="007964C0" w:rsidRPr="00ED7C8D">
        <w:rPr>
          <w:rFonts w:ascii="Arial" w:hAnsi="Arial" w:cs="Arial"/>
          <w:sz w:val="24"/>
          <w:szCs w:val="24"/>
          <w:lang w:val="en-US"/>
        </w:rPr>
        <w:t xml:space="preserve"> articles were chosen at random for timing of the extraction process. The time required to extract baseline risk information from an article using MacPrognosis, from selection to </w:t>
      </w:r>
      <w:r w:rsidR="00260290">
        <w:rPr>
          <w:rFonts w:ascii="Arial" w:hAnsi="Arial" w:cs="Arial"/>
          <w:sz w:val="24"/>
          <w:szCs w:val="24"/>
          <w:lang w:val="en-US"/>
        </w:rPr>
        <w:t>submission to the database</w:t>
      </w:r>
      <w:r w:rsidR="007964C0" w:rsidRPr="00ED7C8D">
        <w:rPr>
          <w:rFonts w:ascii="Arial" w:hAnsi="Arial" w:cs="Arial"/>
          <w:sz w:val="24"/>
          <w:szCs w:val="24"/>
          <w:lang w:val="en-US"/>
        </w:rPr>
        <w:t>, are shown below:</w:t>
      </w:r>
      <w:r w:rsidRPr="00ED7C8D">
        <w:rPr>
          <w:rFonts w:ascii="Arial" w:hAnsi="Arial" w:cs="Arial"/>
          <w:sz w:val="24"/>
          <w:szCs w:val="24"/>
          <w:lang w:val="en-US"/>
        </w:rPr>
        <w:t xml:space="preserve"> </w:t>
      </w:r>
    </w:p>
    <w:p w14:paraId="1E1A3873" w14:textId="77777777" w:rsidR="000734C4" w:rsidRPr="00CC7E17" w:rsidRDefault="000734C4" w:rsidP="00501736">
      <w:pPr>
        <w:pStyle w:val="Caption"/>
        <w:spacing w:line="360" w:lineRule="auto"/>
        <w:rPr>
          <w:rFonts w:ascii="Arial" w:hAnsi="Arial" w:cs="Arial"/>
          <w:sz w:val="24"/>
          <w:szCs w:val="24"/>
        </w:rPr>
      </w:pPr>
    </w:p>
    <w:p w14:paraId="684EC26C" w14:textId="03A8AF3E" w:rsidR="00501736" w:rsidRPr="00CC7E17" w:rsidRDefault="003616E0" w:rsidP="00501736">
      <w:pPr>
        <w:pStyle w:val="Caption"/>
        <w:spacing w:line="360" w:lineRule="auto"/>
        <w:rPr>
          <w:rFonts w:ascii="Arial" w:eastAsia="Arial" w:hAnsi="Arial" w:cs="Arial"/>
          <w:sz w:val="24"/>
          <w:szCs w:val="24"/>
        </w:rPr>
      </w:pPr>
      <w:bookmarkStart w:id="40" w:name="_Toc290901853"/>
      <w:r w:rsidRPr="009E57CF">
        <w:rPr>
          <w:rFonts w:ascii="Arial" w:hAnsi="Arial" w:cs="Arial"/>
          <w:sz w:val="24"/>
          <w:szCs w:val="24"/>
        </w:rPr>
        <w:t xml:space="preserve">Table </w:t>
      </w:r>
      <w:r w:rsidRPr="009E57CF">
        <w:rPr>
          <w:rFonts w:ascii="Arial" w:hAnsi="Arial" w:cs="Arial"/>
          <w:sz w:val="24"/>
          <w:szCs w:val="24"/>
        </w:rPr>
        <w:fldChar w:fldCharType="begin"/>
      </w:r>
      <w:r w:rsidRPr="009E57CF">
        <w:rPr>
          <w:rFonts w:ascii="Arial" w:hAnsi="Arial" w:cs="Arial"/>
          <w:sz w:val="24"/>
          <w:szCs w:val="24"/>
        </w:rPr>
        <w:instrText xml:space="preserve"> SEQ Table \* ARABIC </w:instrText>
      </w:r>
      <w:r w:rsidRPr="009E57CF">
        <w:rPr>
          <w:rFonts w:ascii="Arial" w:hAnsi="Arial" w:cs="Arial"/>
          <w:sz w:val="24"/>
          <w:szCs w:val="24"/>
        </w:rPr>
        <w:fldChar w:fldCharType="separate"/>
      </w:r>
      <w:r w:rsidRPr="009E57CF">
        <w:rPr>
          <w:rFonts w:ascii="Arial" w:hAnsi="Arial" w:cs="Arial"/>
          <w:noProof/>
          <w:sz w:val="24"/>
          <w:szCs w:val="24"/>
        </w:rPr>
        <w:t>4</w:t>
      </w:r>
      <w:r w:rsidRPr="009E57CF">
        <w:rPr>
          <w:rFonts w:ascii="Arial" w:hAnsi="Arial" w:cs="Arial"/>
          <w:sz w:val="24"/>
          <w:szCs w:val="24"/>
        </w:rPr>
        <w:fldChar w:fldCharType="end"/>
      </w:r>
      <w:r w:rsidR="00501736" w:rsidRPr="009E57CF">
        <w:rPr>
          <w:rFonts w:ascii="Arial" w:hAnsi="Arial" w:cs="Arial"/>
          <w:sz w:val="24"/>
          <w:szCs w:val="24"/>
        </w:rPr>
        <w:t xml:space="preserve">: </w:t>
      </w:r>
      <w:r w:rsidR="00CE7704">
        <w:rPr>
          <w:rFonts w:ascii="Arial" w:hAnsi="Arial" w:cs="Arial"/>
          <w:sz w:val="24"/>
          <w:szCs w:val="24"/>
        </w:rPr>
        <w:t>T</w:t>
      </w:r>
      <w:r w:rsidR="00501736" w:rsidRPr="009E57CF">
        <w:rPr>
          <w:rFonts w:ascii="Arial" w:hAnsi="Arial" w:cs="Arial"/>
          <w:sz w:val="24"/>
          <w:szCs w:val="24"/>
        </w:rPr>
        <w:t xml:space="preserve">ime to extract articles </w:t>
      </w:r>
      <w:r w:rsidR="00053639" w:rsidRPr="00CC7E17">
        <w:rPr>
          <w:rFonts w:ascii="Arial" w:hAnsi="Arial" w:cs="Arial"/>
          <w:sz w:val="24"/>
          <w:szCs w:val="24"/>
        </w:rPr>
        <w:t>using macprognosis</w:t>
      </w:r>
      <w:bookmarkEnd w:id="40"/>
    </w:p>
    <w:p w14:paraId="0ECC0AE3" w14:textId="77777777" w:rsidR="00DF29B4" w:rsidRPr="00CC7E17" w:rsidRDefault="00DF29B4" w:rsidP="0009624B">
      <w:pPr>
        <w:pStyle w:val="Body"/>
        <w:spacing w:line="360" w:lineRule="auto"/>
        <w:rPr>
          <w:rFonts w:ascii="Arial" w:eastAsia="Arial" w:hAnsi="Arial" w:cs="Arial"/>
        </w:rPr>
      </w:pPr>
    </w:p>
    <w:tbl>
      <w:tblPr>
        <w:tblW w:w="86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329"/>
        <w:gridCol w:w="4329"/>
      </w:tblGrid>
      <w:tr w:rsidR="00DF29B4" w:rsidRPr="00CC7E17" w14:paraId="5947E283" w14:textId="77777777" w:rsidTr="00DF29B4">
        <w:trPr>
          <w:trHeight w:val="279"/>
          <w:tblHeader/>
        </w:trPr>
        <w:tc>
          <w:tcPr>
            <w:tcW w:w="432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4CA6B79" w14:textId="77777777" w:rsidR="00DF29B4" w:rsidRPr="00CC7E17" w:rsidRDefault="00DF29B4" w:rsidP="0009624B">
            <w:pPr>
              <w:pStyle w:val="TableStyle1"/>
              <w:spacing w:line="360" w:lineRule="auto"/>
              <w:rPr>
                <w:rFonts w:ascii="Arial" w:hAnsi="Arial" w:cs="Arial"/>
              </w:rPr>
            </w:pPr>
            <w:r w:rsidRPr="00CC7E17">
              <w:rPr>
                <w:rFonts w:ascii="Arial" w:eastAsia="Arial Unicode MS" w:hAnsi="Arial" w:cs="Arial"/>
              </w:rPr>
              <w:t>Article No.</w:t>
            </w:r>
          </w:p>
        </w:tc>
        <w:tc>
          <w:tcPr>
            <w:tcW w:w="432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489E5F6" w14:textId="77777777" w:rsidR="00DF29B4" w:rsidRPr="00CC7E17" w:rsidRDefault="00DF29B4" w:rsidP="0009624B">
            <w:pPr>
              <w:pStyle w:val="TableStyle1"/>
              <w:spacing w:line="360" w:lineRule="auto"/>
              <w:rPr>
                <w:rFonts w:ascii="Arial" w:hAnsi="Arial" w:cs="Arial"/>
              </w:rPr>
            </w:pPr>
            <w:r w:rsidRPr="00CC7E17">
              <w:rPr>
                <w:rFonts w:ascii="Arial" w:eastAsia="Arial Unicode MS" w:hAnsi="Arial" w:cs="Arial"/>
              </w:rPr>
              <w:t xml:space="preserve">Time to Extract </w:t>
            </w:r>
          </w:p>
        </w:tc>
      </w:tr>
      <w:tr w:rsidR="00DF29B4" w:rsidRPr="00CC7E17" w14:paraId="27055D3A" w14:textId="77777777" w:rsidTr="00DF29B4">
        <w:tblPrEx>
          <w:shd w:val="clear" w:color="auto" w:fill="auto"/>
        </w:tblPrEx>
        <w:trPr>
          <w:trHeight w:val="279"/>
        </w:trPr>
        <w:tc>
          <w:tcPr>
            <w:tcW w:w="432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C994C1"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Article 1</w:t>
            </w:r>
          </w:p>
        </w:tc>
        <w:tc>
          <w:tcPr>
            <w:tcW w:w="432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5C8FCD"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9 minutes</w:t>
            </w:r>
          </w:p>
        </w:tc>
      </w:tr>
      <w:tr w:rsidR="00DF29B4" w:rsidRPr="00CC7E17" w14:paraId="25E3B9AF" w14:textId="77777777" w:rsidTr="00DF29B4">
        <w:tblPrEx>
          <w:shd w:val="clear" w:color="auto" w:fill="auto"/>
        </w:tblPrEx>
        <w:trPr>
          <w:trHeight w:val="279"/>
        </w:trPr>
        <w:tc>
          <w:tcPr>
            <w:tcW w:w="43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D644ED"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Article 2</w:t>
            </w:r>
          </w:p>
        </w:tc>
        <w:tc>
          <w:tcPr>
            <w:tcW w:w="43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1EFD2F"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6 minutes</w:t>
            </w:r>
          </w:p>
        </w:tc>
      </w:tr>
      <w:tr w:rsidR="00DF29B4" w:rsidRPr="00CC7E17" w14:paraId="41E07A6C" w14:textId="77777777" w:rsidTr="00DF29B4">
        <w:tblPrEx>
          <w:shd w:val="clear" w:color="auto" w:fill="auto"/>
        </w:tblPrEx>
        <w:trPr>
          <w:trHeight w:val="279"/>
        </w:trPr>
        <w:tc>
          <w:tcPr>
            <w:tcW w:w="4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573E99"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 xml:space="preserve">Article 3 </w:t>
            </w:r>
          </w:p>
        </w:tc>
        <w:tc>
          <w:tcPr>
            <w:tcW w:w="4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094D1F"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4 minutes</w:t>
            </w:r>
          </w:p>
        </w:tc>
      </w:tr>
      <w:tr w:rsidR="00DF29B4" w:rsidRPr="00CC7E17" w14:paraId="190F9A65" w14:textId="77777777" w:rsidTr="00DF29B4">
        <w:tblPrEx>
          <w:shd w:val="clear" w:color="auto" w:fill="auto"/>
        </w:tblPrEx>
        <w:trPr>
          <w:trHeight w:val="279"/>
        </w:trPr>
        <w:tc>
          <w:tcPr>
            <w:tcW w:w="43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C56B1B"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 xml:space="preserve">Article 4 </w:t>
            </w:r>
          </w:p>
        </w:tc>
        <w:tc>
          <w:tcPr>
            <w:tcW w:w="43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AADDE6"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 xml:space="preserve">11 minutes </w:t>
            </w:r>
          </w:p>
        </w:tc>
      </w:tr>
      <w:tr w:rsidR="00DF29B4" w:rsidRPr="00CC7E17" w14:paraId="01592794" w14:textId="77777777" w:rsidTr="00DF29B4">
        <w:tblPrEx>
          <w:shd w:val="clear" w:color="auto" w:fill="auto"/>
        </w:tblPrEx>
        <w:trPr>
          <w:trHeight w:val="279"/>
        </w:trPr>
        <w:tc>
          <w:tcPr>
            <w:tcW w:w="4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A2E65E" w14:textId="79578874"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Article</w:t>
            </w:r>
            <w:r w:rsidR="00A50237">
              <w:rPr>
                <w:rFonts w:ascii="Arial" w:eastAsia="Arial Unicode MS" w:hAnsi="Arial" w:cs="Arial"/>
              </w:rPr>
              <w:t xml:space="preserve"> </w:t>
            </w:r>
            <w:r w:rsidRPr="00CC7E17">
              <w:rPr>
                <w:rFonts w:ascii="Arial" w:eastAsia="Arial Unicode MS" w:hAnsi="Arial" w:cs="Arial"/>
              </w:rPr>
              <w:t xml:space="preserve">5 </w:t>
            </w:r>
          </w:p>
        </w:tc>
        <w:tc>
          <w:tcPr>
            <w:tcW w:w="4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6C572D"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13 minutes</w:t>
            </w:r>
          </w:p>
        </w:tc>
      </w:tr>
      <w:tr w:rsidR="00DF29B4" w:rsidRPr="00CC7E17" w14:paraId="7E443792" w14:textId="77777777" w:rsidTr="00DF29B4">
        <w:tblPrEx>
          <w:shd w:val="clear" w:color="auto" w:fill="auto"/>
        </w:tblPrEx>
        <w:trPr>
          <w:trHeight w:val="279"/>
        </w:trPr>
        <w:tc>
          <w:tcPr>
            <w:tcW w:w="43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4FFE27"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Article 6</w:t>
            </w:r>
          </w:p>
        </w:tc>
        <w:tc>
          <w:tcPr>
            <w:tcW w:w="43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D61083"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 xml:space="preserve">21 minutes </w:t>
            </w:r>
          </w:p>
        </w:tc>
      </w:tr>
      <w:tr w:rsidR="00DF29B4" w:rsidRPr="00CC7E17" w14:paraId="121E7EE4" w14:textId="77777777" w:rsidTr="00DF29B4">
        <w:tblPrEx>
          <w:shd w:val="clear" w:color="auto" w:fill="auto"/>
        </w:tblPrEx>
        <w:trPr>
          <w:trHeight w:val="279"/>
        </w:trPr>
        <w:tc>
          <w:tcPr>
            <w:tcW w:w="4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14CEE8"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Article 7</w:t>
            </w:r>
          </w:p>
        </w:tc>
        <w:tc>
          <w:tcPr>
            <w:tcW w:w="4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525F4B"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 xml:space="preserve">4 minutes </w:t>
            </w:r>
          </w:p>
        </w:tc>
      </w:tr>
      <w:tr w:rsidR="00DF29B4" w:rsidRPr="00CC7E17" w14:paraId="7413B46C" w14:textId="77777777" w:rsidTr="00DF29B4">
        <w:tblPrEx>
          <w:shd w:val="clear" w:color="auto" w:fill="auto"/>
        </w:tblPrEx>
        <w:trPr>
          <w:trHeight w:val="279"/>
        </w:trPr>
        <w:tc>
          <w:tcPr>
            <w:tcW w:w="43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F69E9C"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Article 8</w:t>
            </w:r>
          </w:p>
        </w:tc>
        <w:tc>
          <w:tcPr>
            <w:tcW w:w="432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2F9FD7"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 xml:space="preserve">8 minutes </w:t>
            </w:r>
          </w:p>
        </w:tc>
      </w:tr>
      <w:tr w:rsidR="00DF29B4" w:rsidRPr="00CC7E17" w14:paraId="5D037C53" w14:textId="77777777" w:rsidTr="00DF29B4">
        <w:tblPrEx>
          <w:shd w:val="clear" w:color="auto" w:fill="auto"/>
        </w:tblPrEx>
        <w:trPr>
          <w:trHeight w:val="279"/>
        </w:trPr>
        <w:tc>
          <w:tcPr>
            <w:tcW w:w="4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FD91B7"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Article 9</w:t>
            </w:r>
          </w:p>
        </w:tc>
        <w:tc>
          <w:tcPr>
            <w:tcW w:w="4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CBE455"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 xml:space="preserve">10 minutes </w:t>
            </w:r>
          </w:p>
        </w:tc>
      </w:tr>
      <w:tr w:rsidR="00DF29B4" w:rsidRPr="00CC7E17" w14:paraId="6F53B0D7" w14:textId="77777777" w:rsidTr="00DF29B4">
        <w:tblPrEx>
          <w:shd w:val="clear" w:color="auto" w:fill="auto"/>
        </w:tblPrEx>
        <w:trPr>
          <w:trHeight w:val="279"/>
        </w:trPr>
        <w:tc>
          <w:tcPr>
            <w:tcW w:w="4329" w:type="dxa"/>
            <w:tcBorders>
              <w:top w:val="single" w:sz="2"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69C5681F" w14:textId="77777777" w:rsidR="00DF29B4" w:rsidRPr="00CC7E17" w:rsidRDefault="00DF29B4" w:rsidP="0009624B">
            <w:pPr>
              <w:pStyle w:val="TableStyle2"/>
              <w:spacing w:line="360" w:lineRule="auto"/>
              <w:rPr>
                <w:rFonts w:ascii="Arial" w:hAnsi="Arial" w:cs="Arial"/>
              </w:rPr>
            </w:pPr>
            <w:r w:rsidRPr="00CC7E17">
              <w:rPr>
                <w:rFonts w:ascii="Arial" w:eastAsia="Arial Unicode MS" w:hAnsi="Arial" w:cs="Arial"/>
              </w:rPr>
              <w:t>Article 10</w:t>
            </w:r>
          </w:p>
        </w:tc>
        <w:tc>
          <w:tcPr>
            <w:tcW w:w="4329" w:type="dxa"/>
            <w:tcBorders>
              <w:top w:val="single" w:sz="2"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553863A6" w14:textId="77777777" w:rsidR="00DF29B4" w:rsidRPr="00CC7E17" w:rsidRDefault="00DF29B4" w:rsidP="0009624B">
            <w:pPr>
              <w:pStyle w:val="TableStyle2"/>
              <w:spacing w:line="360" w:lineRule="auto"/>
              <w:rPr>
                <w:rFonts w:ascii="Arial" w:hAnsi="Arial" w:cs="Arial"/>
              </w:rPr>
            </w:pPr>
            <w:r w:rsidRPr="006401AD">
              <w:rPr>
                <w:rFonts w:ascii="Arial" w:eastAsia="Arial Unicode MS" w:hAnsi="Arial" w:cs="Arial"/>
              </w:rPr>
              <w:t xml:space="preserve">5 minutes </w:t>
            </w:r>
          </w:p>
        </w:tc>
      </w:tr>
      <w:tr w:rsidR="00DF29B4" w:rsidRPr="00CC7E17" w14:paraId="15881855" w14:textId="77777777" w:rsidTr="00DF29B4">
        <w:tblPrEx>
          <w:shd w:val="clear" w:color="auto" w:fill="auto"/>
        </w:tblPrEx>
        <w:trPr>
          <w:trHeight w:val="279"/>
        </w:trPr>
        <w:tc>
          <w:tcPr>
            <w:tcW w:w="432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B42AA1" w14:textId="77777777" w:rsidR="00DF29B4" w:rsidRPr="00CC7E17" w:rsidRDefault="00DF29B4" w:rsidP="0009624B">
            <w:pPr>
              <w:pStyle w:val="TableStyle1"/>
              <w:spacing w:line="360" w:lineRule="auto"/>
              <w:rPr>
                <w:rFonts w:ascii="Arial" w:hAnsi="Arial" w:cs="Arial"/>
              </w:rPr>
            </w:pPr>
            <w:r w:rsidRPr="00CC7E17">
              <w:rPr>
                <w:rFonts w:ascii="Arial" w:eastAsia="Arial Unicode MS" w:hAnsi="Arial" w:cs="Arial"/>
              </w:rPr>
              <w:t>AVERAGE TIME</w:t>
            </w:r>
          </w:p>
        </w:tc>
        <w:tc>
          <w:tcPr>
            <w:tcW w:w="432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D44C83" w14:textId="77777777" w:rsidR="00DF29B4" w:rsidRPr="00CC7E17" w:rsidRDefault="00DF29B4" w:rsidP="0009624B">
            <w:pPr>
              <w:pStyle w:val="TableStyle1"/>
              <w:spacing w:line="360" w:lineRule="auto"/>
              <w:rPr>
                <w:rFonts w:ascii="Arial" w:hAnsi="Arial" w:cs="Arial"/>
              </w:rPr>
            </w:pPr>
            <w:r w:rsidRPr="006401AD">
              <w:rPr>
                <w:rFonts w:ascii="Arial" w:eastAsia="Arial Unicode MS" w:hAnsi="Arial" w:cs="Arial"/>
              </w:rPr>
              <w:t>9.1 Minutes / article</w:t>
            </w:r>
          </w:p>
        </w:tc>
      </w:tr>
    </w:tbl>
    <w:p w14:paraId="211A2715" w14:textId="77777777" w:rsidR="00DF29B4" w:rsidRPr="00CC7E17" w:rsidRDefault="00DF29B4" w:rsidP="0009624B">
      <w:pPr>
        <w:pStyle w:val="Body"/>
        <w:spacing w:line="360" w:lineRule="auto"/>
        <w:rPr>
          <w:rFonts w:ascii="Arial" w:eastAsia="Arial" w:hAnsi="Arial" w:cs="Arial"/>
        </w:rPr>
      </w:pPr>
    </w:p>
    <w:p w14:paraId="401D0E5E" w14:textId="2E1ACD6B" w:rsidR="00AF20F9" w:rsidRPr="00ED7C8D" w:rsidRDefault="00855DDE" w:rsidP="0009624B">
      <w:pPr>
        <w:pStyle w:val="NoSpacing"/>
        <w:spacing w:line="360" w:lineRule="auto"/>
        <w:rPr>
          <w:rFonts w:ascii="Arial" w:hAnsi="Arial" w:cs="Arial"/>
        </w:rPr>
      </w:pPr>
      <w:r>
        <w:rPr>
          <w:rFonts w:ascii="Arial" w:hAnsi="Arial" w:cs="Arial"/>
        </w:rPr>
        <w:t>According to</w:t>
      </w:r>
      <w:r w:rsidR="0082450B">
        <w:rPr>
          <w:rFonts w:ascii="Arial" w:hAnsi="Arial" w:cs="Arial"/>
        </w:rPr>
        <w:t xml:space="preserve"> Tables 3 and 4, utilizing the MacPrognosis system reduced the average time required to extract data from an article when compared to the paper-based method</w:t>
      </w:r>
      <w:r w:rsidR="00C226BF">
        <w:rPr>
          <w:rFonts w:ascii="Arial" w:hAnsi="Arial" w:cs="Arial"/>
        </w:rPr>
        <w:t xml:space="preserve"> in the small sample set of articles which were timed</w:t>
      </w:r>
      <w:r w:rsidR="0082450B">
        <w:rPr>
          <w:rFonts w:ascii="Arial" w:hAnsi="Arial" w:cs="Arial"/>
        </w:rPr>
        <w:t xml:space="preserve">. </w:t>
      </w:r>
    </w:p>
    <w:p w14:paraId="72E597E0" w14:textId="55473E56" w:rsidR="007964C0" w:rsidRPr="00CC7E17" w:rsidRDefault="0098577A" w:rsidP="00ED7C8D">
      <w:pPr>
        <w:pStyle w:val="Heading3"/>
        <w:spacing w:line="360" w:lineRule="auto"/>
      </w:pPr>
      <w:bookmarkStart w:id="41" w:name="_Toc286437128"/>
      <w:r w:rsidRPr="00CC7E17">
        <w:rPr>
          <w:rFonts w:ascii="Arial" w:hAnsi="Arial" w:cs="Arial"/>
        </w:rPr>
        <w:t>Article data sorted by Medical discipline</w:t>
      </w:r>
      <w:r w:rsidR="007964C0" w:rsidRPr="00CC7E17">
        <w:rPr>
          <w:rFonts w:ascii="Arial" w:hAnsi="Arial" w:cs="Arial"/>
        </w:rPr>
        <w:t xml:space="preserve"> in the Current Study</w:t>
      </w:r>
      <w:bookmarkEnd w:id="41"/>
      <w:r w:rsidR="007964C0" w:rsidRPr="00CC7E17">
        <w:rPr>
          <w:rFonts w:ascii="Arial" w:hAnsi="Arial" w:cs="Arial"/>
        </w:rPr>
        <w:t xml:space="preserve"> </w:t>
      </w:r>
    </w:p>
    <w:p w14:paraId="65718651" w14:textId="1888C7A3" w:rsidR="00490884" w:rsidRPr="00CC7E17" w:rsidRDefault="00501736" w:rsidP="0009624B">
      <w:pPr>
        <w:spacing w:line="360" w:lineRule="auto"/>
        <w:rPr>
          <w:rFonts w:ascii="Arial" w:hAnsi="Arial" w:cs="Arial"/>
        </w:rPr>
      </w:pPr>
      <w:r w:rsidRPr="00CC7E17">
        <w:rPr>
          <w:rFonts w:ascii="Arial" w:hAnsi="Arial" w:cs="Arial"/>
        </w:rPr>
        <w:t>T</w:t>
      </w:r>
      <w:r w:rsidR="007964C0" w:rsidRPr="00CC7E17">
        <w:rPr>
          <w:rFonts w:ascii="Arial" w:hAnsi="Arial" w:cs="Arial"/>
        </w:rPr>
        <w:t xml:space="preserve">he 2012 </w:t>
      </w:r>
      <w:r w:rsidR="00490884" w:rsidRPr="00CC7E17">
        <w:rPr>
          <w:rFonts w:ascii="Arial" w:hAnsi="Arial" w:cs="Arial"/>
        </w:rPr>
        <w:t xml:space="preserve">feasibility </w:t>
      </w:r>
      <w:r w:rsidR="007964C0" w:rsidRPr="00CC7E17">
        <w:rPr>
          <w:rFonts w:ascii="Arial" w:hAnsi="Arial" w:cs="Arial"/>
        </w:rPr>
        <w:t>study</w:t>
      </w:r>
      <w:r w:rsidR="00490884" w:rsidRPr="00CC7E17">
        <w:rPr>
          <w:rFonts w:ascii="Arial" w:hAnsi="Arial" w:cs="Arial"/>
        </w:rPr>
        <w:t xml:space="preserve"> for </w:t>
      </w:r>
      <w:r w:rsidR="00AA5748" w:rsidRPr="00CC7E17">
        <w:rPr>
          <w:rFonts w:ascii="Arial" w:hAnsi="Arial" w:cs="Arial"/>
        </w:rPr>
        <w:t>BRiskeT</w:t>
      </w:r>
      <w:r w:rsidR="007964C0" w:rsidRPr="00CC7E17">
        <w:rPr>
          <w:rFonts w:ascii="Arial" w:hAnsi="Arial" w:cs="Arial"/>
        </w:rPr>
        <w:t xml:space="preserve"> found that entire disciplines were not suited for the</w:t>
      </w:r>
      <w:r w:rsidR="00490884" w:rsidRPr="00CC7E17">
        <w:rPr>
          <w:rFonts w:ascii="Arial" w:hAnsi="Arial" w:cs="Arial"/>
        </w:rPr>
        <w:t xml:space="preserve"> paper-based</w:t>
      </w:r>
      <w:r w:rsidR="007964C0" w:rsidRPr="00CC7E17">
        <w:rPr>
          <w:rFonts w:ascii="Arial" w:hAnsi="Arial" w:cs="Arial"/>
        </w:rPr>
        <w:t xml:space="preserve"> extraction process that had been developed.</w:t>
      </w:r>
      <w:r w:rsidR="00A55637" w:rsidRPr="00CC7E17">
        <w:rPr>
          <w:rFonts w:ascii="Arial" w:hAnsi="Arial" w:cs="Arial"/>
        </w:rPr>
        <w:t xml:space="preserve"> For example, it was found that Pain</w:t>
      </w:r>
      <w:r w:rsidR="002621B4" w:rsidRPr="00CC7E17">
        <w:rPr>
          <w:rFonts w:ascii="Arial" w:hAnsi="Arial" w:cs="Arial"/>
        </w:rPr>
        <w:t>-related articles were</w:t>
      </w:r>
      <w:r w:rsidR="00A55637" w:rsidRPr="00CC7E17">
        <w:rPr>
          <w:rFonts w:ascii="Arial" w:hAnsi="Arial" w:cs="Arial"/>
        </w:rPr>
        <w:t xml:space="preserve"> not suitable for the extraction process. This is because </w:t>
      </w:r>
      <w:r w:rsidR="002621B4" w:rsidRPr="00CC7E17">
        <w:rPr>
          <w:rFonts w:ascii="Arial" w:hAnsi="Arial" w:cs="Arial"/>
        </w:rPr>
        <w:t>the extraction process was largely dependent on outcomes being dichotomous to fit into the extraction forms that had been developed.</w:t>
      </w:r>
      <w:r w:rsidR="00A50237">
        <w:rPr>
          <w:rFonts w:ascii="Arial" w:hAnsi="Arial" w:cs="Arial"/>
        </w:rPr>
        <w:t xml:space="preserve"> </w:t>
      </w:r>
      <w:r w:rsidR="002621B4" w:rsidRPr="00CC7E17">
        <w:rPr>
          <w:rFonts w:ascii="Arial" w:hAnsi="Arial" w:cs="Arial"/>
        </w:rPr>
        <w:t xml:space="preserve">Pain-based articles’ outcomes were usually classified on a </w:t>
      </w:r>
      <w:r w:rsidR="00260290">
        <w:rPr>
          <w:rFonts w:ascii="Arial" w:hAnsi="Arial" w:cs="Arial"/>
        </w:rPr>
        <w:t>continuous</w:t>
      </w:r>
      <w:r w:rsidR="002621B4" w:rsidRPr="00CC7E17">
        <w:rPr>
          <w:rFonts w:ascii="Arial" w:hAnsi="Arial" w:cs="Arial"/>
        </w:rPr>
        <w:t>,</w:t>
      </w:r>
      <w:r w:rsidR="000734C4" w:rsidRPr="00CC7E17">
        <w:rPr>
          <w:rFonts w:ascii="Arial" w:hAnsi="Arial" w:cs="Arial"/>
        </w:rPr>
        <w:t xml:space="preserve"> Pain </w:t>
      </w:r>
      <w:r w:rsidR="002621B4" w:rsidRPr="00CC7E17">
        <w:rPr>
          <w:rFonts w:ascii="Arial" w:hAnsi="Arial" w:cs="Arial"/>
        </w:rPr>
        <w:t>discipline-specific scale that would make it difficult to fit into the extraction process.</w:t>
      </w:r>
      <w:r w:rsidR="007964C0" w:rsidRPr="00CC7E17">
        <w:rPr>
          <w:rFonts w:ascii="Arial" w:hAnsi="Arial" w:cs="Arial"/>
        </w:rPr>
        <w:t xml:space="preserve"> After discovering that baseline risk data for entire disciplines may not be able to be extracted, another crit</w:t>
      </w:r>
      <w:r w:rsidR="00490884" w:rsidRPr="00CC7E17">
        <w:rPr>
          <w:rFonts w:ascii="Arial" w:hAnsi="Arial" w:cs="Arial"/>
        </w:rPr>
        <w:t>eria for success was developed:</w:t>
      </w:r>
      <w:r w:rsidR="007964C0" w:rsidRPr="00CC7E17">
        <w:rPr>
          <w:rFonts w:ascii="Arial" w:hAnsi="Arial" w:cs="Arial"/>
        </w:rPr>
        <w:t xml:space="preserve"> for </w:t>
      </w:r>
      <w:r w:rsidR="00AA5748" w:rsidRPr="00CC7E17">
        <w:rPr>
          <w:rFonts w:ascii="Arial" w:hAnsi="Arial" w:cs="Arial"/>
        </w:rPr>
        <w:t>BRiskeT</w:t>
      </w:r>
      <w:r w:rsidR="007964C0" w:rsidRPr="00CC7E17">
        <w:rPr>
          <w:rFonts w:ascii="Arial" w:hAnsi="Arial" w:cs="Arial"/>
        </w:rPr>
        <w:t xml:space="preserve"> to be successful</w:t>
      </w:r>
      <w:r w:rsidR="00490884" w:rsidRPr="00CC7E17">
        <w:rPr>
          <w:rFonts w:ascii="Arial" w:hAnsi="Arial" w:cs="Arial"/>
        </w:rPr>
        <w:t>, it was</w:t>
      </w:r>
      <w:r w:rsidR="007964C0" w:rsidRPr="00CC7E17">
        <w:rPr>
          <w:rFonts w:ascii="Arial" w:hAnsi="Arial" w:cs="Arial"/>
        </w:rPr>
        <w:t xml:space="preserve"> necessary that it be as inclusive as possible to all disciplines. </w:t>
      </w:r>
    </w:p>
    <w:p w14:paraId="19BA9684" w14:textId="77777777" w:rsidR="00490884" w:rsidRPr="00CC7E17" w:rsidRDefault="00490884" w:rsidP="0009624B">
      <w:pPr>
        <w:spacing w:line="360" w:lineRule="auto"/>
        <w:rPr>
          <w:rFonts w:ascii="Arial" w:hAnsi="Arial" w:cs="Arial"/>
        </w:rPr>
      </w:pPr>
    </w:p>
    <w:p w14:paraId="6D00605D" w14:textId="525F66AB" w:rsidR="007964C0" w:rsidRPr="00CC7E17" w:rsidRDefault="007964C0" w:rsidP="0009624B">
      <w:pPr>
        <w:spacing w:line="360" w:lineRule="auto"/>
        <w:rPr>
          <w:rFonts w:ascii="Arial" w:hAnsi="Arial" w:cs="Arial"/>
        </w:rPr>
      </w:pPr>
      <w:r w:rsidRPr="00CC7E17">
        <w:rPr>
          <w:rFonts w:ascii="Arial" w:hAnsi="Arial" w:cs="Arial"/>
        </w:rPr>
        <w:t xml:space="preserve">The test set of the feasibility study had been chosen at random from 5 selected disciplines. </w:t>
      </w:r>
      <w:r w:rsidR="0091485D" w:rsidRPr="00CC7E17">
        <w:rPr>
          <w:rFonts w:ascii="Arial" w:hAnsi="Arial" w:cs="Arial"/>
        </w:rPr>
        <w:t xml:space="preserve">Rather than select the test set for the current study on the basis of selected disciplines, the criteria for inclusion into the current study was simply to be rated by PLUS rating for clinical relevance and newsworthiness as either a 6/7 or a 7/7. This allowed for the inclusion of many more disciplines when compared to the 2012 study. The criteria for success in this area of </w:t>
      </w:r>
      <w:r w:rsidR="00AA5748" w:rsidRPr="00CC7E17">
        <w:rPr>
          <w:rFonts w:ascii="Arial" w:hAnsi="Arial" w:cs="Arial"/>
        </w:rPr>
        <w:t>BRiskeT</w:t>
      </w:r>
      <w:r w:rsidR="0091485D" w:rsidRPr="00CC7E17">
        <w:rPr>
          <w:rFonts w:ascii="Arial" w:hAnsi="Arial" w:cs="Arial"/>
        </w:rPr>
        <w:t xml:space="preserve"> was to be as inclusive as possible. In this case, only one discipline (imaging) was found to be not suitable for extraction. </w:t>
      </w:r>
      <w:r w:rsidR="00E54AE4" w:rsidRPr="00CC7E17">
        <w:rPr>
          <w:rFonts w:ascii="Arial" w:hAnsi="Arial" w:cs="Arial"/>
        </w:rPr>
        <w:t>Table 5</w:t>
      </w:r>
      <w:r w:rsidR="00260290">
        <w:rPr>
          <w:rFonts w:ascii="Arial" w:hAnsi="Arial" w:cs="Arial"/>
        </w:rPr>
        <w:t xml:space="preserve"> and Figure 8</w:t>
      </w:r>
      <w:r w:rsidR="0091485D" w:rsidRPr="00CC7E17">
        <w:rPr>
          <w:rFonts w:ascii="Arial" w:hAnsi="Arial" w:cs="Arial"/>
        </w:rPr>
        <w:t xml:space="preserve"> </w:t>
      </w:r>
      <w:r w:rsidR="00260290">
        <w:rPr>
          <w:rFonts w:ascii="Arial" w:hAnsi="Arial" w:cs="Arial"/>
        </w:rPr>
        <w:t>are</w:t>
      </w:r>
      <w:r w:rsidR="0091485D" w:rsidRPr="00CC7E17">
        <w:rPr>
          <w:rFonts w:ascii="Arial" w:hAnsi="Arial" w:cs="Arial"/>
        </w:rPr>
        <w:t xml:space="preserve"> indicative of the inclusiveness of the new </w:t>
      </w:r>
      <w:r w:rsidR="00490884" w:rsidRPr="00CC7E17">
        <w:rPr>
          <w:rFonts w:ascii="Arial" w:hAnsi="Arial" w:cs="Arial"/>
        </w:rPr>
        <w:t xml:space="preserve">extraction process utilizing MacPrognosis. </w:t>
      </w:r>
    </w:p>
    <w:p w14:paraId="1DE45E05" w14:textId="77777777" w:rsidR="00F7112F" w:rsidRDefault="00F7112F" w:rsidP="00F7112F">
      <w:pPr>
        <w:pStyle w:val="Caption"/>
        <w:spacing w:line="360" w:lineRule="auto"/>
        <w:rPr>
          <w:rFonts w:ascii="Arial" w:hAnsi="Arial" w:cs="Arial"/>
        </w:rPr>
      </w:pPr>
    </w:p>
    <w:p w14:paraId="1632CA73" w14:textId="77777777" w:rsidR="00C226BF" w:rsidRDefault="00C226BF" w:rsidP="00F7112F">
      <w:pPr>
        <w:pStyle w:val="Caption"/>
        <w:spacing w:line="360" w:lineRule="auto"/>
        <w:rPr>
          <w:rFonts w:ascii="Arial" w:hAnsi="Arial" w:cs="Arial"/>
        </w:rPr>
      </w:pPr>
    </w:p>
    <w:p w14:paraId="358D4B2F" w14:textId="77777777" w:rsidR="00C226BF" w:rsidRDefault="00C226BF" w:rsidP="00F7112F">
      <w:pPr>
        <w:pStyle w:val="Caption"/>
        <w:spacing w:line="360" w:lineRule="auto"/>
        <w:rPr>
          <w:rFonts w:ascii="Arial" w:hAnsi="Arial" w:cs="Arial"/>
        </w:rPr>
      </w:pPr>
    </w:p>
    <w:p w14:paraId="088A26C4" w14:textId="77777777" w:rsidR="00C226BF" w:rsidRDefault="00C226BF" w:rsidP="00F7112F">
      <w:pPr>
        <w:pStyle w:val="Caption"/>
        <w:spacing w:line="360" w:lineRule="auto"/>
        <w:rPr>
          <w:rFonts w:ascii="Arial" w:hAnsi="Arial" w:cs="Arial"/>
        </w:rPr>
      </w:pPr>
    </w:p>
    <w:p w14:paraId="36FDD4C4" w14:textId="77777777" w:rsidR="00C226BF" w:rsidRPr="00CC7E17" w:rsidRDefault="00C226BF" w:rsidP="00F7112F">
      <w:pPr>
        <w:pStyle w:val="Caption"/>
        <w:spacing w:line="360" w:lineRule="auto"/>
        <w:rPr>
          <w:rFonts w:ascii="Arial" w:hAnsi="Arial" w:cs="Arial"/>
        </w:rPr>
      </w:pPr>
    </w:p>
    <w:p w14:paraId="664FB26E" w14:textId="30F29FA4" w:rsidR="00F7112F" w:rsidRPr="009E57CF" w:rsidRDefault="00F7112F" w:rsidP="00F7112F">
      <w:pPr>
        <w:pStyle w:val="Caption"/>
        <w:spacing w:line="360" w:lineRule="auto"/>
        <w:rPr>
          <w:rFonts w:ascii="Arial" w:hAnsi="Arial" w:cs="Arial"/>
          <w:sz w:val="24"/>
          <w:szCs w:val="24"/>
        </w:rPr>
      </w:pPr>
      <w:bookmarkStart w:id="42" w:name="_Toc290901854"/>
      <w:r w:rsidRPr="009E57CF">
        <w:rPr>
          <w:rFonts w:ascii="Arial" w:hAnsi="Arial" w:cs="Arial"/>
          <w:sz w:val="24"/>
          <w:szCs w:val="24"/>
        </w:rPr>
        <w:t xml:space="preserve">Table </w:t>
      </w:r>
      <w:r w:rsidRPr="009E57CF">
        <w:rPr>
          <w:rFonts w:ascii="Arial" w:hAnsi="Arial" w:cs="Arial"/>
          <w:sz w:val="24"/>
          <w:szCs w:val="24"/>
        </w:rPr>
        <w:fldChar w:fldCharType="begin"/>
      </w:r>
      <w:r w:rsidRPr="009E57CF">
        <w:rPr>
          <w:rFonts w:ascii="Arial" w:hAnsi="Arial" w:cs="Arial"/>
          <w:sz w:val="24"/>
          <w:szCs w:val="24"/>
        </w:rPr>
        <w:instrText xml:space="preserve"> SEQ Table \* ARABIC </w:instrText>
      </w:r>
      <w:r w:rsidRPr="009E57CF">
        <w:rPr>
          <w:rFonts w:ascii="Arial" w:hAnsi="Arial" w:cs="Arial"/>
          <w:sz w:val="24"/>
          <w:szCs w:val="24"/>
        </w:rPr>
        <w:fldChar w:fldCharType="separate"/>
      </w:r>
      <w:r w:rsidRPr="009E57CF">
        <w:rPr>
          <w:rFonts w:ascii="Arial" w:hAnsi="Arial" w:cs="Arial"/>
          <w:noProof/>
          <w:sz w:val="24"/>
          <w:szCs w:val="24"/>
        </w:rPr>
        <w:t>5</w:t>
      </w:r>
      <w:r w:rsidRPr="009E57CF">
        <w:rPr>
          <w:rFonts w:ascii="Arial" w:hAnsi="Arial" w:cs="Arial"/>
          <w:sz w:val="24"/>
          <w:szCs w:val="24"/>
        </w:rPr>
        <w:fldChar w:fldCharType="end"/>
      </w:r>
      <w:r w:rsidRPr="009E57CF">
        <w:rPr>
          <w:rFonts w:ascii="Arial" w:hAnsi="Arial" w:cs="Arial"/>
          <w:sz w:val="24"/>
          <w:szCs w:val="24"/>
        </w:rPr>
        <w:t xml:space="preserve">: </w:t>
      </w:r>
      <w:r w:rsidR="00CE7704">
        <w:rPr>
          <w:rFonts w:ascii="Arial" w:hAnsi="Arial" w:cs="Arial"/>
          <w:sz w:val="24"/>
          <w:szCs w:val="24"/>
        </w:rPr>
        <w:t>N</w:t>
      </w:r>
      <w:r w:rsidRPr="009E57CF">
        <w:rPr>
          <w:rFonts w:ascii="Arial" w:hAnsi="Arial" w:cs="Arial"/>
          <w:sz w:val="24"/>
          <w:szCs w:val="24"/>
        </w:rPr>
        <w:t>umber of lines of baseline risk extracted per medical discipline</w:t>
      </w:r>
      <w:bookmarkEnd w:id="42"/>
    </w:p>
    <w:p w14:paraId="1ACFB1F5" w14:textId="77777777" w:rsidR="00021C31" w:rsidRPr="00CC7E17" w:rsidRDefault="00021C31" w:rsidP="0009624B">
      <w:pPr>
        <w:pStyle w:val="Body"/>
        <w:spacing w:line="360" w:lineRule="auto"/>
        <w:rPr>
          <w:rFonts w:ascii="Arial" w:hAnsi="Arial" w:cs="Arial"/>
        </w:rPr>
      </w:pPr>
    </w:p>
    <w:tbl>
      <w:tblPr>
        <w:tblStyle w:val="TableGrid"/>
        <w:tblW w:w="7479" w:type="dxa"/>
        <w:tblLayout w:type="fixed"/>
        <w:tblLook w:val="04A0" w:firstRow="1" w:lastRow="0" w:firstColumn="1" w:lastColumn="0" w:noHBand="0" w:noVBand="1"/>
      </w:tblPr>
      <w:tblGrid>
        <w:gridCol w:w="4786"/>
        <w:gridCol w:w="2693"/>
      </w:tblGrid>
      <w:tr w:rsidR="00021C31" w:rsidRPr="00CC7E17" w14:paraId="664DF4BB" w14:textId="77777777" w:rsidTr="00021C31">
        <w:trPr>
          <w:trHeight w:val="407"/>
        </w:trPr>
        <w:tc>
          <w:tcPr>
            <w:tcW w:w="4786" w:type="dxa"/>
            <w:shd w:val="clear" w:color="auto" w:fill="D9D9D9"/>
            <w:hideMark/>
          </w:tcPr>
          <w:p w14:paraId="2CEABED3"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b/>
                <w:bCs/>
                <w:color w:val="000000"/>
                <w:bdr w:val="none" w:sz="0" w:space="0" w:color="auto"/>
                <w:lang w:val="en-CA"/>
              </w:rPr>
            </w:pPr>
            <w:r w:rsidRPr="006401AD">
              <w:rPr>
                <w:rFonts w:ascii="Arial" w:eastAsia="Times New Roman" w:hAnsi="Arial" w:cs="Arial"/>
                <w:b/>
                <w:bCs/>
                <w:color w:val="000000"/>
                <w:bdr w:val="none" w:sz="0" w:space="0" w:color="auto"/>
                <w:lang w:val="en-CA"/>
              </w:rPr>
              <w:t>Discipline</w:t>
            </w:r>
          </w:p>
        </w:tc>
        <w:tc>
          <w:tcPr>
            <w:tcW w:w="2693" w:type="dxa"/>
            <w:shd w:val="clear" w:color="auto" w:fill="D9D9D9"/>
            <w:hideMark/>
          </w:tcPr>
          <w:p w14:paraId="44A76EAE"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b/>
                <w:bCs/>
                <w:color w:val="000000"/>
                <w:bdr w:val="none" w:sz="0" w:space="0" w:color="auto"/>
                <w:lang w:val="en-CA"/>
              </w:rPr>
            </w:pPr>
            <w:r w:rsidRPr="00CC7E17">
              <w:rPr>
                <w:rFonts w:ascii="Arial" w:eastAsia="Times New Roman" w:hAnsi="Arial" w:cs="Arial"/>
                <w:b/>
                <w:bCs/>
                <w:color w:val="000000"/>
                <w:bdr w:val="none" w:sz="0" w:space="0" w:color="auto"/>
                <w:lang w:val="en-CA"/>
              </w:rPr>
              <w:t xml:space="preserve">Lines of Baseline Risk Data Extracted </w:t>
            </w:r>
          </w:p>
        </w:tc>
      </w:tr>
      <w:tr w:rsidR="00021C31" w:rsidRPr="00CC7E17" w14:paraId="7925C2B4" w14:textId="77777777" w:rsidTr="00021C31">
        <w:trPr>
          <w:trHeight w:val="206"/>
        </w:trPr>
        <w:tc>
          <w:tcPr>
            <w:tcW w:w="4786" w:type="dxa"/>
            <w:hideMark/>
          </w:tcPr>
          <w:p w14:paraId="57B29CDF"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Pediatrics (General)</w:t>
            </w:r>
          </w:p>
        </w:tc>
        <w:tc>
          <w:tcPr>
            <w:tcW w:w="2693" w:type="dxa"/>
            <w:hideMark/>
          </w:tcPr>
          <w:p w14:paraId="7A39094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107</w:t>
            </w:r>
          </w:p>
        </w:tc>
      </w:tr>
      <w:tr w:rsidR="00021C31" w:rsidRPr="00CC7E17" w14:paraId="3ACDC8D7" w14:textId="77777777" w:rsidTr="00021C31">
        <w:trPr>
          <w:trHeight w:val="111"/>
        </w:trPr>
        <w:tc>
          <w:tcPr>
            <w:tcW w:w="4786" w:type="dxa"/>
            <w:hideMark/>
          </w:tcPr>
          <w:p w14:paraId="38AB7265"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Internal Medicine</w:t>
            </w:r>
          </w:p>
        </w:tc>
        <w:tc>
          <w:tcPr>
            <w:tcW w:w="2693" w:type="dxa"/>
            <w:hideMark/>
          </w:tcPr>
          <w:p w14:paraId="2450620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86</w:t>
            </w:r>
          </w:p>
        </w:tc>
      </w:tr>
      <w:tr w:rsidR="00021C31" w:rsidRPr="00CC7E17" w14:paraId="66864196" w14:textId="77777777" w:rsidTr="00021C31">
        <w:trPr>
          <w:trHeight w:val="289"/>
        </w:trPr>
        <w:tc>
          <w:tcPr>
            <w:tcW w:w="4786" w:type="dxa"/>
            <w:hideMark/>
          </w:tcPr>
          <w:p w14:paraId="039EA438" w14:textId="497BD530" w:rsidR="00021C31" w:rsidRPr="006401AD" w:rsidRDefault="00021C31" w:rsidP="003616E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General Practice </w:t>
            </w:r>
            <w:r w:rsidR="003616E0"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Family Practice</w:t>
            </w:r>
          </w:p>
        </w:tc>
        <w:tc>
          <w:tcPr>
            <w:tcW w:w="2693" w:type="dxa"/>
            <w:hideMark/>
          </w:tcPr>
          <w:p w14:paraId="780EB01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CC7E17">
              <w:rPr>
                <w:rFonts w:ascii="Arial" w:eastAsia="Times New Roman" w:hAnsi="Arial" w:cs="Arial"/>
                <w:color w:val="000000"/>
                <w:bdr w:val="none" w:sz="0" w:space="0" w:color="auto"/>
                <w:lang w:val="en-CA"/>
              </w:rPr>
              <w:t>79</w:t>
            </w:r>
          </w:p>
        </w:tc>
      </w:tr>
      <w:tr w:rsidR="00021C31" w:rsidRPr="00CC7E17" w14:paraId="06C67112" w14:textId="77777777" w:rsidTr="00021C31">
        <w:trPr>
          <w:trHeight w:val="325"/>
        </w:trPr>
        <w:tc>
          <w:tcPr>
            <w:tcW w:w="4786" w:type="dxa"/>
            <w:hideMark/>
          </w:tcPr>
          <w:p w14:paraId="478F129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Pediatric Neonatology</w:t>
            </w:r>
          </w:p>
        </w:tc>
        <w:tc>
          <w:tcPr>
            <w:tcW w:w="2693" w:type="dxa"/>
            <w:hideMark/>
          </w:tcPr>
          <w:p w14:paraId="56C96221"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69</w:t>
            </w:r>
          </w:p>
        </w:tc>
      </w:tr>
      <w:tr w:rsidR="00021C31" w:rsidRPr="00CC7E17" w14:paraId="440DD728" w14:textId="77777777" w:rsidTr="00021C31">
        <w:trPr>
          <w:trHeight w:val="233"/>
        </w:trPr>
        <w:tc>
          <w:tcPr>
            <w:tcW w:w="4786" w:type="dxa"/>
            <w:hideMark/>
          </w:tcPr>
          <w:p w14:paraId="05EC744B" w14:textId="2EAE6ED3" w:rsidR="00021C31" w:rsidRPr="00CC7E17" w:rsidRDefault="00021C31" w:rsidP="003616E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General Internal Medicine-Primary Care</w:t>
            </w:r>
          </w:p>
        </w:tc>
        <w:tc>
          <w:tcPr>
            <w:tcW w:w="2693" w:type="dxa"/>
            <w:hideMark/>
          </w:tcPr>
          <w:p w14:paraId="5B360FED"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68</w:t>
            </w:r>
          </w:p>
        </w:tc>
      </w:tr>
      <w:tr w:rsidR="00021C31" w:rsidRPr="00CC7E17" w14:paraId="7D3BD11D" w14:textId="77777777" w:rsidTr="00021C31">
        <w:trPr>
          <w:trHeight w:val="195"/>
        </w:trPr>
        <w:tc>
          <w:tcPr>
            <w:tcW w:w="4786" w:type="dxa"/>
            <w:hideMark/>
          </w:tcPr>
          <w:p w14:paraId="6203EE20"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Cardiology</w:t>
            </w:r>
          </w:p>
        </w:tc>
        <w:tc>
          <w:tcPr>
            <w:tcW w:w="2693" w:type="dxa"/>
            <w:hideMark/>
          </w:tcPr>
          <w:p w14:paraId="4BD31E3C"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67</w:t>
            </w:r>
          </w:p>
        </w:tc>
      </w:tr>
      <w:tr w:rsidR="00021C31" w:rsidRPr="00CC7E17" w14:paraId="3F5F7C52" w14:textId="77777777" w:rsidTr="00021C31">
        <w:trPr>
          <w:trHeight w:val="249"/>
        </w:trPr>
        <w:tc>
          <w:tcPr>
            <w:tcW w:w="4786" w:type="dxa"/>
            <w:hideMark/>
          </w:tcPr>
          <w:p w14:paraId="7AD24642"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Neurology</w:t>
            </w:r>
          </w:p>
        </w:tc>
        <w:tc>
          <w:tcPr>
            <w:tcW w:w="2693" w:type="dxa"/>
            <w:hideMark/>
          </w:tcPr>
          <w:p w14:paraId="6FDE5493"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43</w:t>
            </w:r>
          </w:p>
        </w:tc>
      </w:tr>
      <w:tr w:rsidR="00021C31" w:rsidRPr="00CC7E17" w14:paraId="5A538E27" w14:textId="77777777" w:rsidTr="00021C31">
        <w:trPr>
          <w:trHeight w:val="285"/>
        </w:trPr>
        <w:tc>
          <w:tcPr>
            <w:tcW w:w="4786" w:type="dxa"/>
            <w:hideMark/>
          </w:tcPr>
          <w:p w14:paraId="4D312570"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Rheumatology</w:t>
            </w:r>
          </w:p>
        </w:tc>
        <w:tc>
          <w:tcPr>
            <w:tcW w:w="2693" w:type="dxa"/>
            <w:hideMark/>
          </w:tcPr>
          <w:p w14:paraId="717616BF"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42</w:t>
            </w:r>
          </w:p>
        </w:tc>
      </w:tr>
      <w:tr w:rsidR="00021C31" w:rsidRPr="00CC7E17" w14:paraId="2B4027AC" w14:textId="77777777" w:rsidTr="00021C31">
        <w:trPr>
          <w:trHeight w:val="300"/>
        </w:trPr>
        <w:tc>
          <w:tcPr>
            <w:tcW w:w="4786" w:type="dxa"/>
            <w:hideMark/>
          </w:tcPr>
          <w:p w14:paraId="5281563E"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Obstetrics</w:t>
            </w:r>
          </w:p>
        </w:tc>
        <w:tc>
          <w:tcPr>
            <w:tcW w:w="2693" w:type="dxa"/>
            <w:hideMark/>
          </w:tcPr>
          <w:p w14:paraId="46D66DD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41</w:t>
            </w:r>
          </w:p>
        </w:tc>
      </w:tr>
      <w:tr w:rsidR="00021C31" w:rsidRPr="00CC7E17" w14:paraId="5F2EBF14" w14:textId="77777777" w:rsidTr="00021C31">
        <w:trPr>
          <w:trHeight w:val="300"/>
        </w:trPr>
        <w:tc>
          <w:tcPr>
            <w:tcW w:w="4786" w:type="dxa"/>
            <w:hideMark/>
          </w:tcPr>
          <w:p w14:paraId="573EBA2A"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Infectious Disease</w:t>
            </w:r>
          </w:p>
        </w:tc>
        <w:tc>
          <w:tcPr>
            <w:tcW w:w="2693" w:type="dxa"/>
            <w:hideMark/>
          </w:tcPr>
          <w:p w14:paraId="1C78BE71"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34</w:t>
            </w:r>
          </w:p>
        </w:tc>
      </w:tr>
      <w:tr w:rsidR="00021C31" w:rsidRPr="00CC7E17" w14:paraId="41BF4B45" w14:textId="77777777" w:rsidTr="00021C31">
        <w:trPr>
          <w:trHeight w:val="291"/>
        </w:trPr>
        <w:tc>
          <w:tcPr>
            <w:tcW w:w="4786" w:type="dxa"/>
            <w:hideMark/>
          </w:tcPr>
          <w:p w14:paraId="1F654DCA" w14:textId="3ED0FAEB"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Endocrin</w:t>
            </w:r>
            <w:r w:rsidR="00501736" w:rsidRPr="00CC7E17">
              <w:rPr>
                <w:rFonts w:ascii="Arial" w:eastAsia="Times New Roman" w:hAnsi="Arial" w:cs="Arial"/>
                <w:color w:val="000000"/>
                <w:sz w:val="22"/>
                <w:szCs w:val="22"/>
                <w:bdr w:val="none" w:sz="0" w:space="0" w:color="auto"/>
                <w:lang w:val="en-CA"/>
              </w:rPr>
              <w:t>ology</w:t>
            </w:r>
          </w:p>
        </w:tc>
        <w:tc>
          <w:tcPr>
            <w:tcW w:w="2693" w:type="dxa"/>
            <w:hideMark/>
          </w:tcPr>
          <w:p w14:paraId="0C660AF7"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28</w:t>
            </w:r>
          </w:p>
        </w:tc>
      </w:tr>
      <w:tr w:rsidR="00021C31" w:rsidRPr="00CC7E17" w14:paraId="39D81BEC" w14:textId="77777777" w:rsidTr="00021C31">
        <w:trPr>
          <w:trHeight w:val="300"/>
        </w:trPr>
        <w:tc>
          <w:tcPr>
            <w:tcW w:w="4786" w:type="dxa"/>
            <w:hideMark/>
          </w:tcPr>
          <w:p w14:paraId="62B76FFB"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Nephrology</w:t>
            </w:r>
          </w:p>
        </w:tc>
        <w:tc>
          <w:tcPr>
            <w:tcW w:w="2693" w:type="dxa"/>
            <w:hideMark/>
          </w:tcPr>
          <w:p w14:paraId="324FC8D3"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28</w:t>
            </w:r>
          </w:p>
        </w:tc>
      </w:tr>
      <w:tr w:rsidR="00021C31" w:rsidRPr="00CC7E17" w14:paraId="377331B1" w14:textId="77777777" w:rsidTr="00021C31">
        <w:trPr>
          <w:trHeight w:val="300"/>
        </w:trPr>
        <w:tc>
          <w:tcPr>
            <w:tcW w:w="4786" w:type="dxa"/>
            <w:hideMark/>
          </w:tcPr>
          <w:p w14:paraId="32B3FB5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Pediatric Hospital Medicine</w:t>
            </w:r>
          </w:p>
        </w:tc>
        <w:tc>
          <w:tcPr>
            <w:tcW w:w="2693" w:type="dxa"/>
            <w:hideMark/>
          </w:tcPr>
          <w:p w14:paraId="3DBDDA7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28</w:t>
            </w:r>
          </w:p>
        </w:tc>
      </w:tr>
      <w:tr w:rsidR="00021C31" w:rsidRPr="00CC7E17" w14:paraId="61D8CB20" w14:textId="77777777" w:rsidTr="00021C31">
        <w:trPr>
          <w:trHeight w:val="137"/>
        </w:trPr>
        <w:tc>
          <w:tcPr>
            <w:tcW w:w="4786" w:type="dxa"/>
            <w:hideMark/>
          </w:tcPr>
          <w:p w14:paraId="5946360E"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Respirology/Pulmonology</w:t>
            </w:r>
          </w:p>
        </w:tc>
        <w:tc>
          <w:tcPr>
            <w:tcW w:w="2693" w:type="dxa"/>
            <w:hideMark/>
          </w:tcPr>
          <w:p w14:paraId="7594A05B"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26</w:t>
            </w:r>
          </w:p>
        </w:tc>
      </w:tr>
      <w:tr w:rsidR="00021C31" w:rsidRPr="00CC7E17" w14:paraId="067B4934" w14:textId="77777777" w:rsidTr="00021C31">
        <w:trPr>
          <w:trHeight w:val="191"/>
        </w:trPr>
        <w:tc>
          <w:tcPr>
            <w:tcW w:w="4786" w:type="dxa"/>
            <w:hideMark/>
          </w:tcPr>
          <w:p w14:paraId="54F5856E"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Hospital Doctor/Hospitalists</w:t>
            </w:r>
          </w:p>
        </w:tc>
        <w:tc>
          <w:tcPr>
            <w:tcW w:w="2693" w:type="dxa"/>
            <w:hideMark/>
          </w:tcPr>
          <w:p w14:paraId="6A0CC1FF"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24</w:t>
            </w:r>
          </w:p>
        </w:tc>
      </w:tr>
      <w:tr w:rsidR="00021C31" w:rsidRPr="00CC7E17" w14:paraId="29F65A02" w14:textId="77777777" w:rsidTr="00021C31">
        <w:trPr>
          <w:trHeight w:val="227"/>
        </w:trPr>
        <w:tc>
          <w:tcPr>
            <w:tcW w:w="4786" w:type="dxa"/>
            <w:hideMark/>
          </w:tcPr>
          <w:p w14:paraId="42B4032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Hematology/Thrombosis</w:t>
            </w:r>
          </w:p>
        </w:tc>
        <w:tc>
          <w:tcPr>
            <w:tcW w:w="2693" w:type="dxa"/>
            <w:hideMark/>
          </w:tcPr>
          <w:p w14:paraId="0EE95F3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20</w:t>
            </w:r>
          </w:p>
        </w:tc>
      </w:tr>
      <w:tr w:rsidR="00021C31" w:rsidRPr="00CC7E17" w14:paraId="1F2D5250" w14:textId="77777777" w:rsidTr="00021C31">
        <w:trPr>
          <w:trHeight w:val="178"/>
        </w:trPr>
        <w:tc>
          <w:tcPr>
            <w:tcW w:w="4786" w:type="dxa"/>
            <w:hideMark/>
          </w:tcPr>
          <w:p w14:paraId="6AE7CBD3"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GP/FP/Obstetrics</w:t>
            </w:r>
          </w:p>
        </w:tc>
        <w:tc>
          <w:tcPr>
            <w:tcW w:w="2693" w:type="dxa"/>
            <w:hideMark/>
          </w:tcPr>
          <w:p w14:paraId="59835A55"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19</w:t>
            </w:r>
          </w:p>
        </w:tc>
      </w:tr>
      <w:tr w:rsidR="00021C31" w:rsidRPr="00CC7E17" w14:paraId="08AF8127" w14:textId="77777777" w:rsidTr="00021C31">
        <w:trPr>
          <w:trHeight w:val="300"/>
        </w:trPr>
        <w:tc>
          <w:tcPr>
            <w:tcW w:w="4786" w:type="dxa"/>
            <w:hideMark/>
          </w:tcPr>
          <w:p w14:paraId="28BB7BF7"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Emergency Medicine</w:t>
            </w:r>
          </w:p>
        </w:tc>
        <w:tc>
          <w:tcPr>
            <w:tcW w:w="2693" w:type="dxa"/>
            <w:hideMark/>
          </w:tcPr>
          <w:p w14:paraId="3B8F6F5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16</w:t>
            </w:r>
          </w:p>
        </w:tc>
      </w:tr>
      <w:tr w:rsidR="00021C31" w:rsidRPr="00CC7E17" w14:paraId="744CB5FB" w14:textId="77777777" w:rsidTr="00021C31">
        <w:trPr>
          <w:trHeight w:val="300"/>
        </w:trPr>
        <w:tc>
          <w:tcPr>
            <w:tcW w:w="4786" w:type="dxa"/>
            <w:hideMark/>
          </w:tcPr>
          <w:p w14:paraId="4FFA642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Gastroenterology</w:t>
            </w:r>
          </w:p>
        </w:tc>
        <w:tc>
          <w:tcPr>
            <w:tcW w:w="2693" w:type="dxa"/>
            <w:hideMark/>
          </w:tcPr>
          <w:p w14:paraId="53E0DB5F"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15</w:t>
            </w:r>
          </w:p>
        </w:tc>
      </w:tr>
      <w:tr w:rsidR="00021C31" w:rsidRPr="00CC7E17" w14:paraId="5A36535F" w14:textId="77777777" w:rsidTr="00021C31">
        <w:trPr>
          <w:trHeight w:val="169"/>
        </w:trPr>
        <w:tc>
          <w:tcPr>
            <w:tcW w:w="4786" w:type="dxa"/>
            <w:hideMark/>
          </w:tcPr>
          <w:p w14:paraId="3DEE62A8"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Oncology - General</w:t>
            </w:r>
          </w:p>
        </w:tc>
        <w:tc>
          <w:tcPr>
            <w:tcW w:w="2693" w:type="dxa"/>
            <w:hideMark/>
          </w:tcPr>
          <w:p w14:paraId="7D4BA643"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15</w:t>
            </w:r>
          </w:p>
        </w:tc>
      </w:tr>
      <w:tr w:rsidR="00021C31" w:rsidRPr="00CC7E17" w14:paraId="05F5C442" w14:textId="77777777" w:rsidTr="00021C31">
        <w:trPr>
          <w:trHeight w:val="219"/>
        </w:trPr>
        <w:tc>
          <w:tcPr>
            <w:tcW w:w="4786" w:type="dxa"/>
            <w:hideMark/>
          </w:tcPr>
          <w:p w14:paraId="7129473D"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Allergy and Immunology</w:t>
            </w:r>
          </w:p>
        </w:tc>
        <w:tc>
          <w:tcPr>
            <w:tcW w:w="2693" w:type="dxa"/>
            <w:hideMark/>
          </w:tcPr>
          <w:p w14:paraId="579EE64C"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13</w:t>
            </w:r>
          </w:p>
        </w:tc>
      </w:tr>
      <w:tr w:rsidR="00021C31" w:rsidRPr="00CC7E17" w14:paraId="5216F961" w14:textId="77777777" w:rsidTr="00021C31">
        <w:trPr>
          <w:trHeight w:val="181"/>
        </w:trPr>
        <w:tc>
          <w:tcPr>
            <w:tcW w:w="4786" w:type="dxa"/>
            <w:hideMark/>
          </w:tcPr>
          <w:p w14:paraId="4076D8DD"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 Cardiac </w:t>
            </w:r>
          </w:p>
        </w:tc>
        <w:tc>
          <w:tcPr>
            <w:tcW w:w="2693" w:type="dxa"/>
            <w:hideMark/>
          </w:tcPr>
          <w:p w14:paraId="2A6A7BAA"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13</w:t>
            </w:r>
          </w:p>
        </w:tc>
      </w:tr>
      <w:tr w:rsidR="00021C31" w:rsidRPr="00CC7E17" w14:paraId="251847A6" w14:textId="77777777" w:rsidTr="00021C31">
        <w:trPr>
          <w:trHeight w:val="236"/>
        </w:trPr>
        <w:tc>
          <w:tcPr>
            <w:tcW w:w="4786" w:type="dxa"/>
            <w:hideMark/>
          </w:tcPr>
          <w:p w14:paraId="5669E92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Intensivist/Critical Care</w:t>
            </w:r>
          </w:p>
        </w:tc>
        <w:tc>
          <w:tcPr>
            <w:tcW w:w="2693" w:type="dxa"/>
            <w:hideMark/>
          </w:tcPr>
          <w:p w14:paraId="3822AB7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12</w:t>
            </w:r>
          </w:p>
        </w:tc>
      </w:tr>
      <w:tr w:rsidR="00021C31" w:rsidRPr="00CC7E17" w14:paraId="04B34631" w14:textId="77777777" w:rsidTr="00021C31">
        <w:trPr>
          <w:trHeight w:val="271"/>
        </w:trPr>
        <w:tc>
          <w:tcPr>
            <w:tcW w:w="4786" w:type="dxa"/>
            <w:hideMark/>
          </w:tcPr>
          <w:p w14:paraId="2F81823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Genetics</w:t>
            </w:r>
          </w:p>
        </w:tc>
        <w:tc>
          <w:tcPr>
            <w:tcW w:w="2693" w:type="dxa"/>
            <w:hideMark/>
          </w:tcPr>
          <w:p w14:paraId="166D932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10</w:t>
            </w:r>
          </w:p>
        </w:tc>
      </w:tr>
      <w:tr w:rsidR="00021C31" w:rsidRPr="00CC7E17" w14:paraId="529D32E8" w14:textId="77777777" w:rsidTr="00021C31">
        <w:trPr>
          <w:trHeight w:val="165"/>
        </w:trPr>
        <w:tc>
          <w:tcPr>
            <w:tcW w:w="4786" w:type="dxa"/>
            <w:hideMark/>
          </w:tcPr>
          <w:p w14:paraId="6C98856A"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Public Health</w:t>
            </w:r>
          </w:p>
        </w:tc>
        <w:tc>
          <w:tcPr>
            <w:tcW w:w="2693" w:type="dxa"/>
            <w:hideMark/>
          </w:tcPr>
          <w:p w14:paraId="3243158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10</w:t>
            </w:r>
          </w:p>
        </w:tc>
      </w:tr>
      <w:tr w:rsidR="00021C31" w:rsidRPr="00CC7E17" w14:paraId="258CB6A8" w14:textId="77777777" w:rsidTr="00021C31">
        <w:trPr>
          <w:trHeight w:val="215"/>
        </w:trPr>
        <w:tc>
          <w:tcPr>
            <w:tcW w:w="4786" w:type="dxa"/>
            <w:hideMark/>
          </w:tcPr>
          <w:p w14:paraId="73B6D2D5" w14:textId="3AA1B40D"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Orthopaedics</w:t>
            </w:r>
          </w:p>
        </w:tc>
        <w:tc>
          <w:tcPr>
            <w:tcW w:w="2693" w:type="dxa"/>
            <w:hideMark/>
          </w:tcPr>
          <w:p w14:paraId="47C32C71"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7</w:t>
            </w:r>
          </w:p>
        </w:tc>
      </w:tr>
      <w:tr w:rsidR="00021C31" w:rsidRPr="00CC7E17" w14:paraId="1107AD88" w14:textId="77777777" w:rsidTr="00021C31">
        <w:trPr>
          <w:trHeight w:val="300"/>
        </w:trPr>
        <w:tc>
          <w:tcPr>
            <w:tcW w:w="4786" w:type="dxa"/>
            <w:hideMark/>
          </w:tcPr>
          <w:p w14:paraId="22480913"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Special Interest - Obesity -- Physician</w:t>
            </w:r>
          </w:p>
        </w:tc>
        <w:tc>
          <w:tcPr>
            <w:tcW w:w="2693" w:type="dxa"/>
            <w:hideMark/>
          </w:tcPr>
          <w:p w14:paraId="4090E0AA"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7</w:t>
            </w:r>
          </w:p>
        </w:tc>
      </w:tr>
      <w:tr w:rsidR="00021C31" w:rsidRPr="00CC7E17" w14:paraId="5798E52A" w14:textId="77777777" w:rsidTr="00021C31">
        <w:trPr>
          <w:trHeight w:val="300"/>
        </w:trPr>
        <w:tc>
          <w:tcPr>
            <w:tcW w:w="4786" w:type="dxa"/>
            <w:hideMark/>
          </w:tcPr>
          <w:p w14:paraId="6E98F0BA"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Geriatrics</w:t>
            </w:r>
          </w:p>
        </w:tc>
        <w:tc>
          <w:tcPr>
            <w:tcW w:w="2693" w:type="dxa"/>
            <w:hideMark/>
          </w:tcPr>
          <w:p w14:paraId="7C5803DB"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6</w:t>
            </w:r>
          </w:p>
        </w:tc>
      </w:tr>
      <w:tr w:rsidR="00021C31" w:rsidRPr="00CC7E17" w14:paraId="4EB27F91" w14:textId="77777777" w:rsidTr="00021C31">
        <w:trPr>
          <w:trHeight w:val="203"/>
        </w:trPr>
        <w:tc>
          <w:tcPr>
            <w:tcW w:w="4786" w:type="dxa"/>
            <w:hideMark/>
          </w:tcPr>
          <w:p w14:paraId="1F9C58CC"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Gynecology</w:t>
            </w:r>
          </w:p>
        </w:tc>
        <w:tc>
          <w:tcPr>
            <w:tcW w:w="2693" w:type="dxa"/>
            <w:hideMark/>
          </w:tcPr>
          <w:p w14:paraId="4C074A1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6</w:t>
            </w:r>
          </w:p>
        </w:tc>
      </w:tr>
      <w:tr w:rsidR="00021C31" w:rsidRPr="00CC7E17" w14:paraId="7CB16EC7" w14:textId="77777777" w:rsidTr="00021C31">
        <w:trPr>
          <w:trHeight w:val="115"/>
        </w:trPr>
        <w:tc>
          <w:tcPr>
            <w:tcW w:w="4786" w:type="dxa"/>
            <w:hideMark/>
          </w:tcPr>
          <w:p w14:paraId="30D4B96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Psychiatry</w:t>
            </w:r>
          </w:p>
        </w:tc>
        <w:tc>
          <w:tcPr>
            <w:tcW w:w="2693" w:type="dxa"/>
            <w:hideMark/>
          </w:tcPr>
          <w:p w14:paraId="6BD8F16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6</w:t>
            </w:r>
          </w:p>
        </w:tc>
      </w:tr>
      <w:tr w:rsidR="00021C31" w:rsidRPr="00CC7E17" w14:paraId="77530685" w14:textId="77777777" w:rsidTr="00021C31">
        <w:trPr>
          <w:trHeight w:val="152"/>
        </w:trPr>
        <w:tc>
          <w:tcPr>
            <w:tcW w:w="4786" w:type="dxa"/>
            <w:hideMark/>
          </w:tcPr>
          <w:p w14:paraId="3DF3C66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Oncology - Gastrointestinal</w:t>
            </w:r>
          </w:p>
        </w:tc>
        <w:tc>
          <w:tcPr>
            <w:tcW w:w="2693" w:type="dxa"/>
            <w:hideMark/>
          </w:tcPr>
          <w:p w14:paraId="4C0F0581"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5</w:t>
            </w:r>
          </w:p>
        </w:tc>
      </w:tr>
      <w:tr w:rsidR="00021C31" w:rsidRPr="00CC7E17" w14:paraId="60103C70" w14:textId="77777777" w:rsidTr="00021C31">
        <w:trPr>
          <w:trHeight w:val="205"/>
        </w:trPr>
        <w:tc>
          <w:tcPr>
            <w:tcW w:w="4786" w:type="dxa"/>
            <w:hideMark/>
          </w:tcPr>
          <w:p w14:paraId="472E024B" w14:textId="58237BCE"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Oncology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Gynecology</w:t>
            </w:r>
          </w:p>
        </w:tc>
        <w:tc>
          <w:tcPr>
            <w:tcW w:w="2693" w:type="dxa"/>
            <w:hideMark/>
          </w:tcPr>
          <w:p w14:paraId="4B1AD95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5</w:t>
            </w:r>
          </w:p>
        </w:tc>
      </w:tr>
      <w:tr w:rsidR="00021C31" w:rsidRPr="00CC7E17" w14:paraId="5235663F" w14:textId="77777777" w:rsidTr="00021C31">
        <w:trPr>
          <w:trHeight w:val="259"/>
        </w:trPr>
        <w:tc>
          <w:tcPr>
            <w:tcW w:w="4786" w:type="dxa"/>
            <w:hideMark/>
          </w:tcPr>
          <w:p w14:paraId="69EB751E" w14:textId="20FD954A"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Oncology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Hematology</w:t>
            </w:r>
          </w:p>
        </w:tc>
        <w:tc>
          <w:tcPr>
            <w:tcW w:w="2693" w:type="dxa"/>
            <w:hideMark/>
          </w:tcPr>
          <w:p w14:paraId="08F8F75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5</w:t>
            </w:r>
          </w:p>
        </w:tc>
      </w:tr>
      <w:tr w:rsidR="00021C31" w:rsidRPr="00CC7E17" w14:paraId="1B656BC1" w14:textId="77777777" w:rsidTr="00021C31">
        <w:trPr>
          <w:trHeight w:val="171"/>
        </w:trPr>
        <w:tc>
          <w:tcPr>
            <w:tcW w:w="4786" w:type="dxa"/>
            <w:hideMark/>
          </w:tcPr>
          <w:p w14:paraId="65A06E1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Physical Medicine and Rehabilitation</w:t>
            </w:r>
          </w:p>
        </w:tc>
        <w:tc>
          <w:tcPr>
            <w:tcW w:w="2693" w:type="dxa"/>
            <w:hideMark/>
          </w:tcPr>
          <w:p w14:paraId="56ABE462"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4</w:t>
            </w:r>
          </w:p>
        </w:tc>
      </w:tr>
      <w:tr w:rsidR="00021C31" w:rsidRPr="00CC7E17" w14:paraId="563B2D89" w14:textId="77777777" w:rsidTr="00021C31">
        <w:trPr>
          <w:trHeight w:val="79"/>
        </w:trPr>
        <w:tc>
          <w:tcPr>
            <w:tcW w:w="4786" w:type="dxa"/>
            <w:hideMark/>
          </w:tcPr>
          <w:p w14:paraId="1CE3910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Surgery - Ophthalmology</w:t>
            </w:r>
          </w:p>
        </w:tc>
        <w:tc>
          <w:tcPr>
            <w:tcW w:w="2693" w:type="dxa"/>
            <w:hideMark/>
          </w:tcPr>
          <w:p w14:paraId="613F58B6"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4</w:t>
            </w:r>
          </w:p>
        </w:tc>
      </w:tr>
      <w:tr w:rsidR="00021C31" w:rsidRPr="00CC7E17" w14:paraId="20D555C9" w14:textId="77777777" w:rsidTr="00021C31">
        <w:trPr>
          <w:trHeight w:val="289"/>
        </w:trPr>
        <w:tc>
          <w:tcPr>
            <w:tcW w:w="4786" w:type="dxa"/>
            <w:hideMark/>
          </w:tcPr>
          <w:p w14:paraId="374EBE6E"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Oncology - Genitourinary</w:t>
            </w:r>
          </w:p>
        </w:tc>
        <w:tc>
          <w:tcPr>
            <w:tcW w:w="2693" w:type="dxa"/>
            <w:hideMark/>
          </w:tcPr>
          <w:p w14:paraId="62EC5DBF"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4</w:t>
            </w:r>
          </w:p>
        </w:tc>
      </w:tr>
      <w:tr w:rsidR="00021C31" w:rsidRPr="00CC7E17" w14:paraId="40B09BA8" w14:textId="77777777" w:rsidTr="00021C31">
        <w:trPr>
          <w:trHeight w:val="178"/>
        </w:trPr>
        <w:tc>
          <w:tcPr>
            <w:tcW w:w="4786" w:type="dxa"/>
            <w:hideMark/>
          </w:tcPr>
          <w:p w14:paraId="3348BAFD" w14:textId="4839E78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General</w:t>
            </w:r>
          </w:p>
        </w:tc>
        <w:tc>
          <w:tcPr>
            <w:tcW w:w="2693" w:type="dxa"/>
            <w:hideMark/>
          </w:tcPr>
          <w:p w14:paraId="083A53E1"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3</w:t>
            </w:r>
          </w:p>
        </w:tc>
      </w:tr>
      <w:tr w:rsidR="00021C31" w:rsidRPr="00CC7E17" w14:paraId="42BF8839" w14:textId="77777777" w:rsidTr="00021C31">
        <w:trPr>
          <w:trHeight w:val="200"/>
        </w:trPr>
        <w:tc>
          <w:tcPr>
            <w:tcW w:w="4786" w:type="dxa"/>
            <w:hideMark/>
          </w:tcPr>
          <w:p w14:paraId="5250495B" w14:textId="2D1833AE"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Neurosurgery</w:t>
            </w:r>
          </w:p>
        </w:tc>
        <w:tc>
          <w:tcPr>
            <w:tcW w:w="2693" w:type="dxa"/>
            <w:hideMark/>
          </w:tcPr>
          <w:p w14:paraId="6D1B1347"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3</w:t>
            </w:r>
          </w:p>
        </w:tc>
      </w:tr>
      <w:tr w:rsidR="00021C31" w:rsidRPr="00CC7E17" w14:paraId="2F3466DC" w14:textId="77777777" w:rsidTr="00021C31">
        <w:trPr>
          <w:trHeight w:val="236"/>
        </w:trPr>
        <w:tc>
          <w:tcPr>
            <w:tcW w:w="4786" w:type="dxa"/>
            <w:hideMark/>
          </w:tcPr>
          <w:p w14:paraId="48D9CF3E" w14:textId="108C7978"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Urology</w:t>
            </w:r>
          </w:p>
        </w:tc>
        <w:tc>
          <w:tcPr>
            <w:tcW w:w="2693" w:type="dxa"/>
            <w:hideMark/>
          </w:tcPr>
          <w:p w14:paraId="66F063E0"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3</w:t>
            </w:r>
          </w:p>
        </w:tc>
      </w:tr>
      <w:tr w:rsidR="00021C31" w:rsidRPr="00CC7E17" w14:paraId="02BE8B40" w14:textId="77777777" w:rsidTr="00021C31">
        <w:trPr>
          <w:trHeight w:val="271"/>
        </w:trPr>
        <w:tc>
          <w:tcPr>
            <w:tcW w:w="4786" w:type="dxa"/>
            <w:hideMark/>
          </w:tcPr>
          <w:p w14:paraId="085AE1A3"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Surgery - Ear Nose Throat</w:t>
            </w:r>
          </w:p>
        </w:tc>
        <w:tc>
          <w:tcPr>
            <w:tcW w:w="2693" w:type="dxa"/>
            <w:hideMark/>
          </w:tcPr>
          <w:p w14:paraId="218EEA48"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3</w:t>
            </w:r>
          </w:p>
        </w:tc>
      </w:tr>
      <w:tr w:rsidR="00021C31" w:rsidRPr="00CC7E17" w14:paraId="0156F033" w14:textId="77777777" w:rsidTr="00021C31">
        <w:trPr>
          <w:trHeight w:val="75"/>
        </w:trPr>
        <w:tc>
          <w:tcPr>
            <w:tcW w:w="4786" w:type="dxa"/>
            <w:hideMark/>
          </w:tcPr>
          <w:p w14:paraId="62F0C77A" w14:textId="14079024"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G</w:t>
            </w:r>
            <w:r w:rsidR="00F35F65" w:rsidRPr="00CC7E17">
              <w:rPr>
                <w:rFonts w:ascii="Arial" w:eastAsia="Times New Roman" w:hAnsi="Arial" w:cs="Arial"/>
                <w:color w:val="000000"/>
                <w:sz w:val="22"/>
                <w:szCs w:val="22"/>
                <w:bdr w:val="none" w:sz="0" w:space="0" w:color="auto"/>
                <w:lang w:val="en-CA"/>
              </w:rPr>
              <w:t xml:space="preserve">eneral </w:t>
            </w:r>
            <w:r w:rsidRPr="00CC7E17">
              <w:rPr>
                <w:rFonts w:ascii="Arial" w:eastAsia="Times New Roman" w:hAnsi="Arial" w:cs="Arial"/>
                <w:color w:val="000000"/>
                <w:sz w:val="22"/>
                <w:szCs w:val="22"/>
                <w:bdr w:val="none" w:sz="0" w:space="0" w:color="auto"/>
                <w:lang w:val="en-CA"/>
              </w:rPr>
              <w:t>P</w:t>
            </w:r>
            <w:r w:rsidR="00F35F65" w:rsidRPr="00CC7E17">
              <w:rPr>
                <w:rFonts w:ascii="Arial" w:eastAsia="Times New Roman" w:hAnsi="Arial" w:cs="Arial"/>
                <w:color w:val="000000"/>
                <w:sz w:val="22"/>
                <w:szCs w:val="22"/>
                <w:bdr w:val="none" w:sz="0" w:space="0" w:color="auto"/>
                <w:lang w:val="en-CA"/>
              </w:rPr>
              <w:t>ractice</w:t>
            </w:r>
            <w:r w:rsidRPr="00CC7E17">
              <w:rPr>
                <w:rFonts w:ascii="Arial" w:eastAsia="Times New Roman" w:hAnsi="Arial" w:cs="Arial"/>
                <w:color w:val="000000"/>
                <w:sz w:val="22"/>
                <w:szCs w:val="22"/>
                <w:bdr w:val="none" w:sz="0" w:space="0" w:color="auto"/>
                <w:lang w:val="en-CA"/>
              </w:rPr>
              <w:t>/F</w:t>
            </w:r>
            <w:r w:rsidR="00F35F65" w:rsidRPr="00CC7E17">
              <w:rPr>
                <w:rFonts w:ascii="Arial" w:eastAsia="Times New Roman" w:hAnsi="Arial" w:cs="Arial"/>
                <w:color w:val="000000"/>
                <w:sz w:val="22"/>
                <w:szCs w:val="22"/>
                <w:bdr w:val="none" w:sz="0" w:space="0" w:color="auto"/>
                <w:lang w:val="en-CA"/>
              </w:rPr>
              <w:t xml:space="preserve">amily </w:t>
            </w:r>
            <w:r w:rsidRPr="006401AD">
              <w:rPr>
                <w:rFonts w:ascii="Arial" w:eastAsia="Times New Roman" w:hAnsi="Arial" w:cs="Arial"/>
                <w:color w:val="000000"/>
                <w:sz w:val="22"/>
                <w:szCs w:val="22"/>
                <w:bdr w:val="none" w:sz="0" w:space="0" w:color="auto"/>
                <w:lang w:val="en-CA"/>
              </w:rPr>
              <w:t>P</w:t>
            </w:r>
            <w:r w:rsidR="00F35F65" w:rsidRPr="00CC7E17">
              <w:rPr>
                <w:rFonts w:ascii="Arial" w:eastAsia="Times New Roman" w:hAnsi="Arial" w:cs="Arial"/>
                <w:color w:val="000000"/>
                <w:sz w:val="22"/>
                <w:szCs w:val="22"/>
                <w:bdr w:val="none" w:sz="0" w:space="0" w:color="auto"/>
                <w:lang w:val="en-CA"/>
              </w:rPr>
              <w:t>ractice</w:t>
            </w:r>
            <w:r w:rsidRPr="00CC7E17">
              <w:rPr>
                <w:rFonts w:ascii="Arial" w:eastAsia="Times New Roman" w:hAnsi="Arial" w:cs="Arial"/>
                <w:color w:val="000000"/>
                <w:sz w:val="22"/>
                <w:szCs w:val="22"/>
                <w:bdr w:val="none" w:sz="0" w:space="0" w:color="auto"/>
                <w:lang w:val="en-CA"/>
              </w:rPr>
              <w:t>/Mental Health</w:t>
            </w:r>
          </w:p>
        </w:tc>
        <w:tc>
          <w:tcPr>
            <w:tcW w:w="2693" w:type="dxa"/>
            <w:hideMark/>
          </w:tcPr>
          <w:p w14:paraId="4A217A20"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CC7E17">
              <w:rPr>
                <w:rFonts w:ascii="Arial" w:eastAsia="Times New Roman" w:hAnsi="Arial" w:cs="Arial"/>
                <w:color w:val="000000"/>
                <w:bdr w:val="none" w:sz="0" w:space="0" w:color="auto"/>
                <w:lang w:val="en-CA"/>
              </w:rPr>
              <w:t>2</w:t>
            </w:r>
          </w:p>
        </w:tc>
      </w:tr>
      <w:tr w:rsidR="00021C31" w:rsidRPr="00CC7E17" w14:paraId="195FB0CC" w14:textId="77777777" w:rsidTr="00021C31">
        <w:trPr>
          <w:trHeight w:val="92"/>
        </w:trPr>
        <w:tc>
          <w:tcPr>
            <w:tcW w:w="4786" w:type="dxa"/>
            <w:hideMark/>
          </w:tcPr>
          <w:p w14:paraId="7F498E72"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Tropical and Travel Medicine</w:t>
            </w:r>
          </w:p>
        </w:tc>
        <w:tc>
          <w:tcPr>
            <w:tcW w:w="2693" w:type="dxa"/>
            <w:hideMark/>
          </w:tcPr>
          <w:p w14:paraId="43EA94EA"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w:t>
            </w:r>
          </w:p>
        </w:tc>
      </w:tr>
      <w:tr w:rsidR="00021C31" w:rsidRPr="00CC7E17" w14:paraId="3440531D" w14:textId="77777777" w:rsidTr="00021C31">
        <w:trPr>
          <w:trHeight w:val="159"/>
        </w:trPr>
        <w:tc>
          <w:tcPr>
            <w:tcW w:w="4786" w:type="dxa"/>
            <w:hideMark/>
          </w:tcPr>
          <w:p w14:paraId="070E4925"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Surgery - Head and Neck</w:t>
            </w:r>
          </w:p>
        </w:tc>
        <w:tc>
          <w:tcPr>
            <w:tcW w:w="2693" w:type="dxa"/>
            <w:hideMark/>
          </w:tcPr>
          <w:p w14:paraId="4A18CB6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w:t>
            </w:r>
          </w:p>
        </w:tc>
      </w:tr>
      <w:tr w:rsidR="00021C31" w:rsidRPr="00CC7E17" w14:paraId="2713EF74" w14:textId="77777777" w:rsidTr="00021C31">
        <w:trPr>
          <w:trHeight w:val="213"/>
        </w:trPr>
        <w:tc>
          <w:tcPr>
            <w:tcW w:w="4786" w:type="dxa"/>
            <w:hideMark/>
          </w:tcPr>
          <w:p w14:paraId="22C13C74" w14:textId="7EC64D16"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Oncology</w:t>
            </w:r>
          </w:p>
        </w:tc>
        <w:tc>
          <w:tcPr>
            <w:tcW w:w="2693" w:type="dxa"/>
            <w:hideMark/>
          </w:tcPr>
          <w:p w14:paraId="6A38FB77"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w:t>
            </w:r>
          </w:p>
        </w:tc>
      </w:tr>
      <w:tr w:rsidR="00021C31" w:rsidRPr="00CC7E17" w14:paraId="7D0D50FD" w14:textId="77777777" w:rsidTr="00021C31">
        <w:trPr>
          <w:trHeight w:val="126"/>
        </w:trPr>
        <w:tc>
          <w:tcPr>
            <w:tcW w:w="4786" w:type="dxa"/>
            <w:hideMark/>
          </w:tcPr>
          <w:p w14:paraId="42D60C35" w14:textId="3D6371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Vascular</w:t>
            </w:r>
          </w:p>
        </w:tc>
        <w:tc>
          <w:tcPr>
            <w:tcW w:w="2693" w:type="dxa"/>
            <w:hideMark/>
          </w:tcPr>
          <w:p w14:paraId="289F29A4"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w:t>
            </w:r>
          </w:p>
        </w:tc>
      </w:tr>
      <w:tr w:rsidR="00021C31" w:rsidRPr="00CC7E17" w14:paraId="635D5BB5" w14:textId="77777777" w:rsidTr="00021C31">
        <w:trPr>
          <w:trHeight w:val="212"/>
        </w:trPr>
        <w:tc>
          <w:tcPr>
            <w:tcW w:w="4786" w:type="dxa"/>
            <w:hideMark/>
          </w:tcPr>
          <w:p w14:paraId="02E90701"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Pediatric Emergency Medicine</w:t>
            </w:r>
          </w:p>
        </w:tc>
        <w:tc>
          <w:tcPr>
            <w:tcW w:w="2693" w:type="dxa"/>
            <w:hideMark/>
          </w:tcPr>
          <w:p w14:paraId="40BE660A"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2</w:t>
            </w:r>
          </w:p>
        </w:tc>
      </w:tr>
      <w:tr w:rsidR="00021C31" w:rsidRPr="00CC7E17" w14:paraId="6D35958F" w14:textId="77777777" w:rsidTr="00021C31">
        <w:trPr>
          <w:trHeight w:val="119"/>
        </w:trPr>
        <w:tc>
          <w:tcPr>
            <w:tcW w:w="4786" w:type="dxa"/>
            <w:hideMark/>
          </w:tcPr>
          <w:p w14:paraId="0F9429F0"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Surgery - Gastrointestinal</w:t>
            </w:r>
          </w:p>
        </w:tc>
        <w:tc>
          <w:tcPr>
            <w:tcW w:w="2693" w:type="dxa"/>
            <w:hideMark/>
          </w:tcPr>
          <w:p w14:paraId="4219A757"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w:t>
            </w:r>
          </w:p>
        </w:tc>
      </w:tr>
      <w:tr w:rsidR="00021C31" w:rsidRPr="00CC7E17" w14:paraId="48CCB6F6" w14:textId="77777777" w:rsidTr="00021C31">
        <w:trPr>
          <w:trHeight w:val="173"/>
        </w:trPr>
        <w:tc>
          <w:tcPr>
            <w:tcW w:w="4786" w:type="dxa"/>
            <w:hideMark/>
          </w:tcPr>
          <w:p w14:paraId="3BB790CD" w14:textId="6F39F583"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Plastic</w:t>
            </w:r>
          </w:p>
        </w:tc>
        <w:tc>
          <w:tcPr>
            <w:tcW w:w="2693" w:type="dxa"/>
            <w:hideMark/>
          </w:tcPr>
          <w:p w14:paraId="0C3ADA13"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w:t>
            </w:r>
          </w:p>
        </w:tc>
      </w:tr>
      <w:tr w:rsidR="00021C31" w:rsidRPr="00CC7E17" w14:paraId="6658B792" w14:textId="77777777" w:rsidTr="00021C31">
        <w:trPr>
          <w:trHeight w:val="177"/>
        </w:trPr>
        <w:tc>
          <w:tcPr>
            <w:tcW w:w="4786" w:type="dxa"/>
            <w:hideMark/>
          </w:tcPr>
          <w:p w14:paraId="7093CDB6" w14:textId="33D01FA4"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Surgery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Thoracic</w:t>
            </w:r>
          </w:p>
        </w:tc>
        <w:tc>
          <w:tcPr>
            <w:tcW w:w="2693" w:type="dxa"/>
            <w:hideMark/>
          </w:tcPr>
          <w:p w14:paraId="7147B0DB"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w:t>
            </w:r>
          </w:p>
        </w:tc>
      </w:tr>
      <w:tr w:rsidR="00021C31" w:rsidRPr="00CC7E17" w14:paraId="32BE2AE0" w14:textId="77777777" w:rsidTr="00021C31">
        <w:trPr>
          <w:trHeight w:val="234"/>
        </w:trPr>
        <w:tc>
          <w:tcPr>
            <w:tcW w:w="4786" w:type="dxa"/>
            <w:hideMark/>
          </w:tcPr>
          <w:p w14:paraId="7487392C" w14:textId="78B69280"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Oncology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Breast</w:t>
            </w:r>
          </w:p>
        </w:tc>
        <w:tc>
          <w:tcPr>
            <w:tcW w:w="2693" w:type="dxa"/>
            <w:hideMark/>
          </w:tcPr>
          <w:p w14:paraId="02A944B9"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w:t>
            </w:r>
          </w:p>
        </w:tc>
      </w:tr>
      <w:tr w:rsidR="00021C31" w:rsidRPr="00CC7E17" w14:paraId="45A6AAE4" w14:textId="77777777" w:rsidTr="00021C31">
        <w:trPr>
          <w:trHeight w:val="75"/>
        </w:trPr>
        <w:tc>
          <w:tcPr>
            <w:tcW w:w="4786" w:type="dxa"/>
            <w:hideMark/>
          </w:tcPr>
          <w:p w14:paraId="447F99A9" w14:textId="3CDA7709"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Oncology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Lung</w:t>
            </w:r>
          </w:p>
        </w:tc>
        <w:tc>
          <w:tcPr>
            <w:tcW w:w="2693" w:type="dxa"/>
            <w:hideMark/>
          </w:tcPr>
          <w:p w14:paraId="6E36C168" w14:textId="77777777" w:rsidR="00021C31" w:rsidRPr="00CC7E17" w:rsidRDefault="00021C31"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w:t>
            </w:r>
          </w:p>
        </w:tc>
      </w:tr>
      <w:tr w:rsidR="0091485D" w:rsidRPr="00CC7E17" w14:paraId="4E0C2E83" w14:textId="77777777" w:rsidTr="0091485D">
        <w:trPr>
          <w:trHeight w:val="105"/>
        </w:trPr>
        <w:tc>
          <w:tcPr>
            <w:tcW w:w="4786" w:type="dxa"/>
            <w:hideMark/>
          </w:tcPr>
          <w:p w14:paraId="25F6CD43" w14:textId="652B19F9" w:rsidR="0091485D" w:rsidRPr="00CC7E17" w:rsidRDefault="0091485D"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 xml:space="preserve">Oncology </w:t>
            </w:r>
            <w:r w:rsidR="00EC4AF5" w:rsidRPr="00CC7E17">
              <w:rPr>
                <w:rFonts w:ascii="Arial" w:eastAsia="Times New Roman" w:hAnsi="Arial" w:cs="Arial"/>
                <w:color w:val="000000"/>
                <w:sz w:val="22"/>
                <w:szCs w:val="22"/>
                <w:bdr w:val="none" w:sz="0" w:space="0" w:color="auto"/>
                <w:lang w:val="en-CA"/>
              </w:rPr>
              <w:t>–</w:t>
            </w:r>
            <w:r w:rsidRPr="00CC7E17">
              <w:rPr>
                <w:rFonts w:ascii="Arial" w:eastAsia="Times New Roman" w:hAnsi="Arial" w:cs="Arial"/>
                <w:color w:val="000000"/>
                <w:sz w:val="22"/>
                <w:szCs w:val="22"/>
                <w:bdr w:val="none" w:sz="0" w:space="0" w:color="auto"/>
                <w:lang w:val="en-CA"/>
              </w:rPr>
              <w:t xml:space="preserve"> Pediatric</w:t>
            </w:r>
          </w:p>
        </w:tc>
        <w:tc>
          <w:tcPr>
            <w:tcW w:w="2693" w:type="dxa"/>
            <w:hideMark/>
          </w:tcPr>
          <w:p w14:paraId="082D546A" w14:textId="77777777" w:rsidR="0091485D" w:rsidRPr="00CC7E17" w:rsidRDefault="0091485D"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1</w:t>
            </w:r>
          </w:p>
        </w:tc>
      </w:tr>
      <w:tr w:rsidR="0091485D" w:rsidRPr="00CC7E17" w14:paraId="62294391" w14:textId="77777777" w:rsidTr="00021C31">
        <w:trPr>
          <w:trHeight w:val="105"/>
        </w:trPr>
        <w:tc>
          <w:tcPr>
            <w:tcW w:w="4786" w:type="dxa"/>
          </w:tcPr>
          <w:p w14:paraId="6D36B952" w14:textId="285B00C6" w:rsidR="0091485D" w:rsidRPr="00CC7E17" w:rsidRDefault="0091485D"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color w:val="000000"/>
                <w:sz w:val="22"/>
                <w:szCs w:val="22"/>
                <w:bdr w:val="none" w:sz="0" w:space="0" w:color="auto"/>
                <w:lang w:val="en-CA"/>
              </w:rPr>
            </w:pPr>
            <w:r w:rsidRPr="00CC7E17">
              <w:rPr>
                <w:rFonts w:ascii="Arial" w:eastAsia="Times New Roman" w:hAnsi="Arial" w:cs="Arial"/>
                <w:color w:val="000000"/>
                <w:sz w:val="22"/>
                <w:szCs w:val="22"/>
                <w:bdr w:val="none" w:sz="0" w:space="0" w:color="auto"/>
                <w:lang w:val="en-CA"/>
              </w:rPr>
              <w:t>Imaging</w:t>
            </w:r>
          </w:p>
        </w:tc>
        <w:tc>
          <w:tcPr>
            <w:tcW w:w="2693" w:type="dxa"/>
          </w:tcPr>
          <w:p w14:paraId="6770819D" w14:textId="463980F9" w:rsidR="0091485D" w:rsidRPr="00CC7E17" w:rsidRDefault="0091485D" w:rsidP="000962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Arial" w:eastAsia="Times New Roman" w:hAnsi="Arial" w:cs="Arial"/>
                <w:color w:val="000000"/>
                <w:bdr w:val="none" w:sz="0" w:space="0" w:color="auto"/>
                <w:lang w:val="en-CA"/>
              </w:rPr>
            </w:pPr>
            <w:r w:rsidRPr="006401AD">
              <w:rPr>
                <w:rFonts w:ascii="Arial" w:eastAsia="Times New Roman" w:hAnsi="Arial" w:cs="Arial"/>
                <w:color w:val="000000"/>
                <w:bdr w:val="none" w:sz="0" w:space="0" w:color="auto"/>
                <w:lang w:val="en-CA"/>
              </w:rPr>
              <w:t>0</w:t>
            </w:r>
          </w:p>
        </w:tc>
      </w:tr>
    </w:tbl>
    <w:p w14:paraId="446146C9" w14:textId="77777777" w:rsidR="00021C31" w:rsidRPr="00CC7E17" w:rsidRDefault="00021C31" w:rsidP="0009624B">
      <w:pPr>
        <w:pStyle w:val="Body"/>
        <w:spacing w:line="360" w:lineRule="auto"/>
        <w:rPr>
          <w:rFonts w:ascii="Arial" w:hAnsi="Arial" w:cs="Arial"/>
        </w:rPr>
      </w:pPr>
    </w:p>
    <w:p w14:paraId="13187515" w14:textId="77777777" w:rsidR="00021C31" w:rsidRPr="00CC7E17" w:rsidRDefault="00021C31" w:rsidP="0009624B">
      <w:pPr>
        <w:pStyle w:val="Body"/>
        <w:spacing w:line="360" w:lineRule="auto"/>
        <w:rPr>
          <w:rFonts w:ascii="Arial" w:hAnsi="Arial" w:cs="Arial"/>
          <w:sz w:val="24"/>
          <w:szCs w:val="24"/>
          <w:lang w:val="en-US"/>
        </w:rPr>
      </w:pPr>
    </w:p>
    <w:p w14:paraId="4170ADFE" w14:textId="77777777" w:rsidR="00021C31" w:rsidRPr="00CC7E17" w:rsidRDefault="00021C31" w:rsidP="0009624B">
      <w:pPr>
        <w:pStyle w:val="NoSpacing"/>
        <w:spacing w:line="360" w:lineRule="auto"/>
        <w:rPr>
          <w:rFonts w:ascii="Arial" w:eastAsia="Arial" w:hAnsi="Arial" w:cs="Arial"/>
          <w:b/>
          <w:u w:val="single"/>
        </w:rPr>
      </w:pPr>
    </w:p>
    <w:p w14:paraId="1B3C99D9" w14:textId="0F2604BF" w:rsidR="007B03A3" w:rsidRPr="00CC7E17" w:rsidRDefault="007B03A3" w:rsidP="0009624B">
      <w:pPr>
        <w:pStyle w:val="Body"/>
        <w:spacing w:line="360" w:lineRule="auto"/>
        <w:rPr>
          <w:rFonts w:ascii="Arial" w:hAnsi="Arial" w:cs="Arial"/>
          <w:sz w:val="24"/>
          <w:szCs w:val="24"/>
          <w:lang w:val="en-US"/>
        </w:rPr>
      </w:pPr>
      <w:r w:rsidRPr="009E57CF">
        <w:rPr>
          <w:rFonts w:ascii="Arial" w:eastAsia="Arial" w:hAnsi="Arial" w:cs="Arial"/>
          <w:noProof/>
          <w:sz w:val="24"/>
          <w:szCs w:val="24"/>
          <w:lang w:val="en-US"/>
        </w:rPr>
        <w:drawing>
          <wp:anchor distT="152400" distB="152400" distL="152400" distR="152400" simplePos="0" relativeHeight="251708416" behindDoc="0" locked="0" layoutInCell="1" allowOverlap="1" wp14:anchorId="27AFE8C4" wp14:editId="4090CD15">
            <wp:simplePos x="0" y="0"/>
            <wp:positionH relativeFrom="margin">
              <wp:posOffset>0</wp:posOffset>
            </wp:positionH>
            <wp:positionV relativeFrom="line">
              <wp:posOffset>168910</wp:posOffset>
            </wp:positionV>
            <wp:extent cx="5504180" cy="3826510"/>
            <wp:effectExtent l="0" t="0" r="7620" b="8890"/>
            <wp:wrapTopAndBottom distT="152400" distB="15240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4-08-31 at 2.36.47 PM.png"/>
                    <pic:cNvPicPr/>
                  </pic:nvPicPr>
                  <pic:blipFill>
                    <a:blip r:embed="rId22" cstate="email">
                      <a:extLst>
                        <a:ext uri="{28A0092B-C50C-407E-A947-70E740481C1C}">
                          <a14:useLocalDpi xmlns:a14="http://schemas.microsoft.com/office/drawing/2010/main"/>
                        </a:ext>
                      </a:extLst>
                    </a:blip>
                    <a:stretch>
                      <a:fillRect/>
                    </a:stretch>
                  </pic:blipFill>
                  <pic:spPr>
                    <a:xfrm>
                      <a:off x="0" y="0"/>
                      <a:ext cx="5504180" cy="38265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78C4372" w14:textId="66E3112C" w:rsidR="0098577A" w:rsidRPr="00CC7E17" w:rsidRDefault="00A43D10" w:rsidP="0009624B">
      <w:pPr>
        <w:pStyle w:val="Caption"/>
        <w:spacing w:line="360" w:lineRule="auto"/>
        <w:rPr>
          <w:rFonts w:ascii="Arial" w:hAnsi="Arial" w:cs="Arial"/>
        </w:rPr>
      </w:pPr>
      <w:bookmarkStart w:id="43" w:name="_Toc286417160"/>
      <w:r w:rsidRPr="00CC7E17">
        <w:rPr>
          <w:rFonts w:ascii="Arial" w:hAnsi="Arial" w:cs="Arial"/>
        </w:rPr>
        <w:t xml:space="preserve">Figure </w:t>
      </w:r>
      <w:r w:rsidRPr="009E57CF">
        <w:rPr>
          <w:rFonts w:ascii="Arial" w:hAnsi="Arial" w:cs="Arial"/>
        </w:rPr>
        <w:fldChar w:fldCharType="begin"/>
      </w:r>
      <w:r w:rsidRPr="00CC7E17">
        <w:rPr>
          <w:rFonts w:ascii="Arial" w:hAnsi="Arial" w:cs="Arial"/>
        </w:rPr>
        <w:instrText xml:space="preserve"> SEQ Figure \* ARABIC </w:instrText>
      </w:r>
      <w:r w:rsidRPr="009E57CF">
        <w:rPr>
          <w:rFonts w:ascii="Arial" w:hAnsi="Arial" w:cs="Arial"/>
        </w:rPr>
        <w:fldChar w:fldCharType="separate"/>
      </w:r>
      <w:r w:rsidR="00637DDF">
        <w:rPr>
          <w:rFonts w:ascii="Arial" w:hAnsi="Arial" w:cs="Arial"/>
          <w:noProof/>
        </w:rPr>
        <w:t>8</w:t>
      </w:r>
      <w:r w:rsidRPr="009E57CF">
        <w:rPr>
          <w:rFonts w:ascii="Arial" w:hAnsi="Arial" w:cs="Arial"/>
        </w:rPr>
        <w:fldChar w:fldCharType="end"/>
      </w:r>
      <w:r w:rsidR="005856AA" w:rsidRPr="00CC7E17">
        <w:rPr>
          <w:rFonts w:ascii="Arial" w:hAnsi="Arial" w:cs="Arial"/>
        </w:rPr>
        <w:t xml:space="preserve">: </w:t>
      </w:r>
      <w:r w:rsidR="0082450B">
        <w:rPr>
          <w:rFonts w:ascii="Arial" w:hAnsi="Arial" w:cs="Arial"/>
        </w:rPr>
        <w:t xml:space="preserve">article data as represented by </w:t>
      </w:r>
      <w:r w:rsidR="00F7112F" w:rsidRPr="00CC7E17">
        <w:rPr>
          <w:rFonts w:ascii="Arial" w:hAnsi="Arial" w:cs="Arial"/>
        </w:rPr>
        <w:t>Baseline Risk Lines</w:t>
      </w:r>
      <w:r w:rsidR="005856AA" w:rsidRPr="00CC7E17">
        <w:rPr>
          <w:rFonts w:ascii="Arial" w:hAnsi="Arial" w:cs="Arial"/>
        </w:rPr>
        <w:t xml:space="preserve"> sorted by medical discipline</w:t>
      </w:r>
      <w:bookmarkEnd w:id="43"/>
    </w:p>
    <w:p w14:paraId="5947AE47" w14:textId="200AC015" w:rsidR="004711D8" w:rsidRPr="00ED7C8D" w:rsidRDefault="007B03A3" w:rsidP="0014113C">
      <w:pPr>
        <w:pStyle w:val="Heading1"/>
      </w:pPr>
      <w:bookmarkStart w:id="44" w:name="_Toc271280686"/>
      <w:bookmarkStart w:id="45" w:name="_Toc286437129"/>
      <w:r w:rsidRPr="00ED7C8D">
        <w:t>Discussion</w:t>
      </w:r>
      <w:bookmarkEnd w:id="44"/>
      <w:bookmarkEnd w:id="45"/>
    </w:p>
    <w:p w14:paraId="39972259" w14:textId="63532122" w:rsidR="00CE5425" w:rsidRPr="00CC7E17" w:rsidRDefault="00490884" w:rsidP="00CE5425">
      <w:pPr>
        <w:pStyle w:val="Body"/>
        <w:spacing w:line="360" w:lineRule="auto"/>
        <w:rPr>
          <w:rFonts w:ascii="Arial" w:hAnsi="Arial" w:cs="Arial"/>
          <w:sz w:val="24"/>
          <w:szCs w:val="24"/>
          <w:lang w:val="en-US"/>
        </w:rPr>
      </w:pPr>
      <w:r w:rsidRPr="00CC7E17">
        <w:rPr>
          <w:rFonts w:ascii="Arial" w:eastAsia="Arial" w:hAnsi="Arial" w:cs="Arial"/>
          <w:sz w:val="24"/>
          <w:szCs w:val="24"/>
        </w:rPr>
        <w:t>T</w:t>
      </w:r>
      <w:r w:rsidR="00AE1894" w:rsidRPr="00CC7E17">
        <w:rPr>
          <w:rFonts w:ascii="Arial" w:eastAsia="Arial" w:hAnsi="Arial" w:cs="Arial"/>
          <w:sz w:val="24"/>
          <w:szCs w:val="24"/>
        </w:rPr>
        <w:t xml:space="preserve">here was a </w:t>
      </w:r>
      <w:r w:rsidR="00855DDE">
        <w:rPr>
          <w:rFonts w:ascii="Arial" w:eastAsia="Arial" w:hAnsi="Arial" w:cs="Arial"/>
          <w:sz w:val="24"/>
          <w:szCs w:val="24"/>
        </w:rPr>
        <w:t xml:space="preserve">reduction </w:t>
      </w:r>
      <w:r w:rsidR="00AE1894" w:rsidRPr="00CC7E17">
        <w:rPr>
          <w:rFonts w:ascii="Arial" w:eastAsia="Arial" w:hAnsi="Arial" w:cs="Arial"/>
          <w:sz w:val="24"/>
          <w:szCs w:val="24"/>
        </w:rPr>
        <w:t>in the average</w:t>
      </w:r>
      <w:r w:rsidR="00AF20F9" w:rsidRPr="00CC7E17">
        <w:rPr>
          <w:rFonts w:ascii="Arial" w:eastAsia="Arial" w:hAnsi="Arial" w:cs="Arial"/>
          <w:sz w:val="24"/>
          <w:szCs w:val="24"/>
        </w:rPr>
        <w:t xml:space="preserve"> extraction</w:t>
      </w:r>
      <w:r w:rsidR="00AE1894" w:rsidRPr="00CC7E17">
        <w:rPr>
          <w:rFonts w:ascii="Arial" w:eastAsia="Arial" w:hAnsi="Arial" w:cs="Arial"/>
          <w:sz w:val="24"/>
          <w:szCs w:val="24"/>
        </w:rPr>
        <w:t xml:space="preserve"> time spent p</w:t>
      </w:r>
      <w:r w:rsidR="00AF20F9" w:rsidRPr="00CC7E17">
        <w:rPr>
          <w:rFonts w:ascii="Arial" w:eastAsia="Arial" w:hAnsi="Arial" w:cs="Arial"/>
          <w:sz w:val="24"/>
          <w:szCs w:val="24"/>
        </w:rPr>
        <w:t>er article</w:t>
      </w:r>
      <w:r w:rsidRPr="00CC7E17">
        <w:rPr>
          <w:rFonts w:ascii="Arial" w:eastAsia="Arial" w:hAnsi="Arial" w:cs="Arial"/>
          <w:sz w:val="24"/>
          <w:szCs w:val="24"/>
        </w:rPr>
        <w:t xml:space="preserve"> between the paper-based and </w:t>
      </w:r>
      <w:r w:rsidR="00260290">
        <w:rPr>
          <w:rFonts w:ascii="Arial" w:eastAsia="Arial" w:hAnsi="Arial" w:cs="Arial"/>
          <w:sz w:val="24"/>
          <w:szCs w:val="24"/>
        </w:rPr>
        <w:t>eForm-based</w:t>
      </w:r>
      <w:r w:rsidRPr="00CC7E17">
        <w:rPr>
          <w:rFonts w:ascii="Arial" w:eastAsia="Arial" w:hAnsi="Arial" w:cs="Arial"/>
          <w:sz w:val="24"/>
          <w:szCs w:val="24"/>
        </w:rPr>
        <w:t xml:space="preserve"> extraction processes for </w:t>
      </w:r>
      <w:r w:rsidR="00AA5748" w:rsidRPr="00CC7E17">
        <w:rPr>
          <w:rFonts w:ascii="Arial" w:eastAsia="Arial" w:hAnsi="Arial" w:cs="Arial"/>
          <w:sz w:val="24"/>
          <w:szCs w:val="24"/>
        </w:rPr>
        <w:t>BRiskeT</w:t>
      </w:r>
      <w:r w:rsidR="00260290">
        <w:rPr>
          <w:rFonts w:ascii="Arial" w:eastAsia="Arial" w:hAnsi="Arial" w:cs="Arial"/>
          <w:sz w:val="24"/>
          <w:szCs w:val="24"/>
        </w:rPr>
        <w:t xml:space="preserve"> in the small sample of articles that were timed</w:t>
      </w:r>
      <w:r w:rsidR="00AF20F9" w:rsidRPr="00CC7E17">
        <w:rPr>
          <w:rFonts w:ascii="Arial" w:eastAsia="Arial" w:hAnsi="Arial" w:cs="Arial"/>
          <w:sz w:val="24"/>
          <w:szCs w:val="24"/>
        </w:rPr>
        <w:t>. According to T</w:t>
      </w:r>
      <w:r w:rsidR="00226C94" w:rsidRPr="00CC7E17">
        <w:rPr>
          <w:rFonts w:ascii="Arial" w:eastAsia="Arial" w:hAnsi="Arial" w:cs="Arial"/>
          <w:sz w:val="24"/>
          <w:szCs w:val="24"/>
        </w:rPr>
        <w:t xml:space="preserve">able </w:t>
      </w:r>
      <w:r w:rsidR="00E54AE4" w:rsidRPr="00CC7E17">
        <w:rPr>
          <w:rFonts w:ascii="Arial" w:eastAsia="Arial" w:hAnsi="Arial" w:cs="Arial"/>
          <w:sz w:val="24"/>
          <w:szCs w:val="24"/>
        </w:rPr>
        <w:t>3</w:t>
      </w:r>
      <w:r w:rsidR="00AE1894" w:rsidRPr="00CC7E17">
        <w:rPr>
          <w:rFonts w:ascii="Arial" w:eastAsia="Arial" w:hAnsi="Arial" w:cs="Arial"/>
          <w:sz w:val="24"/>
          <w:szCs w:val="24"/>
        </w:rPr>
        <w:t xml:space="preserve"> and</w:t>
      </w:r>
      <w:r w:rsidR="00226C94" w:rsidRPr="00CC7E17">
        <w:rPr>
          <w:rFonts w:ascii="Arial" w:eastAsia="Arial" w:hAnsi="Arial" w:cs="Arial"/>
          <w:sz w:val="24"/>
          <w:szCs w:val="24"/>
        </w:rPr>
        <w:t xml:space="preserve"> Table </w:t>
      </w:r>
      <w:r w:rsidR="00E54AE4" w:rsidRPr="00CC7E17">
        <w:rPr>
          <w:rFonts w:ascii="Arial" w:eastAsia="Arial" w:hAnsi="Arial" w:cs="Arial"/>
          <w:sz w:val="24"/>
          <w:szCs w:val="24"/>
        </w:rPr>
        <w:t>4</w:t>
      </w:r>
      <w:r w:rsidR="00226C94" w:rsidRPr="00CC7E17">
        <w:rPr>
          <w:rFonts w:ascii="Arial" w:eastAsia="Arial" w:hAnsi="Arial" w:cs="Arial"/>
          <w:sz w:val="24"/>
          <w:szCs w:val="24"/>
        </w:rPr>
        <w:t xml:space="preserve">, </w:t>
      </w:r>
      <w:r w:rsidR="00AE1894" w:rsidRPr="00CC7E17">
        <w:rPr>
          <w:rFonts w:ascii="Arial" w:eastAsia="Arial" w:hAnsi="Arial" w:cs="Arial"/>
          <w:sz w:val="24"/>
          <w:szCs w:val="24"/>
        </w:rPr>
        <w:t>the average time spent per article dropped from 15.8 minutes</w:t>
      </w:r>
      <w:r w:rsidR="00AF20F9" w:rsidRPr="00CC7E17">
        <w:rPr>
          <w:rFonts w:ascii="Arial" w:eastAsia="Arial" w:hAnsi="Arial" w:cs="Arial"/>
          <w:sz w:val="24"/>
          <w:szCs w:val="24"/>
        </w:rPr>
        <w:t xml:space="preserve"> in the feasibility study</w:t>
      </w:r>
      <w:r w:rsidR="00AE1894" w:rsidRPr="00CC7E17">
        <w:rPr>
          <w:rFonts w:ascii="Arial" w:eastAsia="Arial" w:hAnsi="Arial" w:cs="Arial"/>
          <w:sz w:val="24"/>
          <w:szCs w:val="24"/>
        </w:rPr>
        <w:t xml:space="preserve"> to 9.1 minutes</w:t>
      </w:r>
      <w:r w:rsidR="00AF20F9" w:rsidRPr="00CC7E17">
        <w:rPr>
          <w:rFonts w:ascii="Arial" w:eastAsia="Arial" w:hAnsi="Arial" w:cs="Arial"/>
          <w:sz w:val="24"/>
          <w:szCs w:val="24"/>
        </w:rPr>
        <w:t xml:space="preserve"> in the current study.</w:t>
      </w:r>
      <w:r w:rsidR="00AE1894" w:rsidRPr="00CC7E17">
        <w:rPr>
          <w:rFonts w:ascii="Arial" w:eastAsia="Arial" w:hAnsi="Arial" w:cs="Arial"/>
          <w:sz w:val="24"/>
          <w:szCs w:val="24"/>
        </w:rPr>
        <w:t xml:space="preserve"> </w:t>
      </w:r>
      <w:r w:rsidR="00CE5425" w:rsidRPr="00CC7E17">
        <w:rPr>
          <w:rFonts w:ascii="Arial" w:hAnsi="Arial" w:cs="Arial"/>
          <w:sz w:val="24"/>
          <w:szCs w:val="24"/>
          <w:lang w:val="en-US"/>
        </w:rPr>
        <w:t>To improve time management and further timing analysis, a timer could be added for the extraction page.</w:t>
      </w:r>
      <w:r w:rsidR="00C2560F">
        <w:rPr>
          <w:rFonts w:ascii="Arial" w:hAnsi="Arial" w:cs="Arial"/>
          <w:sz w:val="24"/>
          <w:szCs w:val="24"/>
          <w:lang w:val="en-US"/>
        </w:rPr>
        <w:t xml:space="preserve"> </w:t>
      </w:r>
    </w:p>
    <w:p w14:paraId="1F29FC33" w14:textId="77777777" w:rsidR="00226C94" w:rsidRPr="00CC7E17" w:rsidRDefault="00226C94" w:rsidP="0009624B">
      <w:pPr>
        <w:pStyle w:val="Body"/>
        <w:spacing w:line="360" w:lineRule="auto"/>
        <w:rPr>
          <w:rFonts w:ascii="Arial" w:eastAsia="Arial" w:hAnsi="Arial" w:cs="Arial"/>
          <w:sz w:val="24"/>
          <w:szCs w:val="24"/>
        </w:rPr>
      </w:pPr>
    </w:p>
    <w:p w14:paraId="7CDEEA6E" w14:textId="1A683FF3" w:rsidR="00010DCF" w:rsidRPr="00CC7E17" w:rsidRDefault="006E46FF" w:rsidP="0009624B">
      <w:pPr>
        <w:pStyle w:val="Body"/>
        <w:spacing w:line="360" w:lineRule="auto"/>
        <w:rPr>
          <w:rFonts w:ascii="Arial" w:eastAsia="Arial" w:hAnsi="Arial" w:cs="Arial"/>
          <w:sz w:val="24"/>
          <w:szCs w:val="24"/>
        </w:rPr>
      </w:pPr>
      <w:r w:rsidRPr="009E57CF">
        <w:rPr>
          <w:rFonts w:ascii="Arial" w:eastAsiaTheme="minorEastAsia" w:hAnsi="Arial" w:cs="Arial"/>
          <w:bCs/>
          <w:sz w:val="24"/>
          <w:szCs w:val="24"/>
          <w:bdr w:val="none" w:sz="0" w:space="0" w:color="auto"/>
        </w:rPr>
        <w:t xml:space="preserve">It could be derived that </w:t>
      </w:r>
      <w:r w:rsidR="00F35F65" w:rsidRPr="00CC7E17">
        <w:rPr>
          <w:rFonts w:ascii="Arial" w:eastAsiaTheme="minorEastAsia" w:hAnsi="Arial" w:cs="Arial"/>
          <w:bCs/>
          <w:sz w:val="24"/>
          <w:szCs w:val="24"/>
          <w:bdr w:val="none" w:sz="0" w:space="0" w:color="auto"/>
        </w:rPr>
        <w:t>the experience garnered through the feasibility test</w:t>
      </w:r>
      <w:r w:rsidRPr="009E57CF">
        <w:rPr>
          <w:rFonts w:ascii="Arial" w:eastAsiaTheme="minorEastAsia" w:hAnsi="Arial" w:cs="Arial"/>
          <w:bCs/>
          <w:sz w:val="24"/>
          <w:szCs w:val="24"/>
          <w:bdr w:val="none" w:sz="0" w:space="0" w:color="auto"/>
        </w:rPr>
        <w:t xml:space="preserve"> may have exaggerated the effect of implementing MacPrognosis due to the fact that the original feasibility test was done prior to this study and thereby MacPrognosis built on the experience gained from the original feasibility test.</w:t>
      </w:r>
      <w:r w:rsidRPr="00CC7E17">
        <w:rPr>
          <w:rFonts w:ascii="Arial" w:eastAsia="Arial" w:hAnsi="Arial" w:cs="Arial"/>
          <w:sz w:val="24"/>
          <w:szCs w:val="24"/>
        </w:rPr>
        <w:t xml:space="preserve"> </w:t>
      </w:r>
      <w:r w:rsidR="004711D8" w:rsidRPr="00CC7E17">
        <w:rPr>
          <w:rFonts w:ascii="Arial" w:eastAsia="Arial" w:hAnsi="Arial" w:cs="Arial"/>
          <w:sz w:val="24"/>
          <w:szCs w:val="24"/>
        </w:rPr>
        <w:t>T</w:t>
      </w:r>
      <w:r w:rsidR="00EA3B8A" w:rsidRPr="00CC7E17">
        <w:rPr>
          <w:rFonts w:ascii="Arial" w:eastAsia="Arial" w:hAnsi="Arial" w:cs="Arial"/>
          <w:sz w:val="24"/>
          <w:szCs w:val="24"/>
        </w:rPr>
        <w:t>o avoid this</w:t>
      </w:r>
      <w:r w:rsidR="00226C94" w:rsidRPr="00CC7E17">
        <w:rPr>
          <w:rFonts w:ascii="Arial" w:eastAsia="Arial" w:hAnsi="Arial" w:cs="Arial"/>
          <w:sz w:val="24"/>
          <w:szCs w:val="24"/>
        </w:rPr>
        <w:t xml:space="preserve"> issue</w:t>
      </w:r>
      <w:r w:rsidR="00AF20F9" w:rsidRPr="00CC7E17">
        <w:rPr>
          <w:rFonts w:ascii="Arial" w:eastAsia="Arial" w:hAnsi="Arial" w:cs="Arial"/>
          <w:sz w:val="24"/>
          <w:szCs w:val="24"/>
        </w:rPr>
        <w:t xml:space="preserve">, instead of using the timed </w:t>
      </w:r>
      <w:r w:rsidR="00EA3B8A" w:rsidRPr="00CC7E17">
        <w:rPr>
          <w:rFonts w:ascii="Arial" w:eastAsia="Arial" w:hAnsi="Arial" w:cs="Arial"/>
          <w:sz w:val="24"/>
          <w:szCs w:val="24"/>
        </w:rPr>
        <w:t>results taken directly from the feasibility study, extraction w</w:t>
      </w:r>
      <w:r w:rsidR="00226C94" w:rsidRPr="00CC7E17">
        <w:rPr>
          <w:rFonts w:ascii="Arial" w:eastAsia="Arial" w:hAnsi="Arial" w:cs="Arial"/>
          <w:sz w:val="24"/>
          <w:szCs w:val="24"/>
        </w:rPr>
        <w:t xml:space="preserve">as redone for </w:t>
      </w:r>
      <w:r w:rsidR="00490884" w:rsidRPr="00CC7E17">
        <w:rPr>
          <w:rFonts w:ascii="Arial" w:eastAsia="Arial" w:hAnsi="Arial" w:cs="Arial"/>
          <w:sz w:val="24"/>
          <w:szCs w:val="24"/>
        </w:rPr>
        <w:t xml:space="preserve">five articles picked at random from the 2012 study. </w:t>
      </w:r>
      <w:r w:rsidR="00226C94" w:rsidRPr="00CC7E17">
        <w:rPr>
          <w:rFonts w:ascii="Arial" w:eastAsia="Arial" w:hAnsi="Arial" w:cs="Arial"/>
          <w:sz w:val="24"/>
          <w:szCs w:val="24"/>
        </w:rPr>
        <w:t xml:space="preserve">These </w:t>
      </w:r>
      <w:r w:rsidR="00E817BA">
        <w:rPr>
          <w:rFonts w:ascii="Arial" w:eastAsia="Arial" w:hAnsi="Arial" w:cs="Arial"/>
          <w:sz w:val="24"/>
          <w:szCs w:val="24"/>
        </w:rPr>
        <w:t>five</w:t>
      </w:r>
      <w:r w:rsidR="00226C94" w:rsidRPr="00CC7E17">
        <w:rPr>
          <w:rFonts w:ascii="Arial" w:eastAsia="Arial" w:hAnsi="Arial" w:cs="Arial"/>
          <w:sz w:val="24"/>
          <w:szCs w:val="24"/>
        </w:rPr>
        <w:t xml:space="preserve"> </w:t>
      </w:r>
      <w:r w:rsidR="00EA3B8A" w:rsidRPr="00CC7E17">
        <w:rPr>
          <w:rFonts w:ascii="Arial" w:eastAsia="Arial" w:hAnsi="Arial" w:cs="Arial"/>
          <w:sz w:val="24"/>
          <w:szCs w:val="24"/>
        </w:rPr>
        <w:t>art</w:t>
      </w:r>
      <w:r w:rsidR="00490884" w:rsidRPr="00CC7E17">
        <w:rPr>
          <w:rFonts w:ascii="Arial" w:eastAsia="Arial" w:hAnsi="Arial" w:cs="Arial"/>
          <w:sz w:val="24"/>
          <w:szCs w:val="24"/>
        </w:rPr>
        <w:t>icles had last been read in 2012</w:t>
      </w:r>
      <w:r w:rsidR="00EA3B8A" w:rsidRPr="00CC7E17">
        <w:rPr>
          <w:rFonts w:ascii="Arial" w:eastAsia="Arial" w:hAnsi="Arial" w:cs="Arial"/>
          <w:sz w:val="24"/>
          <w:szCs w:val="24"/>
        </w:rPr>
        <w:t xml:space="preserve">, and there was no familiarity with the risk data </w:t>
      </w:r>
      <w:r w:rsidR="00226C94" w:rsidRPr="00CC7E17">
        <w:rPr>
          <w:rFonts w:ascii="Arial" w:eastAsia="Arial" w:hAnsi="Arial" w:cs="Arial"/>
          <w:sz w:val="24"/>
          <w:szCs w:val="24"/>
        </w:rPr>
        <w:t xml:space="preserve">found therein </w:t>
      </w:r>
      <w:r w:rsidR="00EA3B8A" w:rsidRPr="00CC7E17">
        <w:rPr>
          <w:rFonts w:ascii="Arial" w:eastAsia="Arial" w:hAnsi="Arial" w:cs="Arial"/>
          <w:sz w:val="24"/>
          <w:szCs w:val="24"/>
        </w:rPr>
        <w:t>af</w:t>
      </w:r>
      <w:r w:rsidR="00490884" w:rsidRPr="00CC7E17">
        <w:rPr>
          <w:rFonts w:ascii="Arial" w:eastAsia="Arial" w:hAnsi="Arial" w:cs="Arial"/>
          <w:sz w:val="24"/>
          <w:szCs w:val="24"/>
        </w:rPr>
        <w:t xml:space="preserve">ter </w:t>
      </w:r>
      <w:r w:rsidR="00E817BA">
        <w:rPr>
          <w:rFonts w:ascii="Arial" w:eastAsia="Arial" w:hAnsi="Arial" w:cs="Arial"/>
          <w:sz w:val="24"/>
          <w:szCs w:val="24"/>
        </w:rPr>
        <w:t>two</w:t>
      </w:r>
      <w:r w:rsidR="00EA3B8A" w:rsidRPr="00CC7E17">
        <w:rPr>
          <w:rFonts w:ascii="Arial" w:eastAsia="Arial" w:hAnsi="Arial" w:cs="Arial"/>
          <w:sz w:val="24"/>
          <w:szCs w:val="24"/>
        </w:rPr>
        <w:t xml:space="preserve"> years. In this way, an unbiased extraction time could be compared and contrasted between the two studies. </w:t>
      </w:r>
    </w:p>
    <w:p w14:paraId="1590B0A8" w14:textId="77777777" w:rsidR="00CE5425" w:rsidRPr="00CC7E17" w:rsidRDefault="00CE5425" w:rsidP="0009624B">
      <w:pPr>
        <w:pStyle w:val="Body"/>
        <w:spacing w:line="360" w:lineRule="auto"/>
        <w:rPr>
          <w:rFonts w:ascii="Arial" w:eastAsia="Arial" w:hAnsi="Arial" w:cs="Arial"/>
          <w:sz w:val="24"/>
          <w:szCs w:val="24"/>
        </w:rPr>
      </w:pPr>
    </w:p>
    <w:p w14:paraId="1540E991" w14:textId="6703B1A8" w:rsidR="00EA3B8A" w:rsidRPr="00CC7E17" w:rsidRDefault="00CE5425" w:rsidP="0009624B">
      <w:pPr>
        <w:pStyle w:val="Body"/>
        <w:spacing w:line="360" w:lineRule="auto"/>
        <w:rPr>
          <w:rFonts w:ascii="Arial" w:hAnsi="Arial" w:cs="Arial"/>
          <w:sz w:val="24"/>
          <w:szCs w:val="24"/>
          <w:lang w:val="en-US"/>
        </w:rPr>
      </w:pPr>
      <w:r w:rsidRPr="00CC7E17">
        <w:rPr>
          <w:rFonts w:ascii="Arial" w:hAnsi="Arial" w:cs="Arial"/>
          <w:sz w:val="24"/>
          <w:szCs w:val="24"/>
          <w:lang w:val="en-US"/>
        </w:rPr>
        <w:t xml:space="preserve">The </w:t>
      </w:r>
      <w:r w:rsidR="00EA3B8A" w:rsidRPr="00CC7E17">
        <w:rPr>
          <w:rFonts w:ascii="Arial" w:hAnsi="Arial" w:cs="Arial"/>
          <w:sz w:val="24"/>
          <w:szCs w:val="24"/>
          <w:lang w:val="en-US"/>
        </w:rPr>
        <w:t>proportion of articles that could be extracted</w:t>
      </w:r>
      <w:r w:rsidR="00490884" w:rsidRPr="00CC7E17">
        <w:rPr>
          <w:rFonts w:ascii="Arial" w:hAnsi="Arial" w:cs="Arial"/>
          <w:sz w:val="24"/>
          <w:szCs w:val="24"/>
          <w:lang w:val="en-US"/>
        </w:rPr>
        <w:t xml:space="preserve"> </w:t>
      </w:r>
      <w:r w:rsidRPr="00CC7E17">
        <w:rPr>
          <w:rFonts w:ascii="Arial" w:hAnsi="Arial" w:cs="Arial"/>
          <w:sz w:val="24"/>
          <w:szCs w:val="24"/>
          <w:lang w:val="en-US"/>
        </w:rPr>
        <w:t>stayed relatively similar between the two iterations of the extractor interface.</w:t>
      </w:r>
      <w:r w:rsidR="00EA3B8A" w:rsidRPr="00CC7E17">
        <w:rPr>
          <w:rFonts w:ascii="Arial" w:hAnsi="Arial" w:cs="Arial"/>
          <w:sz w:val="24"/>
          <w:szCs w:val="24"/>
          <w:lang w:val="en-US"/>
        </w:rPr>
        <w:t xml:space="preserve"> </w:t>
      </w:r>
      <w:r w:rsidR="00490884" w:rsidRPr="00CC7E17">
        <w:rPr>
          <w:rFonts w:ascii="Arial" w:hAnsi="Arial" w:cs="Arial"/>
          <w:sz w:val="24"/>
          <w:szCs w:val="24"/>
          <w:lang w:val="en-US"/>
        </w:rPr>
        <w:t xml:space="preserve">As shown in the results section, </w:t>
      </w:r>
      <w:r w:rsidR="0050466F" w:rsidRPr="00CC7E17">
        <w:rPr>
          <w:rFonts w:ascii="Arial" w:hAnsi="Arial" w:cs="Arial"/>
          <w:sz w:val="24"/>
          <w:szCs w:val="24"/>
          <w:lang w:val="en-US"/>
        </w:rPr>
        <w:t>45</w:t>
      </w:r>
      <w:r w:rsidR="00490884" w:rsidRPr="00CC7E17">
        <w:rPr>
          <w:rFonts w:ascii="Arial" w:hAnsi="Arial" w:cs="Arial"/>
          <w:sz w:val="24"/>
          <w:szCs w:val="24"/>
          <w:lang w:val="en-US"/>
        </w:rPr>
        <w:t xml:space="preserve">% of the articles were successfully extracted utilizing the </w:t>
      </w:r>
      <w:r w:rsidR="00E07E27" w:rsidRPr="00CC7E17">
        <w:rPr>
          <w:rFonts w:ascii="Arial" w:hAnsi="Arial" w:cs="Arial"/>
          <w:sz w:val="24"/>
          <w:szCs w:val="24"/>
          <w:lang w:val="en-US"/>
        </w:rPr>
        <w:t>paper-based</w:t>
      </w:r>
      <w:r w:rsidR="00490884" w:rsidRPr="00CC7E17">
        <w:rPr>
          <w:rFonts w:ascii="Arial" w:hAnsi="Arial" w:cs="Arial"/>
          <w:sz w:val="24"/>
          <w:szCs w:val="24"/>
          <w:lang w:val="en-US"/>
        </w:rPr>
        <w:t xml:space="preserve"> process</w:t>
      </w:r>
      <w:r w:rsidRPr="00CC7E17">
        <w:rPr>
          <w:rFonts w:ascii="Arial" w:hAnsi="Arial" w:cs="Arial"/>
          <w:sz w:val="24"/>
          <w:szCs w:val="24"/>
          <w:lang w:val="en-US"/>
        </w:rPr>
        <w:t>.</w:t>
      </w:r>
      <w:r w:rsidR="00490884" w:rsidRPr="00CC7E17">
        <w:rPr>
          <w:rFonts w:ascii="Arial" w:hAnsi="Arial" w:cs="Arial"/>
          <w:sz w:val="24"/>
          <w:szCs w:val="24"/>
          <w:lang w:val="en-US"/>
        </w:rPr>
        <w:t xml:space="preserve"> </w:t>
      </w:r>
      <w:r w:rsidRPr="00CC7E17">
        <w:rPr>
          <w:rFonts w:ascii="Arial" w:hAnsi="Arial" w:cs="Arial"/>
          <w:sz w:val="24"/>
          <w:szCs w:val="24"/>
          <w:lang w:val="en-US"/>
        </w:rPr>
        <w:t>However, w</w:t>
      </w:r>
      <w:r w:rsidR="00490884" w:rsidRPr="00CC7E17">
        <w:rPr>
          <w:rFonts w:ascii="Arial" w:hAnsi="Arial" w:cs="Arial"/>
          <w:sz w:val="24"/>
          <w:szCs w:val="24"/>
          <w:lang w:val="en-US"/>
        </w:rPr>
        <w:t>ith a few minor alterations up to 6</w:t>
      </w:r>
      <w:r w:rsidR="0050466F" w:rsidRPr="00CC7E17">
        <w:rPr>
          <w:rFonts w:ascii="Arial" w:hAnsi="Arial" w:cs="Arial"/>
          <w:sz w:val="24"/>
          <w:szCs w:val="24"/>
          <w:lang w:val="en-US"/>
        </w:rPr>
        <w:t>8</w:t>
      </w:r>
      <w:r w:rsidR="00490884" w:rsidRPr="00CC7E17">
        <w:rPr>
          <w:rFonts w:ascii="Arial" w:hAnsi="Arial" w:cs="Arial"/>
          <w:sz w:val="24"/>
          <w:szCs w:val="24"/>
          <w:lang w:val="en-US"/>
        </w:rPr>
        <w:t>% of the articles in the current study could be successfully extracted using MacPrognosis</w:t>
      </w:r>
      <w:r w:rsidR="0050466F" w:rsidRPr="00CC7E17">
        <w:rPr>
          <w:rFonts w:ascii="Arial" w:hAnsi="Arial" w:cs="Arial"/>
          <w:sz w:val="24"/>
          <w:szCs w:val="24"/>
          <w:lang w:val="en-US"/>
        </w:rPr>
        <w:t xml:space="preserve"> in a hypothetical third trial of extraction</w:t>
      </w:r>
      <w:r w:rsidR="00490884" w:rsidRPr="00CC7E17">
        <w:rPr>
          <w:rFonts w:ascii="Arial" w:hAnsi="Arial" w:cs="Arial"/>
          <w:sz w:val="24"/>
          <w:szCs w:val="24"/>
          <w:lang w:val="en-US"/>
        </w:rPr>
        <w:t xml:space="preserve">. </w:t>
      </w:r>
      <w:r w:rsidR="000F710D" w:rsidRPr="00CC7E17">
        <w:rPr>
          <w:rFonts w:ascii="Arial" w:hAnsi="Arial" w:cs="Arial"/>
          <w:sz w:val="24"/>
          <w:szCs w:val="24"/>
          <w:lang w:val="en-US"/>
        </w:rPr>
        <w:t>For example, from the outset of the study, systematic reviews were expected to yield a large quantity of high quality baseline risk information. However, during the first trial extractions on systematic reviews, it was found that more than ten lines of baseline risk information could be extracted from each systematic review. Rather than fill in the first ten lines of baseline risk information</w:t>
      </w:r>
      <w:r w:rsidR="00651A07" w:rsidRPr="00CC7E17">
        <w:rPr>
          <w:rFonts w:ascii="Arial" w:hAnsi="Arial" w:cs="Arial"/>
          <w:sz w:val="24"/>
          <w:szCs w:val="24"/>
          <w:lang w:val="en-US"/>
        </w:rPr>
        <w:t xml:space="preserve"> using MacPrognosis</w:t>
      </w:r>
      <w:r w:rsidR="000F710D" w:rsidRPr="00CC7E17">
        <w:rPr>
          <w:rFonts w:ascii="Arial" w:hAnsi="Arial" w:cs="Arial"/>
          <w:sz w:val="24"/>
          <w:szCs w:val="24"/>
          <w:lang w:val="en-US"/>
        </w:rPr>
        <w:t>, a decision was made to categorize these articles utilizing the “Not of Interest” feature so that they could be returned to when a new feature</w:t>
      </w:r>
      <w:r w:rsidR="00651A07" w:rsidRPr="00CC7E17">
        <w:rPr>
          <w:rFonts w:ascii="Arial" w:hAnsi="Arial" w:cs="Arial"/>
          <w:sz w:val="24"/>
          <w:szCs w:val="24"/>
          <w:lang w:val="en-US"/>
        </w:rPr>
        <w:t xml:space="preserve"> allowing the input of more than ten lines of baseline risk information </w:t>
      </w:r>
      <w:r w:rsidR="000F710D" w:rsidRPr="00CC7E17">
        <w:rPr>
          <w:rFonts w:ascii="Arial" w:hAnsi="Arial" w:cs="Arial"/>
          <w:sz w:val="24"/>
          <w:szCs w:val="24"/>
          <w:lang w:val="en-US"/>
        </w:rPr>
        <w:t xml:space="preserve">was added. </w:t>
      </w:r>
      <w:r w:rsidR="00E54AE4" w:rsidRPr="00CC7E17">
        <w:rPr>
          <w:rFonts w:ascii="Arial" w:hAnsi="Arial" w:cs="Arial"/>
          <w:sz w:val="24"/>
          <w:szCs w:val="24"/>
          <w:lang w:val="en-US"/>
        </w:rPr>
        <w:t>If the first ten</w:t>
      </w:r>
      <w:r w:rsidR="000F710D" w:rsidRPr="00CC7E17">
        <w:rPr>
          <w:rFonts w:ascii="Arial" w:hAnsi="Arial" w:cs="Arial"/>
          <w:sz w:val="24"/>
          <w:szCs w:val="24"/>
          <w:lang w:val="en-US"/>
        </w:rPr>
        <w:t xml:space="preserve"> lines of baseline risk information had been filled out, it would be difficult to find the articles</w:t>
      </w:r>
      <w:r w:rsidR="00651A07" w:rsidRPr="00CC7E17">
        <w:rPr>
          <w:rFonts w:ascii="Arial" w:hAnsi="Arial" w:cs="Arial"/>
          <w:sz w:val="24"/>
          <w:szCs w:val="24"/>
          <w:lang w:val="en-US"/>
        </w:rPr>
        <w:t xml:space="preserve"> to add to them as they would simply be categorized as an article from which baseline risk was extracted. This would place it in the same ca</w:t>
      </w:r>
      <w:r w:rsidR="00E54AE4" w:rsidRPr="00CC7E17">
        <w:rPr>
          <w:rFonts w:ascii="Arial" w:hAnsi="Arial" w:cs="Arial"/>
          <w:sz w:val="24"/>
          <w:szCs w:val="24"/>
          <w:lang w:val="en-US"/>
        </w:rPr>
        <w:t>tegory as the other 29</w:t>
      </w:r>
      <w:r w:rsidR="00E817BA">
        <w:rPr>
          <w:rFonts w:ascii="Arial" w:hAnsi="Arial" w:cs="Arial"/>
          <w:sz w:val="24"/>
          <w:szCs w:val="24"/>
          <w:lang w:val="en-US"/>
        </w:rPr>
        <w:t>5</w:t>
      </w:r>
      <w:r w:rsidR="00651A07" w:rsidRPr="00CC7E17">
        <w:rPr>
          <w:rFonts w:ascii="Arial" w:hAnsi="Arial" w:cs="Arial"/>
          <w:sz w:val="24"/>
          <w:szCs w:val="24"/>
          <w:lang w:val="en-US"/>
        </w:rPr>
        <w:t xml:space="preserve"> articles, rather than categorized as a systematic review from which baseline risk could be extracted.</w:t>
      </w:r>
      <w:r w:rsidR="000F710D" w:rsidRPr="00CC7E17">
        <w:rPr>
          <w:rFonts w:ascii="Arial" w:hAnsi="Arial" w:cs="Arial"/>
          <w:sz w:val="24"/>
          <w:szCs w:val="24"/>
          <w:lang w:val="en-US"/>
        </w:rPr>
        <w:t xml:space="preserve"> </w:t>
      </w:r>
    </w:p>
    <w:p w14:paraId="6A5A86A8" w14:textId="77777777" w:rsidR="00EC4AF5" w:rsidRPr="00CC7E17" w:rsidRDefault="00EC4AF5" w:rsidP="0009624B">
      <w:pPr>
        <w:pStyle w:val="Body"/>
        <w:spacing w:line="360" w:lineRule="auto"/>
        <w:rPr>
          <w:rFonts w:ascii="Arial" w:hAnsi="Arial" w:cs="Arial"/>
          <w:sz w:val="24"/>
          <w:szCs w:val="24"/>
          <w:lang w:val="en-US"/>
        </w:rPr>
      </w:pPr>
    </w:p>
    <w:p w14:paraId="2DECC3A2" w14:textId="6817A3F9" w:rsidR="00EC4AF5" w:rsidRPr="00CC7E17" w:rsidRDefault="00EC4AF5" w:rsidP="0009624B">
      <w:pPr>
        <w:pStyle w:val="Body"/>
        <w:spacing w:line="360" w:lineRule="auto"/>
        <w:rPr>
          <w:rFonts w:ascii="Arial" w:hAnsi="Arial" w:cs="Arial"/>
          <w:sz w:val="24"/>
          <w:szCs w:val="24"/>
          <w:lang w:val="en-US"/>
        </w:rPr>
      </w:pPr>
      <w:r w:rsidRPr="00CC7E17">
        <w:rPr>
          <w:rFonts w:ascii="Arial" w:hAnsi="Arial" w:cs="Arial"/>
          <w:sz w:val="24"/>
          <w:szCs w:val="24"/>
          <w:lang w:val="en-US"/>
        </w:rPr>
        <w:t xml:space="preserve">The </w:t>
      </w:r>
      <w:r w:rsidR="00EE02D4">
        <w:rPr>
          <w:rFonts w:ascii="Arial" w:hAnsi="Arial" w:cs="Arial"/>
          <w:sz w:val="24"/>
          <w:szCs w:val="24"/>
          <w:lang w:val="en-US"/>
        </w:rPr>
        <w:t>eForm-based</w:t>
      </w:r>
      <w:r w:rsidRPr="00CC7E17">
        <w:rPr>
          <w:rFonts w:ascii="Arial" w:hAnsi="Arial" w:cs="Arial"/>
          <w:sz w:val="24"/>
          <w:szCs w:val="24"/>
          <w:lang w:val="en-US"/>
        </w:rPr>
        <w:t xml:space="preserve"> model was tested utilizing articles from more disciplines than the articles from the 2012 feasibility study. Whereas the articles for the feasibility study were drawn from five disciplines, the current study successfully extracted baseline risk data from over fifty disciplines as shown in </w:t>
      </w:r>
      <w:r w:rsidR="009B5A07" w:rsidRPr="00CC7E17">
        <w:rPr>
          <w:rFonts w:ascii="Arial" w:hAnsi="Arial" w:cs="Arial"/>
          <w:sz w:val="24"/>
          <w:szCs w:val="24"/>
          <w:lang w:val="en-US"/>
        </w:rPr>
        <w:t>T</w:t>
      </w:r>
      <w:r w:rsidRPr="00CC7E17">
        <w:rPr>
          <w:rFonts w:ascii="Arial" w:hAnsi="Arial" w:cs="Arial"/>
          <w:sz w:val="24"/>
          <w:szCs w:val="24"/>
          <w:lang w:val="en-US"/>
        </w:rPr>
        <w:t xml:space="preserve">able 5. It is of the utmost importance that </w:t>
      </w:r>
      <w:r w:rsidR="00AA5748" w:rsidRPr="00CC7E17">
        <w:rPr>
          <w:rFonts w:ascii="Arial" w:hAnsi="Arial" w:cs="Arial"/>
          <w:sz w:val="24"/>
          <w:szCs w:val="24"/>
          <w:lang w:val="en-US"/>
        </w:rPr>
        <w:t>BRiskeT</w:t>
      </w:r>
      <w:r w:rsidRPr="00CC7E17">
        <w:rPr>
          <w:rFonts w:ascii="Arial" w:hAnsi="Arial" w:cs="Arial"/>
          <w:sz w:val="24"/>
          <w:szCs w:val="24"/>
          <w:lang w:val="en-US"/>
        </w:rPr>
        <w:t xml:space="preserve"> </w:t>
      </w:r>
      <w:r w:rsidR="00E07E27" w:rsidRPr="00CC7E17">
        <w:rPr>
          <w:rFonts w:ascii="Arial" w:hAnsi="Arial" w:cs="Arial"/>
          <w:sz w:val="24"/>
          <w:szCs w:val="24"/>
          <w:lang w:val="en-US"/>
        </w:rPr>
        <w:t>includes</w:t>
      </w:r>
      <w:r w:rsidRPr="00CC7E17">
        <w:rPr>
          <w:rFonts w:ascii="Arial" w:hAnsi="Arial" w:cs="Arial"/>
          <w:sz w:val="24"/>
          <w:szCs w:val="24"/>
          <w:lang w:val="en-US"/>
        </w:rPr>
        <w:t xml:space="preserve"> as many disciplines as possible to develop a database that can </w:t>
      </w:r>
      <w:r w:rsidR="009B5A07" w:rsidRPr="00CC7E17">
        <w:rPr>
          <w:rFonts w:ascii="Arial" w:hAnsi="Arial" w:cs="Arial"/>
          <w:sz w:val="24"/>
          <w:szCs w:val="24"/>
          <w:lang w:val="en-US"/>
        </w:rPr>
        <w:t>be useful</w:t>
      </w:r>
      <w:r w:rsidRPr="00CC7E17">
        <w:rPr>
          <w:rFonts w:ascii="Arial" w:hAnsi="Arial" w:cs="Arial"/>
          <w:sz w:val="24"/>
          <w:szCs w:val="24"/>
          <w:lang w:val="en-US"/>
        </w:rPr>
        <w:t xml:space="preserve"> to as many users as possible. The new, </w:t>
      </w:r>
      <w:r w:rsidR="00EE02D4">
        <w:rPr>
          <w:rFonts w:ascii="Arial" w:hAnsi="Arial" w:cs="Arial"/>
          <w:sz w:val="24"/>
          <w:szCs w:val="24"/>
          <w:lang w:val="en-US"/>
        </w:rPr>
        <w:t>eForm-based</w:t>
      </w:r>
      <w:r w:rsidRPr="00CC7E17">
        <w:rPr>
          <w:rFonts w:ascii="Arial" w:hAnsi="Arial" w:cs="Arial"/>
          <w:sz w:val="24"/>
          <w:szCs w:val="24"/>
          <w:lang w:val="en-US"/>
        </w:rPr>
        <w:t xml:space="preserve"> model has shown that it is able to encompass the vast majority of disciplines it has encountered. Pain and Imaging are the noticeable exceptions </w:t>
      </w:r>
      <w:r w:rsidR="00792C32">
        <w:rPr>
          <w:rFonts w:ascii="Arial" w:hAnsi="Arial" w:cs="Arial"/>
          <w:sz w:val="24"/>
          <w:szCs w:val="24"/>
          <w:lang w:val="en-US"/>
        </w:rPr>
        <w:t xml:space="preserve">in being able to extract data </w:t>
      </w:r>
      <w:r w:rsidR="00E07E27">
        <w:rPr>
          <w:rFonts w:ascii="Arial" w:hAnsi="Arial" w:cs="Arial"/>
          <w:sz w:val="24"/>
          <w:szCs w:val="24"/>
          <w:lang w:val="en-US"/>
        </w:rPr>
        <w:t>successfully</w:t>
      </w:r>
      <w:r w:rsidR="00792C32">
        <w:rPr>
          <w:rFonts w:ascii="Arial" w:hAnsi="Arial" w:cs="Arial"/>
          <w:sz w:val="24"/>
          <w:szCs w:val="24"/>
          <w:lang w:val="en-US"/>
        </w:rPr>
        <w:t xml:space="preserve"> </w:t>
      </w:r>
      <w:r w:rsidRPr="00CC7E17">
        <w:rPr>
          <w:rFonts w:ascii="Arial" w:hAnsi="Arial" w:cs="Arial"/>
          <w:sz w:val="24"/>
          <w:szCs w:val="24"/>
          <w:lang w:val="en-US"/>
        </w:rPr>
        <w:t xml:space="preserve">thus </w:t>
      </w:r>
      <w:r w:rsidR="00E07E27" w:rsidRPr="00CC7E17">
        <w:rPr>
          <w:rFonts w:ascii="Arial" w:hAnsi="Arial" w:cs="Arial"/>
          <w:sz w:val="24"/>
          <w:szCs w:val="24"/>
          <w:lang w:val="en-US"/>
        </w:rPr>
        <w:t>far;</w:t>
      </w:r>
      <w:r w:rsidRPr="00CC7E17">
        <w:rPr>
          <w:rFonts w:ascii="Arial" w:hAnsi="Arial" w:cs="Arial"/>
          <w:sz w:val="24"/>
          <w:szCs w:val="24"/>
          <w:lang w:val="en-US"/>
        </w:rPr>
        <w:t xml:space="preserve"> largely due to the fact results are rarely reported dichotomously. </w:t>
      </w:r>
    </w:p>
    <w:p w14:paraId="36EE4659" w14:textId="77777777" w:rsidR="0098577A" w:rsidRPr="00CC7E17" w:rsidRDefault="0098577A" w:rsidP="0009624B">
      <w:pPr>
        <w:pStyle w:val="Body"/>
        <w:spacing w:line="360" w:lineRule="auto"/>
        <w:rPr>
          <w:rFonts w:ascii="Arial" w:eastAsia="Arial" w:hAnsi="Arial" w:cs="Arial"/>
          <w:sz w:val="24"/>
          <w:szCs w:val="24"/>
        </w:rPr>
      </w:pPr>
    </w:p>
    <w:p w14:paraId="6E0D9B52" w14:textId="387E744E" w:rsidR="0098577A" w:rsidRPr="00CC7E17" w:rsidRDefault="0098577A"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The development of MacPrognosis brought about several improvements to the extraction process. </w:t>
      </w:r>
      <w:r w:rsidR="006E46FF" w:rsidRPr="00CC7E17">
        <w:rPr>
          <w:rFonts w:ascii="Arial" w:hAnsi="Arial" w:cs="Arial"/>
          <w:sz w:val="24"/>
          <w:szCs w:val="24"/>
          <w:lang w:val="en-US"/>
        </w:rPr>
        <w:t xml:space="preserve">In addition to </w:t>
      </w:r>
      <w:r w:rsidRPr="00CC7E17">
        <w:rPr>
          <w:rFonts w:ascii="Arial" w:hAnsi="Arial" w:cs="Arial"/>
          <w:sz w:val="24"/>
          <w:szCs w:val="24"/>
          <w:lang w:val="en-US"/>
        </w:rPr>
        <w:t>speeding</w:t>
      </w:r>
      <w:r w:rsidR="006E46FF" w:rsidRPr="00CC7E17">
        <w:rPr>
          <w:rFonts w:ascii="Arial" w:hAnsi="Arial" w:cs="Arial"/>
          <w:sz w:val="24"/>
          <w:szCs w:val="24"/>
          <w:lang w:val="en-US"/>
        </w:rPr>
        <w:t xml:space="preserve"> up</w:t>
      </w:r>
      <w:r w:rsidRPr="00CC7E17">
        <w:rPr>
          <w:rFonts w:ascii="Arial" w:hAnsi="Arial" w:cs="Arial"/>
          <w:sz w:val="24"/>
          <w:szCs w:val="24"/>
          <w:lang w:val="en-US"/>
        </w:rPr>
        <w:t xml:space="preserve"> the extraction process, </w:t>
      </w:r>
      <w:r w:rsidRPr="00CC7E17">
        <w:rPr>
          <w:rFonts w:ascii="Arial" w:hAnsi="Arial" w:cs="Arial"/>
          <w:color w:val="030000"/>
          <w:sz w:val="24"/>
          <w:szCs w:val="24"/>
          <w:lang w:val="en-US"/>
        </w:rPr>
        <w:t>it also established a datab</w:t>
      </w:r>
      <w:r w:rsidR="006E46FF" w:rsidRPr="00CC7E17">
        <w:rPr>
          <w:rFonts w:ascii="Arial" w:hAnsi="Arial" w:cs="Arial"/>
          <w:color w:val="030000"/>
          <w:sz w:val="24"/>
          <w:szCs w:val="24"/>
          <w:lang w:val="en-US"/>
        </w:rPr>
        <w:t>ase, which was automatically populated</w:t>
      </w:r>
      <w:r w:rsidRPr="00CC7E17">
        <w:rPr>
          <w:rFonts w:ascii="Arial" w:hAnsi="Arial" w:cs="Arial"/>
          <w:color w:val="030000"/>
          <w:sz w:val="24"/>
          <w:szCs w:val="24"/>
          <w:lang w:val="en-US"/>
        </w:rPr>
        <w:t xml:space="preserve"> from the extrac</w:t>
      </w:r>
      <w:r w:rsidR="00AD1EDA" w:rsidRPr="00CC7E17">
        <w:rPr>
          <w:rFonts w:ascii="Arial" w:hAnsi="Arial" w:cs="Arial"/>
          <w:color w:val="030000"/>
          <w:sz w:val="24"/>
          <w:szCs w:val="24"/>
          <w:lang w:val="en-US"/>
        </w:rPr>
        <w:t xml:space="preserve">tor interface. </w:t>
      </w:r>
      <w:r w:rsidR="002C48BD">
        <w:rPr>
          <w:rFonts w:ascii="Arial" w:hAnsi="Arial" w:cs="Arial"/>
          <w:color w:val="030000"/>
          <w:sz w:val="24"/>
          <w:szCs w:val="24"/>
          <w:lang w:val="en-US"/>
        </w:rPr>
        <w:t>Al</w:t>
      </w:r>
      <w:r w:rsidR="00AD1EDA" w:rsidRPr="00CC7E17">
        <w:rPr>
          <w:rFonts w:ascii="Arial" w:hAnsi="Arial" w:cs="Arial"/>
          <w:color w:val="030000"/>
          <w:sz w:val="24"/>
          <w:szCs w:val="24"/>
          <w:lang w:val="en-US"/>
        </w:rPr>
        <w:t xml:space="preserve">l of the fields previously required for a baseline risk data line </w:t>
      </w:r>
      <w:r w:rsidRPr="00CC7E17">
        <w:rPr>
          <w:rFonts w:ascii="Arial" w:hAnsi="Arial" w:cs="Arial"/>
          <w:sz w:val="24"/>
          <w:szCs w:val="24"/>
          <w:lang w:val="en-US"/>
        </w:rPr>
        <w:t xml:space="preserve">were manually extracted and first placed onto paper forms and subsequently placed onto </w:t>
      </w:r>
      <w:r w:rsidRPr="00CC7E17">
        <w:rPr>
          <w:rFonts w:ascii="Arial" w:hAnsi="Arial" w:cs="Arial"/>
          <w:sz w:val="24"/>
          <w:szCs w:val="24"/>
        </w:rPr>
        <w:t>Excel</w:t>
      </w:r>
      <w:r w:rsidRPr="00CC7E17">
        <w:rPr>
          <w:rFonts w:ascii="Arial" w:hAnsi="Arial" w:cs="Arial"/>
          <w:sz w:val="24"/>
          <w:szCs w:val="24"/>
          <w:lang w:val="en-US"/>
        </w:rPr>
        <w:t xml:space="preserve"> sheets</w:t>
      </w:r>
      <w:r w:rsidR="00E07E27">
        <w:rPr>
          <w:rFonts w:ascii="Arial" w:hAnsi="Arial" w:cs="Arial"/>
          <w:sz w:val="24"/>
          <w:szCs w:val="24"/>
          <w:lang w:val="en-US"/>
        </w:rPr>
        <w:t xml:space="preserve"> with the paper-based process</w:t>
      </w:r>
      <w:r w:rsidR="00AD1EDA" w:rsidRPr="00CC7E17">
        <w:rPr>
          <w:rFonts w:ascii="Arial" w:hAnsi="Arial" w:cs="Arial"/>
          <w:sz w:val="24"/>
          <w:szCs w:val="24"/>
          <w:lang w:val="en-US"/>
        </w:rPr>
        <w:t>.</w:t>
      </w:r>
      <w:r w:rsidR="00E07E27">
        <w:rPr>
          <w:rFonts w:ascii="Arial" w:hAnsi="Arial" w:cs="Arial"/>
          <w:sz w:val="24"/>
          <w:szCs w:val="24"/>
          <w:lang w:val="en-US"/>
        </w:rPr>
        <w:t xml:space="preserve"> Now using MacPrognosis, </w:t>
      </w:r>
      <w:r w:rsidR="00E07E27" w:rsidRPr="00CC7E17">
        <w:rPr>
          <w:rFonts w:ascii="Arial" w:hAnsi="Arial" w:cs="Arial"/>
          <w:sz w:val="24"/>
          <w:szCs w:val="24"/>
          <w:lang w:val="en-US"/>
        </w:rPr>
        <w:t>a</w:t>
      </w:r>
      <w:r w:rsidR="00AD1EDA" w:rsidRPr="00CC7E17">
        <w:rPr>
          <w:rFonts w:ascii="Arial" w:hAnsi="Arial" w:cs="Arial"/>
          <w:sz w:val="24"/>
          <w:szCs w:val="24"/>
          <w:lang w:val="en-US"/>
        </w:rPr>
        <w:t xml:space="preserve"> large proportion of the fields have data that </w:t>
      </w:r>
      <w:r w:rsidR="004711D8" w:rsidRPr="00CC7E17">
        <w:rPr>
          <w:rFonts w:ascii="Arial" w:hAnsi="Arial" w:cs="Arial"/>
          <w:sz w:val="24"/>
          <w:szCs w:val="24"/>
          <w:lang w:val="en-US"/>
        </w:rPr>
        <w:t>are</w:t>
      </w:r>
      <w:r w:rsidR="00AD1EDA" w:rsidRPr="00CC7E17">
        <w:rPr>
          <w:rFonts w:ascii="Arial" w:hAnsi="Arial" w:cs="Arial"/>
          <w:sz w:val="24"/>
          <w:szCs w:val="24"/>
          <w:lang w:val="en-US"/>
        </w:rPr>
        <w:t xml:space="preserve"> pulled directly from the PLUS database, including bibliographic information, as well as data regarding the population and the amount of follow up. This reduces the </w:t>
      </w:r>
      <w:r w:rsidR="004711D8" w:rsidRPr="00CC7E17">
        <w:rPr>
          <w:rFonts w:ascii="Arial" w:hAnsi="Arial" w:cs="Arial"/>
          <w:sz w:val="24"/>
          <w:szCs w:val="24"/>
          <w:lang w:val="en-US"/>
        </w:rPr>
        <w:t>number</w:t>
      </w:r>
      <w:r w:rsidR="00AD1EDA" w:rsidRPr="00CC7E17">
        <w:rPr>
          <w:rFonts w:ascii="Arial" w:hAnsi="Arial" w:cs="Arial"/>
          <w:sz w:val="24"/>
          <w:szCs w:val="24"/>
          <w:lang w:val="en-US"/>
        </w:rPr>
        <w:t xml:space="preserve"> of fields that the extractor m</w:t>
      </w:r>
      <w:r w:rsidR="006E46FF" w:rsidRPr="00CC7E17">
        <w:rPr>
          <w:rFonts w:ascii="Arial" w:hAnsi="Arial" w:cs="Arial"/>
          <w:sz w:val="24"/>
          <w:szCs w:val="24"/>
          <w:lang w:val="en-US"/>
        </w:rPr>
        <w:t>ust manually fill out</w:t>
      </w:r>
      <w:r w:rsidR="00E54AE4" w:rsidRPr="00CC7E17">
        <w:rPr>
          <w:rFonts w:ascii="Arial" w:hAnsi="Arial" w:cs="Arial"/>
          <w:sz w:val="24"/>
          <w:szCs w:val="24"/>
          <w:lang w:val="en-US"/>
        </w:rPr>
        <w:t xml:space="preserve"> (see Table 1)</w:t>
      </w:r>
      <w:r w:rsidR="006E46FF" w:rsidRPr="00CC7E17">
        <w:rPr>
          <w:rFonts w:ascii="Arial" w:hAnsi="Arial" w:cs="Arial"/>
          <w:sz w:val="24"/>
          <w:szCs w:val="24"/>
          <w:lang w:val="en-US"/>
        </w:rPr>
        <w:t>, saving</w:t>
      </w:r>
      <w:r w:rsidR="00AD1EDA" w:rsidRPr="00CC7E17">
        <w:rPr>
          <w:rFonts w:ascii="Arial" w:hAnsi="Arial" w:cs="Arial"/>
          <w:sz w:val="24"/>
          <w:szCs w:val="24"/>
          <w:lang w:val="en-US"/>
        </w:rPr>
        <w:t xml:space="preserve"> time and reducing the number of possible errors. Once the data ha</w:t>
      </w:r>
      <w:r w:rsidR="004711D8" w:rsidRPr="00CC7E17">
        <w:rPr>
          <w:rFonts w:ascii="Arial" w:hAnsi="Arial" w:cs="Arial"/>
          <w:sz w:val="24"/>
          <w:szCs w:val="24"/>
          <w:lang w:val="en-US"/>
        </w:rPr>
        <w:t>ve</w:t>
      </w:r>
      <w:r w:rsidR="00AD1EDA" w:rsidRPr="00CC7E17">
        <w:rPr>
          <w:rFonts w:ascii="Arial" w:hAnsi="Arial" w:cs="Arial"/>
          <w:sz w:val="24"/>
          <w:szCs w:val="24"/>
          <w:lang w:val="en-US"/>
        </w:rPr>
        <w:t xml:space="preserve"> been filled in, the extractor simply needs to submit the data to the database directly rather than transpose information from the paper-based extraction forms to the </w:t>
      </w:r>
      <w:r w:rsidR="00E54AE4" w:rsidRPr="00CC7E17">
        <w:rPr>
          <w:rFonts w:ascii="Arial" w:hAnsi="Arial" w:cs="Arial"/>
          <w:sz w:val="24"/>
          <w:szCs w:val="24"/>
          <w:lang w:val="en-US"/>
        </w:rPr>
        <w:t>E</w:t>
      </w:r>
      <w:r w:rsidR="00AD1EDA" w:rsidRPr="00CC7E17">
        <w:rPr>
          <w:rFonts w:ascii="Arial" w:hAnsi="Arial" w:cs="Arial"/>
          <w:sz w:val="24"/>
          <w:szCs w:val="24"/>
          <w:lang w:val="en-US"/>
        </w:rPr>
        <w:t>xcel spreadsheet as was done in the feasibility study. Lastly, once submitted, the data now populate</w:t>
      </w:r>
      <w:r w:rsidR="007520CD" w:rsidRPr="00CC7E17">
        <w:rPr>
          <w:rFonts w:ascii="Arial" w:hAnsi="Arial" w:cs="Arial"/>
          <w:sz w:val="24"/>
          <w:szCs w:val="24"/>
          <w:lang w:val="en-US"/>
        </w:rPr>
        <w:t xml:space="preserve"> into</w:t>
      </w:r>
      <w:r w:rsidR="00AD1EDA" w:rsidRPr="00CC7E17">
        <w:rPr>
          <w:rFonts w:ascii="Arial" w:hAnsi="Arial" w:cs="Arial"/>
          <w:sz w:val="24"/>
          <w:szCs w:val="24"/>
          <w:lang w:val="en-US"/>
        </w:rPr>
        <w:t xml:space="preserve"> a query-able database, which can be searched</w:t>
      </w:r>
      <w:r w:rsidR="007520CD" w:rsidRPr="00CC7E17">
        <w:rPr>
          <w:rFonts w:ascii="Arial" w:hAnsi="Arial" w:cs="Arial"/>
          <w:sz w:val="24"/>
          <w:szCs w:val="24"/>
          <w:lang w:val="en-US"/>
        </w:rPr>
        <w:t xml:space="preserve"> on </w:t>
      </w:r>
      <w:r w:rsidR="00AD1EDA" w:rsidRPr="00CC7E17">
        <w:rPr>
          <w:rFonts w:ascii="Arial" w:hAnsi="Arial" w:cs="Arial"/>
          <w:sz w:val="24"/>
          <w:szCs w:val="24"/>
          <w:lang w:val="en-US"/>
        </w:rPr>
        <w:t xml:space="preserve">fields </w:t>
      </w:r>
      <w:r w:rsidR="004711D8" w:rsidRPr="00CC7E17">
        <w:rPr>
          <w:rFonts w:ascii="Arial" w:hAnsi="Arial" w:cs="Arial"/>
          <w:sz w:val="24"/>
          <w:szCs w:val="24"/>
          <w:lang w:val="en-US"/>
        </w:rPr>
        <w:t>such as</w:t>
      </w:r>
      <w:r w:rsidR="00AD1EDA" w:rsidRPr="00CC7E17">
        <w:rPr>
          <w:rFonts w:ascii="Arial" w:hAnsi="Arial" w:cs="Arial"/>
          <w:sz w:val="24"/>
          <w:szCs w:val="24"/>
          <w:lang w:val="en-US"/>
        </w:rPr>
        <w:t xml:space="preserve"> </w:t>
      </w:r>
      <w:r w:rsidR="007520CD" w:rsidRPr="00CC7E17">
        <w:rPr>
          <w:rFonts w:ascii="Arial" w:hAnsi="Arial" w:cs="Arial"/>
          <w:sz w:val="24"/>
          <w:szCs w:val="24"/>
          <w:lang w:val="en-US"/>
        </w:rPr>
        <w:t>O</w:t>
      </w:r>
      <w:r w:rsidR="00AD1EDA" w:rsidRPr="00CC7E17">
        <w:rPr>
          <w:rFonts w:ascii="Arial" w:hAnsi="Arial" w:cs="Arial"/>
          <w:sz w:val="24"/>
          <w:szCs w:val="24"/>
          <w:lang w:val="en-US"/>
        </w:rPr>
        <w:t>utcom</w:t>
      </w:r>
      <w:r w:rsidR="004D3E5E" w:rsidRPr="00CC7E17">
        <w:rPr>
          <w:rFonts w:ascii="Arial" w:hAnsi="Arial" w:cs="Arial"/>
          <w:sz w:val="24"/>
          <w:szCs w:val="24"/>
          <w:lang w:val="en-US"/>
        </w:rPr>
        <w:t>e</w:t>
      </w:r>
      <w:r w:rsidR="007520CD" w:rsidRPr="00CC7E17">
        <w:rPr>
          <w:rFonts w:ascii="Arial" w:hAnsi="Arial" w:cs="Arial"/>
          <w:sz w:val="24"/>
          <w:szCs w:val="24"/>
          <w:lang w:val="en-US"/>
        </w:rPr>
        <w:t xml:space="preserve"> or C</w:t>
      </w:r>
      <w:r w:rsidR="00AD1EDA" w:rsidRPr="00CC7E17">
        <w:rPr>
          <w:rFonts w:ascii="Arial" w:hAnsi="Arial" w:cs="Arial"/>
          <w:sz w:val="24"/>
          <w:szCs w:val="24"/>
          <w:lang w:val="en-US"/>
        </w:rPr>
        <w:t xml:space="preserve">ondition as well as indexing terms like MeSH Minor and </w:t>
      </w:r>
      <w:r w:rsidR="007520CD" w:rsidRPr="00CC7E17">
        <w:rPr>
          <w:rFonts w:ascii="Arial" w:hAnsi="Arial" w:cs="Arial"/>
          <w:sz w:val="24"/>
          <w:szCs w:val="24"/>
          <w:lang w:val="en-US"/>
        </w:rPr>
        <w:t>MeSH M</w:t>
      </w:r>
      <w:r w:rsidR="00AD1EDA" w:rsidRPr="00CC7E17">
        <w:rPr>
          <w:rFonts w:ascii="Arial" w:hAnsi="Arial" w:cs="Arial"/>
          <w:sz w:val="24"/>
          <w:szCs w:val="24"/>
          <w:lang w:val="en-US"/>
        </w:rPr>
        <w:t xml:space="preserve">ajor terms. </w:t>
      </w:r>
    </w:p>
    <w:p w14:paraId="1B0C9493" w14:textId="77777777" w:rsidR="0098577A" w:rsidRPr="00CC7E17" w:rsidRDefault="0098577A" w:rsidP="0009624B">
      <w:pPr>
        <w:pStyle w:val="Body"/>
        <w:spacing w:line="360" w:lineRule="auto"/>
        <w:rPr>
          <w:rFonts w:ascii="Arial" w:eastAsia="Arial" w:hAnsi="Arial" w:cs="Arial"/>
          <w:sz w:val="24"/>
          <w:szCs w:val="24"/>
        </w:rPr>
      </w:pPr>
    </w:p>
    <w:p w14:paraId="4CAC8193" w14:textId="65CC8402" w:rsidR="0098577A" w:rsidRPr="00CC7E17" w:rsidRDefault="0098577A" w:rsidP="0009624B">
      <w:pPr>
        <w:pStyle w:val="Body"/>
        <w:spacing w:line="360" w:lineRule="auto"/>
        <w:rPr>
          <w:rFonts w:ascii="Arial" w:eastAsia="Arial" w:hAnsi="Arial" w:cs="Arial"/>
          <w:sz w:val="24"/>
          <w:szCs w:val="24"/>
        </w:rPr>
      </w:pPr>
      <w:r w:rsidRPr="00CC7E17">
        <w:rPr>
          <w:rFonts w:ascii="Arial" w:hAnsi="Arial" w:cs="Arial"/>
          <w:sz w:val="24"/>
          <w:szCs w:val="24"/>
          <w:lang w:val="en-US"/>
        </w:rPr>
        <w:t>In spite of its several accomplishm</w:t>
      </w:r>
      <w:r w:rsidR="002725C9" w:rsidRPr="00CC7E17">
        <w:rPr>
          <w:rFonts w:ascii="Arial" w:hAnsi="Arial" w:cs="Arial"/>
          <w:sz w:val="24"/>
          <w:szCs w:val="24"/>
          <w:lang w:val="en-US"/>
        </w:rPr>
        <w:t>ents, MacPrognosis does have it</w:t>
      </w:r>
      <w:r w:rsidRPr="00CC7E17">
        <w:rPr>
          <w:rFonts w:ascii="Arial" w:hAnsi="Arial" w:cs="Arial"/>
          <w:sz w:val="24"/>
          <w:szCs w:val="24"/>
          <w:lang w:val="en-US"/>
        </w:rPr>
        <w:t xml:space="preserve">s limitations. As mentioned </w:t>
      </w:r>
      <w:r w:rsidR="00E07E27">
        <w:rPr>
          <w:rFonts w:ascii="Arial" w:hAnsi="Arial" w:cs="Arial"/>
          <w:sz w:val="24"/>
          <w:szCs w:val="24"/>
          <w:lang w:val="en-US"/>
        </w:rPr>
        <w:t>in</w:t>
      </w:r>
      <w:r w:rsidR="00E07E27" w:rsidRPr="00CC7E17">
        <w:rPr>
          <w:rFonts w:ascii="Arial" w:hAnsi="Arial" w:cs="Arial"/>
          <w:sz w:val="24"/>
          <w:szCs w:val="24"/>
          <w:lang w:val="en-US"/>
        </w:rPr>
        <w:t xml:space="preserve"> Table</w:t>
      </w:r>
      <w:r w:rsidR="00E54AE4" w:rsidRPr="00CC7E17">
        <w:rPr>
          <w:rFonts w:ascii="Arial" w:hAnsi="Arial" w:cs="Arial"/>
          <w:sz w:val="24"/>
          <w:szCs w:val="24"/>
          <w:lang w:val="en-US"/>
        </w:rPr>
        <w:t xml:space="preserve"> 2</w:t>
      </w:r>
      <w:r w:rsidRPr="00CC7E17">
        <w:rPr>
          <w:rFonts w:ascii="Arial" w:hAnsi="Arial" w:cs="Arial"/>
          <w:sz w:val="24"/>
          <w:szCs w:val="24"/>
          <w:lang w:val="en-US"/>
        </w:rPr>
        <w:t xml:space="preserve">, several small changes such as the </w:t>
      </w:r>
      <w:r w:rsidR="004711D8" w:rsidRPr="00CC7E17">
        <w:rPr>
          <w:rFonts w:ascii="Arial" w:hAnsi="Arial" w:cs="Arial"/>
          <w:sz w:val="24"/>
          <w:szCs w:val="24"/>
          <w:lang w:val="en-US"/>
        </w:rPr>
        <w:t xml:space="preserve">expansion </w:t>
      </w:r>
      <w:r w:rsidRPr="00CC7E17">
        <w:rPr>
          <w:rFonts w:ascii="Arial" w:hAnsi="Arial" w:cs="Arial"/>
          <w:sz w:val="24"/>
          <w:szCs w:val="24"/>
          <w:lang w:val="en-US"/>
        </w:rPr>
        <w:t xml:space="preserve">of the number of </w:t>
      </w:r>
      <w:r w:rsidR="004711D8" w:rsidRPr="00CC7E17">
        <w:rPr>
          <w:rFonts w:ascii="Arial" w:hAnsi="Arial" w:cs="Arial"/>
          <w:sz w:val="24"/>
          <w:szCs w:val="24"/>
          <w:lang w:val="en-US"/>
        </w:rPr>
        <w:t xml:space="preserve">allowable </w:t>
      </w:r>
      <w:r w:rsidRPr="00CC7E17">
        <w:rPr>
          <w:rFonts w:ascii="Arial" w:hAnsi="Arial" w:cs="Arial"/>
          <w:sz w:val="24"/>
          <w:szCs w:val="24"/>
          <w:lang w:val="en-US"/>
        </w:rPr>
        <w:t xml:space="preserve">rows per article could lead to a larger proportion of articles with extracted information. </w:t>
      </w:r>
    </w:p>
    <w:p w14:paraId="10F3CAC2" w14:textId="77777777" w:rsidR="0098577A" w:rsidRPr="00CC7E17" w:rsidRDefault="0098577A" w:rsidP="0009624B">
      <w:pPr>
        <w:pStyle w:val="Body"/>
        <w:spacing w:line="360" w:lineRule="auto"/>
        <w:rPr>
          <w:rFonts w:ascii="Arial" w:eastAsia="Arial" w:hAnsi="Arial" w:cs="Arial"/>
          <w:sz w:val="24"/>
          <w:szCs w:val="24"/>
        </w:rPr>
      </w:pPr>
    </w:p>
    <w:p w14:paraId="73B62C98" w14:textId="77777777" w:rsidR="0098577A" w:rsidRPr="00CC7E17" w:rsidRDefault="0098577A"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There are other limitations that apply to the study in general. For instance, the estimates of time per article were simply conducted by starting and stopping a stopwatch between the start and end of extracting information from an article and was done only for a small percentage of articles: </w:t>
      </w:r>
    </w:p>
    <w:p w14:paraId="2ED9C54C" w14:textId="77777777" w:rsidR="0098577A" w:rsidRPr="00CC7E17" w:rsidRDefault="0098577A"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p>
    <w:p w14:paraId="7372B4AC" w14:textId="2D9CFB85" w:rsidR="0098577A" w:rsidRPr="00CC7E17" w:rsidRDefault="0098577A" w:rsidP="0009624B">
      <w:pPr>
        <w:pStyle w:val="Body"/>
        <w:spacing w:line="360" w:lineRule="auto"/>
        <w:rPr>
          <w:rFonts w:ascii="Arial" w:eastAsia="Arial" w:hAnsi="Arial" w:cs="Arial"/>
          <w:sz w:val="24"/>
          <w:szCs w:val="24"/>
        </w:rPr>
      </w:pPr>
      <w:r w:rsidRPr="00CC7E17">
        <w:rPr>
          <w:rFonts w:ascii="Arial" w:eastAsia="Arial" w:hAnsi="Arial" w:cs="Arial"/>
          <w:sz w:val="24"/>
          <w:szCs w:val="24"/>
          <w:lang w:val="en-US"/>
        </w:rPr>
        <w:tab/>
      </w:r>
      <w:r w:rsidRPr="00CC7E17">
        <w:rPr>
          <w:rFonts w:ascii="Arial" w:eastAsia="Arial" w:hAnsi="Arial" w:cs="Arial"/>
          <w:b/>
          <w:sz w:val="24"/>
          <w:szCs w:val="24"/>
          <w:lang w:val="en-US"/>
        </w:rPr>
        <w:t>FEASIBILITY:</w:t>
      </w:r>
      <w:r w:rsidRPr="00CC7E17">
        <w:rPr>
          <w:rFonts w:ascii="Arial" w:eastAsia="Arial" w:hAnsi="Arial" w:cs="Arial"/>
          <w:sz w:val="24"/>
          <w:szCs w:val="24"/>
          <w:lang w:val="en-US"/>
        </w:rPr>
        <w:t xml:space="preserve"> 5 articles timed / 38</w:t>
      </w:r>
      <w:r w:rsidR="00E817BA">
        <w:rPr>
          <w:rFonts w:ascii="Arial" w:eastAsia="Arial" w:hAnsi="Arial" w:cs="Arial"/>
          <w:sz w:val="24"/>
          <w:szCs w:val="24"/>
          <w:lang w:val="en-US"/>
        </w:rPr>
        <w:t xml:space="preserve"> articles </w:t>
      </w:r>
      <w:r w:rsidRPr="00CC7E17">
        <w:rPr>
          <w:rFonts w:ascii="Arial" w:eastAsia="Arial" w:hAnsi="Arial" w:cs="Arial"/>
          <w:sz w:val="24"/>
          <w:szCs w:val="24"/>
          <w:lang w:val="en-US"/>
        </w:rPr>
        <w:t>= 13%</w:t>
      </w:r>
    </w:p>
    <w:p w14:paraId="128A0FF1" w14:textId="4A1098C9" w:rsidR="0098577A" w:rsidRPr="00CC7E17" w:rsidRDefault="0098577A" w:rsidP="0009624B">
      <w:pPr>
        <w:pStyle w:val="Body"/>
        <w:spacing w:line="360" w:lineRule="auto"/>
        <w:rPr>
          <w:rFonts w:ascii="Arial" w:eastAsia="Arial" w:hAnsi="Arial" w:cs="Arial"/>
          <w:sz w:val="24"/>
          <w:szCs w:val="24"/>
        </w:rPr>
      </w:pPr>
      <w:r w:rsidRPr="00CC7E17">
        <w:rPr>
          <w:rFonts w:ascii="Arial" w:eastAsia="Arial" w:hAnsi="Arial" w:cs="Arial"/>
          <w:sz w:val="24"/>
          <w:szCs w:val="24"/>
          <w:lang w:val="en-US"/>
        </w:rPr>
        <w:tab/>
      </w:r>
      <w:r w:rsidR="00EF12B7" w:rsidRPr="00CC7E17">
        <w:rPr>
          <w:rFonts w:ascii="Arial" w:eastAsia="Arial" w:hAnsi="Arial" w:cs="Arial"/>
          <w:b/>
          <w:sz w:val="24"/>
          <w:szCs w:val="24"/>
          <w:lang w:val="en-US"/>
        </w:rPr>
        <w:t>CURRENT STUDY:</w:t>
      </w:r>
      <w:r w:rsidR="00A50237">
        <w:rPr>
          <w:rFonts w:ascii="Arial" w:eastAsia="Arial" w:hAnsi="Arial" w:cs="Arial"/>
          <w:sz w:val="24"/>
          <w:szCs w:val="24"/>
          <w:lang w:val="en-US"/>
        </w:rPr>
        <w:t xml:space="preserve"> </w:t>
      </w:r>
      <w:r w:rsidRPr="00CC7E17">
        <w:rPr>
          <w:rFonts w:ascii="Arial" w:eastAsia="Arial" w:hAnsi="Arial" w:cs="Arial"/>
          <w:sz w:val="24"/>
          <w:szCs w:val="24"/>
          <w:lang w:val="en-US"/>
        </w:rPr>
        <w:t>10 articles / 656 articles = 2%</w:t>
      </w:r>
    </w:p>
    <w:p w14:paraId="559241ED" w14:textId="77777777" w:rsidR="0098577A" w:rsidRPr="00CC7E17" w:rsidRDefault="0098577A" w:rsidP="0009624B">
      <w:pPr>
        <w:pStyle w:val="Body"/>
        <w:spacing w:line="360" w:lineRule="auto"/>
        <w:rPr>
          <w:rFonts w:ascii="Arial" w:eastAsia="Arial" w:hAnsi="Arial" w:cs="Arial"/>
          <w:sz w:val="24"/>
          <w:szCs w:val="24"/>
        </w:rPr>
      </w:pPr>
    </w:p>
    <w:p w14:paraId="66F815D5" w14:textId="4389D764" w:rsidR="0098577A" w:rsidRPr="00CC7E17" w:rsidRDefault="0098577A" w:rsidP="0009624B">
      <w:pPr>
        <w:pStyle w:val="Body"/>
        <w:spacing w:line="360" w:lineRule="auto"/>
        <w:rPr>
          <w:rFonts w:ascii="Arial" w:hAnsi="Arial" w:cs="Arial"/>
          <w:sz w:val="24"/>
          <w:szCs w:val="24"/>
          <w:lang w:val="en-US"/>
        </w:rPr>
      </w:pPr>
      <w:r w:rsidRPr="00CC7E17">
        <w:rPr>
          <w:rFonts w:ascii="Arial" w:hAnsi="Arial" w:cs="Arial"/>
          <w:sz w:val="24"/>
          <w:szCs w:val="24"/>
          <w:lang w:val="en-US"/>
        </w:rPr>
        <w:t xml:space="preserve">This </w:t>
      </w:r>
      <w:r w:rsidR="009B5A07" w:rsidRPr="00CC7E17">
        <w:rPr>
          <w:rFonts w:ascii="Arial" w:hAnsi="Arial" w:cs="Arial"/>
          <w:sz w:val="24"/>
          <w:szCs w:val="24"/>
          <w:lang w:val="en-US"/>
        </w:rPr>
        <w:t xml:space="preserve">timing </w:t>
      </w:r>
      <w:r w:rsidRPr="00CC7E17">
        <w:rPr>
          <w:rFonts w:ascii="Arial" w:hAnsi="Arial" w:cs="Arial"/>
          <w:sz w:val="24"/>
          <w:szCs w:val="24"/>
          <w:lang w:val="en-US"/>
        </w:rPr>
        <w:t xml:space="preserve">process could easily be integrated into MacPrognosis by incorporating a timer </w:t>
      </w:r>
      <w:r w:rsidR="009B5A07" w:rsidRPr="00CC7E17">
        <w:rPr>
          <w:rFonts w:ascii="Arial" w:hAnsi="Arial" w:cs="Arial"/>
          <w:sz w:val="24"/>
          <w:szCs w:val="24"/>
          <w:lang w:val="en-US"/>
        </w:rPr>
        <w:t>for</w:t>
      </w:r>
      <w:r w:rsidRPr="00CC7E17">
        <w:rPr>
          <w:rFonts w:ascii="Arial" w:hAnsi="Arial" w:cs="Arial"/>
          <w:sz w:val="24"/>
          <w:szCs w:val="24"/>
          <w:lang w:val="en-US"/>
        </w:rPr>
        <w:t xml:space="preserve"> articles to develop better estimates of time required per article. This </w:t>
      </w:r>
      <w:r w:rsidR="009B5A07" w:rsidRPr="00CC7E17">
        <w:rPr>
          <w:rFonts w:ascii="Arial" w:hAnsi="Arial" w:cs="Arial"/>
          <w:sz w:val="24"/>
          <w:szCs w:val="24"/>
          <w:lang w:val="en-US"/>
        </w:rPr>
        <w:t>c</w:t>
      </w:r>
      <w:r w:rsidRPr="00CC7E17">
        <w:rPr>
          <w:rFonts w:ascii="Arial" w:hAnsi="Arial" w:cs="Arial"/>
          <w:sz w:val="24"/>
          <w:szCs w:val="24"/>
          <w:lang w:val="en-US"/>
        </w:rPr>
        <w:t xml:space="preserve">ould allow for better forecasting of time required to clear backlogs and amount of funds potentially required to hire extractors. </w:t>
      </w:r>
    </w:p>
    <w:p w14:paraId="7A280F31" w14:textId="77777777" w:rsidR="002725C9" w:rsidRPr="00CC7E17" w:rsidRDefault="002725C9" w:rsidP="0009624B">
      <w:pPr>
        <w:pStyle w:val="Body"/>
        <w:spacing w:line="360" w:lineRule="auto"/>
        <w:rPr>
          <w:rFonts w:ascii="Arial" w:hAnsi="Arial" w:cs="Arial"/>
          <w:sz w:val="24"/>
          <w:szCs w:val="24"/>
          <w:lang w:val="en-US"/>
        </w:rPr>
      </w:pPr>
    </w:p>
    <w:p w14:paraId="6DDBD471" w14:textId="79C23F17" w:rsidR="002725C9" w:rsidRDefault="002725C9" w:rsidP="0009624B">
      <w:pPr>
        <w:pStyle w:val="Body"/>
        <w:spacing w:line="360" w:lineRule="auto"/>
        <w:rPr>
          <w:rFonts w:ascii="Arial" w:hAnsi="Arial" w:cs="Arial"/>
          <w:sz w:val="24"/>
          <w:szCs w:val="24"/>
          <w:lang w:val="en-US"/>
        </w:rPr>
      </w:pPr>
      <w:r w:rsidRPr="00CC7E17">
        <w:rPr>
          <w:rFonts w:ascii="Arial" w:hAnsi="Arial" w:cs="Arial"/>
          <w:sz w:val="24"/>
          <w:szCs w:val="24"/>
          <w:lang w:val="en-US"/>
        </w:rPr>
        <w:t xml:space="preserve">In addition to this, agreement </w:t>
      </w:r>
      <w:r w:rsidR="007520CD" w:rsidRPr="00CC7E17">
        <w:rPr>
          <w:rFonts w:ascii="Arial" w:hAnsi="Arial" w:cs="Arial"/>
          <w:sz w:val="24"/>
          <w:szCs w:val="24"/>
          <w:lang w:val="en-US"/>
        </w:rPr>
        <w:t xml:space="preserve">between extractors </w:t>
      </w:r>
      <w:r w:rsidRPr="00CC7E17">
        <w:rPr>
          <w:rFonts w:ascii="Arial" w:hAnsi="Arial" w:cs="Arial"/>
          <w:sz w:val="24"/>
          <w:szCs w:val="24"/>
          <w:lang w:val="en-US"/>
        </w:rPr>
        <w:t xml:space="preserve">was checked for only </w:t>
      </w:r>
      <w:r w:rsidR="004711D8" w:rsidRPr="00CC7E17">
        <w:rPr>
          <w:rFonts w:ascii="Arial" w:hAnsi="Arial" w:cs="Arial"/>
          <w:sz w:val="24"/>
          <w:szCs w:val="24"/>
          <w:lang w:val="en-US"/>
        </w:rPr>
        <w:t>a</w:t>
      </w:r>
      <w:r w:rsidRPr="00CC7E17">
        <w:rPr>
          <w:rFonts w:ascii="Arial" w:hAnsi="Arial" w:cs="Arial"/>
          <w:sz w:val="24"/>
          <w:szCs w:val="24"/>
          <w:lang w:val="en-US"/>
        </w:rPr>
        <w:t xml:space="preserve"> few articles. In total, </w:t>
      </w:r>
      <w:r w:rsidR="00E817BA">
        <w:rPr>
          <w:rFonts w:ascii="Arial" w:hAnsi="Arial" w:cs="Arial"/>
          <w:sz w:val="24"/>
          <w:szCs w:val="24"/>
          <w:lang w:val="en-US"/>
        </w:rPr>
        <w:t>four</w:t>
      </w:r>
      <w:r w:rsidRPr="00CC7E17">
        <w:rPr>
          <w:rFonts w:ascii="Arial" w:hAnsi="Arial" w:cs="Arial"/>
          <w:sz w:val="24"/>
          <w:szCs w:val="24"/>
          <w:lang w:val="en-US"/>
        </w:rPr>
        <w:t xml:space="preserve"> articles were checked for agreement </w:t>
      </w:r>
      <w:r w:rsidR="00B01DBC" w:rsidRPr="00CC7E17">
        <w:rPr>
          <w:rFonts w:ascii="Arial" w:hAnsi="Arial" w:cs="Arial"/>
          <w:sz w:val="24"/>
          <w:szCs w:val="24"/>
          <w:lang w:val="en-US"/>
        </w:rPr>
        <w:t>and agreement was only verbally discussed</w:t>
      </w:r>
      <w:r w:rsidR="00021C31" w:rsidRPr="00CC7E17">
        <w:rPr>
          <w:rFonts w:ascii="Arial" w:hAnsi="Arial" w:cs="Arial"/>
          <w:sz w:val="24"/>
          <w:szCs w:val="24"/>
          <w:lang w:val="en-US"/>
        </w:rPr>
        <w:t xml:space="preserve"> between two duplicate extractors</w:t>
      </w:r>
      <w:r w:rsidR="00B01DBC" w:rsidRPr="00CC7E17">
        <w:rPr>
          <w:rFonts w:ascii="Arial" w:hAnsi="Arial" w:cs="Arial"/>
          <w:sz w:val="24"/>
          <w:szCs w:val="24"/>
          <w:lang w:val="en-US"/>
        </w:rPr>
        <w:t xml:space="preserve">. </w:t>
      </w:r>
      <w:r w:rsidR="004711D8" w:rsidRPr="00CC7E17">
        <w:rPr>
          <w:rFonts w:ascii="Arial" w:hAnsi="Arial" w:cs="Arial"/>
          <w:sz w:val="24"/>
          <w:szCs w:val="24"/>
          <w:lang w:val="en-US"/>
        </w:rPr>
        <w:t>T</w:t>
      </w:r>
      <w:r w:rsidR="00B01DBC" w:rsidRPr="00CC7E17">
        <w:rPr>
          <w:rFonts w:ascii="Arial" w:hAnsi="Arial" w:cs="Arial"/>
          <w:sz w:val="24"/>
          <w:szCs w:val="24"/>
          <w:lang w:val="en-US"/>
        </w:rPr>
        <w:t>o better e</w:t>
      </w:r>
      <w:r w:rsidR="007520CD" w:rsidRPr="00CC7E17">
        <w:rPr>
          <w:rFonts w:ascii="Arial" w:hAnsi="Arial" w:cs="Arial"/>
          <w:sz w:val="24"/>
          <w:szCs w:val="24"/>
          <w:lang w:val="en-US"/>
        </w:rPr>
        <w:t xml:space="preserve">stimate agreement between extractors, </w:t>
      </w:r>
      <w:r w:rsidR="00B01DBC" w:rsidRPr="00CC7E17">
        <w:rPr>
          <w:rFonts w:ascii="Arial" w:hAnsi="Arial" w:cs="Arial"/>
          <w:sz w:val="24"/>
          <w:szCs w:val="24"/>
          <w:lang w:val="en-US"/>
        </w:rPr>
        <w:t>a feature</w:t>
      </w:r>
      <w:r w:rsidR="007520CD" w:rsidRPr="00CC7E17">
        <w:rPr>
          <w:rFonts w:ascii="Arial" w:hAnsi="Arial" w:cs="Arial"/>
          <w:sz w:val="24"/>
          <w:szCs w:val="24"/>
          <w:lang w:val="en-US"/>
        </w:rPr>
        <w:t xml:space="preserve"> could be developed for MacPrognosis that would compare the results of extractions </w:t>
      </w:r>
      <w:r w:rsidR="002621B4" w:rsidRPr="00CC7E17">
        <w:rPr>
          <w:rFonts w:ascii="Arial" w:hAnsi="Arial" w:cs="Arial"/>
          <w:sz w:val="24"/>
          <w:szCs w:val="24"/>
          <w:lang w:val="en-US"/>
        </w:rPr>
        <w:t>between the same articles.</w:t>
      </w:r>
      <w:r w:rsidR="00B01DBC" w:rsidRPr="00CC7E17">
        <w:rPr>
          <w:rFonts w:ascii="Arial" w:hAnsi="Arial" w:cs="Arial"/>
          <w:sz w:val="24"/>
          <w:szCs w:val="24"/>
          <w:lang w:val="en-US"/>
        </w:rPr>
        <w:t xml:space="preserve"> MacPrognosis is already equipped with the ability to allow</w:t>
      </w:r>
      <w:r w:rsidR="00E817BA">
        <w:rPr>
          <w:rFonts w:ascii="Arial" w:hAnsi="Arial" w:cs="Arial"/>
          <w:sz w:val="24"/>
          <w:szCs w:val="24"/>
          <w:lang w:val="en-US"/>
        </w:rPr>
        <w:t xml:space="preserve"> for</w:t>
      </w:r>
      <w:r w:rsidR="00B01DBC" w:rsidRPr="00CC7E17">
        <w:rPr>
          <w:rFonts w:ascii="Arial" w:hAnsi="Arial" w:cs="Arial"/>
          <w:sz w:val="24"/>
          <w:szCs w:val="24"/>
          <w:lang w:val="en-US"/>
        </w:rPr>
        <w:t xml:space="preserve"> duplicate extraction</w:t>
      </w:r>
      <w:r w:rsidR="007520CD" w:rsidRPr="00CC7E17">
        <w:rPr>
          <w:rFonts w:ascii="Arial" w:hAnsi="Arial" w:cs="Arial"/>
          <w:sz w:val="24"/>
          <w:szCs w:val="24"/>
          <w:lang w:val="en-US"/>
        </w:rPr>
        <w:t>s</w:t>
      </w:r>
      <w:r w:rsidR="00B01DBC" w:rsidRPr="00CC7E17">
        <w:rPr>
          <w:rFonts w:ascii="Arial" w:hAnsi="Arial" w:cs="Arial"/>
          <w:sz w:val="24"/>
          <w:szCs w:val="24"/>
          <w:lang w:val="en-US"/>
        </w:rPr>
        <w:t xml:space="preserve"> utilizing two sets of different user credentials.</w:t>
      </w:r>
    </w:p>
    <w:p w14:paraId="680A450C" w14:textId="77777777" w:rsidR="0014113C" w:rsidRDefault="0014113C" w:rsidP="0009624B">
      <w:pPr>
        <w:pStyle w:val="Body"/>
        <w:spacing w:line="360" w:lineRule="auto"/>
        <w:rPr>
          <w:rFonts w:ascii="Arial" w:hAnsi="Arial" w:cs="Arial"/>
          <w:sz w:val="24"/>
          <w:szCs w:val="24"/>
          <w:lang w:val="en-US"/>
        </w:rPr>
      </w:pPr>
    </w:p>
    <w:p w14:paraId="611C56DF" w14:textId="77777777" w:rsidR="0014113C" w:rsidRPr="00CC7E17" w:rsidRDefault="0014113C" w:rsidP="0014113C">
      <w:pPr>
        <w:pStyle w:val="BodyA"/>
        <w:spacing w:line="360" w:lineRule="auto"/>
        <w:rPr>
          <w:rFonts w:ascii="Arial" w:eastAsia="Arial" w:hAnsi="Arial" w:cs="Arial"/>
        </w:rPr>
      </w:pPr>
      <w:r w:rsidRPr="00CC7E17">
        <w:rPr>
          <w:rFonts w:ascii="Arial" w:hAnsi="Arial" w:cs="Arial"/>
        </w:rPr>
        <w:t>Moving forward, several features must be modified or created in the system. MacPrognosis should be modified with the changes listed above to allow for a more efficient extraction process. Lastly, development should begin on the front end of BRiskeT. Key features to be added include</w:t>
      </w:r>
    </w:p>
    <w:p w14:paraId="173D97AF" w14:textId="0D4C625C" w:rsidR="0014113C" w:rsidRPr="00CC7E17" w:rsidRDefault="0014113C" w:rsidP="0014113C">
      <w:pPr>
        <w:pStyle w:val="BodyA"/>
        <w:numPr>
          <w:ilvl w:val="0"/>
          <w:numId w:val="62"/>
        </w:numPr>
        <w:spacing w:line="360" w:lineRule="auto"/>
        <w:rPr>
          <w:rFonts w:ascii="Arial" w:eastAsia="Arial" w:hAnsi="Arial" w:cs="Arial"/>
        </w:rPr>
      </w:pPr>
      <w:r w:rsidRPr="00CC7E17">
        <w:rPr>
          <w:rFonts w:ascii="Arial" w:hAnsi="Arial" w:cs="Arial"/>
        </w:rPr>
        <w:t xml:space="preserve">A New User Generation </w:t>
      </w:r>
      <w:r w:rsidR="00E07E27" w:rsidRPr="00CC7E17">
        <w:rPr>
          <w:rFonts w:ascii="Arial" w:hAnsi="Arial" w:cs="Arial"/>
        </w:rPr>
        <w:t>Feature:</w:t>
      </w:r>
      <w:r w:rsidRPr="00CC7E17">
        <w:rPr>
          <w:rFonts w:ascii="Arial" w:hAnsi="Arial" w:cs="Arial"/>
        </w:rPr>
        <w:t xml:space="preserve"> when a new user wants to be able to access the BRiskeT database they will be able to choose their user credentials </w:t>
      </w:r>
    </w:p>
    <w:p w14:paraId="30F0D2EA" w14:textId="77777777" w:rsidR="0014113C" w:rsidRPr="00CC7E17" w:rsidRDefault="0014113C" w:rsidP="0014113C">
      <w:pPr>
        <w:pStyle w:val="BodyA"/>
        <w:numPr>
          <w:ilvl w:val="0"/>
          <w:numId w:val="62"/>
        </w:numPr>
        <w:spacing w:line="360" w:lineRule="auto"/>
        <w:rPr>
          <w:rFonts w:ascii="Arial" w:eastAsia="Arial" w:hAnsi="Arial" w:cs="Arial"/>
        </w:rPr>
      </w:pPr>
      <w:r w:rsidRPr="00CC7E17">
        <w:rPr>
          <w:rFonts w:ascii="Arial" w:hAnsi="Arial" w:cs="Arial"/>
        </w:rPr>
        <w:t xml:space="preserve">A more user friendly Search Feature </w:t>
      </w:r>
    </w:p>
    <w:p w14:paraId="21D839A5" w14:textId="77777777" w:rsidR="0014113C" w:rsidRPr="00CC7E17" w:rsidRDefault="0014113C" w:rsidP="0014113C">
      <w:pPr>
        <w:pStyle w:val="BodyA"/>
        <w:numPr>
          <w:ilvl w:val="2"/>
          <w:numId w:val="63"/>
        </w:numPr>
        <w:spacing w:line="360" w:lineRule="auto"/>
        <w:rPr>
          <w:rFonts w:ascii="Arial" w:eastAsia="Arial" w:hAnsi="Arial" w:cs="Arial"/>
          <w:position w:val="-2"/>
        </w:rPr>
      </w:pPr>
      <w:r w:rsidRPr="00CC7E17">
        <w:rPr>
          <w:rFonts w:ascii="Arial" w:hAnsi="Arial" w:cs="Arial"/>
        </w:rPr>
        <w:t>Search based on Outcome</w:t>
      </w:r>
    </w:p>
    <w:p w14:paraId="7F283239" w14:textId="77777777" w:rsidR="0014113C" w:rsidRPr="00CC7E17" w:rsidRDefault="0014113C" w:rsidP="0014113C">
      <w:pPr>
        <w:pStyle w:val="BodyA"/>
        <w:numPr>
          <w:ilvl w:val="2"/>
          <w:numId w:val="64"/>
        </w:numPr>
        <w:spacing w:line="360" w:lineRule="auto"/>
        <w:rPr>
          <w:rFonts w:ascii="Arial" w:eastAsia="Arial" w:hAnsi="Arial" w:cs="Arial"/>
          <w:position w:val="-2"/>
        </w:rPr>
      </w:pPr>
      <w:r w:rsidRPr="00CC7E17">
        <w:rPr>
          <w:rFonts w:ascii="Arial" w:hAnsi="Arial" w:cs="Arial"/>
        </w:rPr>
        <w:t xml:space="preserve">Search based on Conditions and Sub Conditions </w:t>
      </w:r>
    </w:p>
    <w:p w14:paraId="441BB941" w14:textId="77777777" w:rsidR="0014113C" w:rsidRPr="00CC7E17" w:rsidRDefault="0014113C" w:rsidP="0014113C">
      <w:pPr>
        <w:pStyle w:val="BodyA"/>
        <w:numPr>
          <w:ilvl w:val="2"/>
          <w:numId w:val="65"/>
        </w:numPr>
        <w:spacing w:line="360" w:lineRule="auto"/>
        <w:rPr>
          <w:rFonts w:ascii="Arial" w:eastAsia="Arial" w:hAnsi="Arial" w:cs="Arial"/>
          <w:position w:val="-2"/>
        </w:rPr>
      </w:pPr>
      <w:r w:rsidRPr="00CC7E17">
        <w:rPr>
          <w:rFonts w:ascii="Arial" w:hAnsi="Arial" w:cs="Arial"/>
        </w:rPr>
        <w:t xml:space="preserve">Search based on PubMed ID </w:t>
      </w:r>
    </w:p>
    <w:p w14:paraId="769ED8E3" w14:textId="77777777" w:rsidR="0014113C" w:rsidRPr="00CC7E17" w:rsidRDefault="0014113C" w:rsidP="0014113C">
      <w:pPr>
        <w:pStyle w:val="BodyA"/>
        <w:numPr>
          <w:ilvl w:val="2"/>
          <w:numId w:val="66"/>
        </w:numPr>
        <w:spacing w:line="360" w:lineRule="auto"/>
        <w:rPr>
          <w:rFonts w:ascii="Arial" w:eastAsia="Arial" w:hAnsi="Arial" w:cs="Arial"/>
          <w:position w:val="-2"/>
        </w:rPr>
      </w:pPr>
      <w:r w:rsidRPr="00CC7E17">
        <w:rPr>
          <w:rFonts w:ascii="Arial" w:hAnsi="Arial" w:cs="Arial"/>
        </w:rPr>
        <w:t>Search based on population (among other options)</w:t>
      </w:r>
    </w:p>
    <w:p w14:paraId="46F37A58" w14:textId="77777777" w:rsidR="0014113C" w:rsidRPr="00CC7E17" w:rsidRDefault="0014113C" w:rsidP="0014113C">
      <w:pPr>
        <w:pStyle w:val="BodyA"/>
        <w:numPr>
          <w:ilvl w:val="0"/>
          <w:numId w:val="62"/>
        </w:numPr>
        <w:spacing w:line="360" w:lineRule="auto"/>
        <w:rPr>
          <w:rFonts w:ascii="Arial" w:eastAsia="Arial" w:hAnsi="Arial" w:cs="Arial"/>
        </w:rPr>
      </w:pPr>
      <w:r w:rsidRPr="00CC7E17">
        <w:rPr>
          <w:rFonts w:ascii="Arial" w:hAnsi="Arial" w:cs="Arial"/>
        </w:rPr>
        <w:t xml:space="preserve">The ability to download data found through the search functionality in a variety of formats (Excel, Word etc.) </w:t>
      </w:r>
    </w:p>
    <w:p w14:paraId="0908F0FF" w14:textId="464024FD" w:rsidR="0098577A" w:rsidRDefault="0014113C" w:rsidP="00ED7C8D">
      <w:pPr>
        <w:pStyle w:val="Default"/>
        <w:spacing w:line="360" w:lineRule="auto"/>
        <w:rPr>
          <w:rFonts w:ascii="Arial" w:eastAsia="Arial" w:hAnsi="Arial" w:cs="Arial"/>
        </w:rPr>
      </w:pPr>
      <w:r w:rsidRPr="00672177">
        <w:rPr>
          <w:rFonts w:ascii="Arial" w:hAnsi="Arial" w:cs="Arial"/>
          <w:sz w:val="24"/>
          <w:szCs w:val="24"/>
        </w:rPr>
        <w:t>These essential front-end features will allow for primary user testing and successive iterations with refinements as required</w:t>
      </w:r>
      <w:r>
        <w:rPr>
          <w:rFonts w:ascii="Arial" w:hAnsi="Arial" w:cs="Arial"/>
          <w:sz w:val="24"/>
          <w:szCs w:val="24"/>
        </w:rPr>
        <w:t>.</w:t>
      </w:r>
    </w:p>
    <w:p w14:paraId="2975C369" w14:textId="25D7C7DE" w:rsidR="00C64494" w:rsidRPr="00CC7E17" w:rsidRDefault="00C64494" w:rsidP="00ED7C8D">
      <w:pPr>
        <w:pStyle w:val="Heading1"/>
      </w:pPr>
      <w:bookmarkStart w:id="46" w:name="_Toc286437130"/>
      <w:r>
        <w:t>Conclusion</w:t>
      </w:r>
      <w:bookmarkEnd w:id="46"/>
    </w:p>
    <w:p w14:paraId="4E60A69C" w14:textId="383F8724" w:rsidR="0098577A" w:rsidRPr="00CC7E17" w:rsidRDefault="00D856AB" w:rsidP="0009624B">
      <w:pPr>
        <w:pStyle w:val="Default"/>
        <w:spacing w:after="240" w:line="360" w:lineRule="auto"/>
        <w:rPr>
          <w:rFonts w:ascii="Arial" w:eastAsia="Arial" w:hAnsi="Arial" w:cs="Arial"/>
          <w:sz w:val="24"/>
          <w:szCs w:val="24"/>
        </w:rPr>
      </w:pPr>
      <w:r>
        <w:rPr>
          <w:rFonts w:ascii="Arial" w:hAnsi="Arial" w:cs="Arial"/>
          <w:sz w:val="24"/>
          <w:szCs w:val="24"/>
          <w:lang w:val="en-US"/>
        </w:rPr>
        <w:t xml:space="preserve">This thesis was conducted in order to determine if the use of </w:t>
      </w:r>
      <w:r w:rsidR="002D3995">
        <w:rPr>
          <w:rFonts w:ascii="Arial" w:hAnsi="Arial" w:cs="Arial"/>
          <w:sz w:val="24"/>
          <w:szCs w:val="24"/>
          <w:lang w:val="en-US"/>
        </w:rPr>
        <w:t>a</w:t>
      </w:r>
      <w:r w:rsidR="005E66BF">
        <w:rPr>
          <w:rFonts w:ascii="Arial" w:hAnsi="Arial" w:cs="Arial"/>
          <w:sz w:val="24"/>
          <w:szCs w:val="24"/>
          <w:lang w:val="en-US"/>
        </w:rPr>
        <w:t>n</w:t>
      </w:r>
      <w:r w:rsidR="002D3995">
        <w:rPr>
          <w:rFonts w:ascii="Arial" w:hAnsi="Arial" w:cs="Arial"/>
          <w:sz w:val="24"/>
          <w:szCs w:val="24"/>
          <w:lang w:val="en-US"/>
        </w:rPr>
        <w:t xml:space="preserve"> </w:t>
      </w:r>
      <w:r w:rsidR="00EE02D4">
        <w:rPr>
          <w:rFonts w:ascii="Arial" w:hAnsi="Arial" w:cs="Arial"/>
          <w:sz w:val="24"/>
          <w:szCs w:val="24"/>
          <w:lang w:val="en-US"/>
        </w:rPr>
        <w:t>eForm-based</w:t>
      </w:r>
      <w:r w:rsidR="002D3995">
        <w:rPr>
          <w:rFonts w:ascii="Arial" w:hAnsi="Arial" w:cs="Arial"/>
          <w:sz w:val="24"/>
          <w:szCs w:val="24"/>
          <w:lang w:val="en-US"/>
        </w:rPr>
        <w:t xml:space="preserve"> extractor</w:t>
      </w:r>
      <w:r w:rsidR="0014113C">
        <w:rPr>
          <w:rFonts w:ascii="Arial" w:hAnsi="Arial" w:cs="Arial"/>
          <w:sz w:val="24"/>
          <w:szCs w:val="24"/>
          <w:lang w:val="en-US"/>
        </w:rPr>
        <w:t xml:space="preserve"> interface </w:t>
      </w:r>
      <w:r>
        <w:rPr>
          <w:rFonts w:ascii="Arial" w:hAnsi="Arial" w:cs="Arial"/>
          <w:sz w:val="24"/>
          <w:szCs w:val="24"/>
          <w:lang w:val="en-US"/>
        </w:rPr>
        <w:t>would allow</w:t>
      </w:r>
      <w:r w:rsidRPr="00CC7E17">
        <w:rPr>
          <w:rFonts w:ascii="Arial" w:hAnsi="Arial" w:cs="Arial"/>
          <w:sz w:val="24"/>
          <w:szCs w:val="24"/>
          <w:lang w:val="en-US"/>
        </w:rPr>
        <w:t xml:space="preserve"> for quicker</w:t>
      </w:r>
      <w:r w:rsidR="0014113C">
        <w:rPr>
          <w:rFonts w:ascii="Arial" w:hAnsi="Arial" w:cs="Arial"/>
          <w:sz w:val="24"/>
          <w:szCs w:val="24"/>
          <w:lang w:val="en-US"/>
        </w:rPr>
        <w:t xml:space="preserve"> and more efficient</w:t>
      </w:r>
      <w:r w:rsidRPr="00CC7E17">
        <w:rPr>
          <w:rFonts w:ascii="Arial" w:hAnsi="Arial" w:cs="Arial"/>
          <w:sz w:val="24"/>
          <w:szCs w:val="24"/>
          <w:lang w:val="en-US"/>
        </w:rPr>
        <w:t xml:space="preserve"> extraction</w:t>
      </w:r>
      <w:r w:rsidR="0014113C">
        <w:rPr>
          <w:rFonts w:ascii="Arial" w:hAnsi="Arial" w:cs="Arial"/>
          <w:sz w:val="24"/>
          <w:szCs w:val="24"/>
          <w:lang w:val="en-US"/>
        </w:rPr>
        <w:t xml:space="preserve"> of baseline risk information from scientific journal articles. </w:t>
      </w:r>
      <w:r w:rsidR="0098577A" w:rsidRPr="00CC7E17">
        <w:rPr>
          <w:rFonts w:ascii="Arial" w:hAnsi="Arial" w:cs="Arial"/>
          <w:sz w:val="24"/>
          <w:szCs w:val="24"/>
          <w:lang w:val="en-US"/>
        </w:rPr>
        <w:t xml:space="preserve">In general, </w:t>
      </w:r>
      <w:r w:rsidR="001D5720">
        <w:rPr>
          <w:rFonts w:ascii="Arial" w:hAnsi="Arial" w:cs="Arial"/>
          <w:sz w:val="24"/>
          <w:szCs w:val="24"/>
          <w:lang w:val="en-US"/>
        </w:rPr>
        <w:t xml:space="preserve">the use of </w:t>
      </w:r>
      <w:r w:rsidR="002D3995">
        <w:rPr>
          <w:rFonts w:ascii="Arial" w:hAnsi="Arial" w:cs="Arial"/>
          <w:sz w:val="24"/>
          <w:szCs w:val="24"/>
          <w:lang w:val="en-US"/>
        </w:rPr>
        <w:t xml:space="preserve">the </w:t>
      </w:r>
      <w:r w:rsidR="00E37181">
        <w:rPr>
          <w:rFonts w:ascii="Arial" w:hAnsi="Arial" w:cs="Arial"/>
          <w:sz w:val="24"/>
          <w:szCs w:val="24"/>
          <w:lang w:val="en-US"/>
        </w:rPr>
        <w:t>eForm-based</w:t>
      </w:r>
      <w:r w:rsidR="0014113C">
        <w:rPr>
          <w:rFonts w:ascii="Arial" w:hAnsi="Arial" w:cs="Arial"/>
          <w:sz w:val="24"/>
          <w:szCs w:val="24"/>
          <w:lang w:val="en-US"/>
        </w:rPr>
        <w:t xml:space="preserve"> extractor interface has shown</w:t>
      </w:r>
      <w:r w:rsidR="00B72AC7">
        <w:rPr>
          <w:rFonts w:ascii="Arial" w:hAnsi="Arial" w:cs="Arial"/>
          <w:sz w:val="24"/>
          <w:szCs w:val="24"/>
          <w:lang w:val="en-US"/>
        </w:rPr>
        <w:t xml:space="preserve"> the potential </w:t>
      </w:r>
      <w:r w:rsidR="00E07E27">
        <w:rPr>
          <w:rFonts w:ascii="Arial" w:hAnsi="Arial" w:cs="Arial"/>
          <w:sz w:val="24"/>
          <w:szCs w:val="24"/>
          <w:lang w:val="en-US"/>
        </w:rPr>
        <w:t>for an</w:t>
      </w:r>
      <w:r w:rsidR="00B72AC7">
        <w:rPr>
          <w:rFonts w:ascii="Arial" w:hAnsi="Arial" w:cs="Arial"/>
          <w:sz w:val="24"/>
          <w:szCs w:val="24"/>
          <w:lang w:val="en-US"/>
        </w:rPr>
        <w:t xml:space="preserve"> improvement in the speed and efficiency of the extraction process</w:t>
      </w:r>
      <w:r w:rsidR="0014113C">
        <w:rPr>
          <w:rFonts w:ascii="Arial" w:hAnsi="Arial" w:cs="Arial"/>
          <w:sz w:val="24"/>
          <w:szCs w:val="24"/>
          <w:lang w:val="en-US"/>
        </w:rPr>
        <w:t xml:space="preserve"> when compared to the previously used paper-based system</w:t>
      </w:r>
      <w:r w:rsidR="0098577A" w:rsidRPr="00CC7E17">
        <w:rPr>
          <w:rFonts w:ascii="Arial" w:hAnsi="Arial" w:cs="Arial"/>
          <w:sz w:val="24"/>
          <w:szCs w:val="24"/>
          <w:lang w:val="en-US"/>
        </w:rPr>
        <w:t xml:space="preserve">. </w:t>
      </w:r>
      <w:r w:rsidR="00E07E27">
        <w:rPr>
          <w:rFonts w:ascii="Arial" w:hAnsi="Arial" w:cs="Arial"/>
          <w:sz w:val="24"/>
          <w:szCs w:val="24"/>
          <w:lang w:val="en-US"/>
        </w:rPr>
        <w:t xml:space="preserve">The improvements in the speed and the potential efficiency of data extraction are indicative of the effect that applying relatively simple technology to a manual process can yield. </w:t>
      </w:r>
    </w:p>
    <w:p w14:paraId="169DB808" w14:textId="77777777" w:rsidR="0098577A" w:rsidRDefault="0098577A" w:rsidP="0009624B">
      <w:pPr>
        <w:pStyle w:val="Default"/>
        <w:spacing w:after="240" w:line="360" w:lineRule="auto"/>
        <w:rPr>
          <w:rFonts w:ascii="Arial" w:eastAsia="Arial" w:hAnsi="Arial" w:cs="Arial"/>
          <w:sz w:val="24"/>
          <w:szCs w:val="24"/>
        </w:rPr>
      </w:pPr>
    </w:p>
    <w:p w14:paraId="4692288A" w14:textId="77777777" w:rsidR="00B72AC7" w:rsidRDefault="00B72AC7" w:rsidP="0009624B">
      <w:pPr>
        <w:pStyle w:val="Default"/>
        <w:spacing w:after="240" w:line="360" w:lineRule="auto"/>
        <w:rPr>
          <w:rFonts w:ascii="Arial" w:eastAsia="Arial" w:hAnsi="Arial" w:cs="Arial"/>
          <w:sz w:val="24"/>
          <w:szCs w:val="24"/>
        </w:rPr>
      </w:pPr>
    </w:p>
    <w:p w14:paraId="702A124B" w14:textId="77777777" w:rsidR="00B72AC7" w:rsidRDefault="00B72AC7" w:rsidP="0009624B">
      <w:pPr>
        <w:pStyle w:val="Default"/>
        <w:spacing w:after="240" w:line="360" w:lineRule="auto"/>
        <w:rPr>
          <w:rFonts w:ascii="Arial" w:eastAsia="Arial" w:hAnsi="Arial" w:cs="Arial"/>
          <w:sz w:val="24"/>
          <w:szCs w:val="24"/>
        </w:rPr>
      </w:pPr>
    </w:p>
    <w:p w14:paraId="190CB11F" w14:textId="77777777" w:rsidR="00B72AC7" w:rsidRDefault="00B72AC7" w:rsidP="0009624B">
      <w:pPr>
        <w:pStyle w:val="Default"/>
        <w:spacing w:after="240" w:line="360" w:lineRule="auto"/>
        <w:rPr>
          <w:rFonts w:ascii="Arial" w:eastAsia="Arial" w:hAnsi="Arial" w:cs="Arial"/>
          <w:sz w:val="24"/>
          <w:szCs w:val="24"/>
        </w:rPr>
      </w:pPr>
    </w:p>
    <w:p w14:paraId="16F3BF11" w14:textId="77777777" w:rsidR="00B72AC7" w:rsidRDefault="00B72AC7" w:rsidP="0009624B">
      <w:pPr>
        <w:pStyle w:val="Default"/>
        <w:spacing w:after="240" w:line="360" w:lineRule="auto"/>
        <w:rPr>
          <w:rFonts w:ascii="Arial" w:eastAsia="Arial" w:hAnsi="Arial" w:cs="Arial"/>
          <w:sz w:val="24"/>
          <w:szCs w:val="24"/>
        </w:rPr>
      </w:pPr>
    </w:p>
    <w:p w14:paraId="1FF5A99F" w14:textId="77777777" w:rsidR="00B72AC7" w:rsidRDefault="00B72AC7" w:rsidP="0009624B">
      <w:pPr>
        <w:pStyle w:val="Default"/>
        <w:spacing w:after="240" w:line="360" w:lineRule="auto"/>
        <w:rPr>
          <w:rFonts w:ascii="Arial" w:eastAsia="Arial" w:hAnsi="Arial" w:cs="Arial"/>
          <w:sz w:val="24"/>
          <w:szCs w:val="24"/>
        </w:rPr>
      </w:pPr>
    </w:p>
    <w:p w14:paraId="2E790650" w14:textId="77777777" w:rsidR="00B72AC7" w:rsidRPr="00CC7E17" w:rsidRDefault="00B72AC7" w:rsidP="0009624B">
      <w:pPr>
        <w:pStyle w:val="Default"/>
        <w:spacing w:after="240" w:line="360" w:lineRule="auto"/>
        <w:rPr>
          <w:rFonts w:ascii="Arial" w:eastAsia="Arial" w:hAnsi="Arial" w:cs="Arial"/>
          <w:sz w:val="24"/>
          <w:szCs w:val="24"/>
        </w:rPr>
      </w:pPr>
    </w:p>
    <w:p w14:paraId="3BA9CA12" w14:textId="77777777" w:rsidR="0098577A" w:rsidRDefault="0098577A" w:rsidP="0009624B">
      <w:pPr>
        <w:pStyle w:val="Default"/>
        <w:spacing w:after="240" w:line="360" w:lineRule="auto"/>
        <w:rPr>
          <w:rFonts w:ascii="Arial" w:eastAsia="Arial" w:hAnsi="Arial" w:cs="Arial"/>
          <w:sz w:val="24"/>
          <w:szCs w:val="24"/>
        </w:rPr>
      </w:pPr>
    </w:p>
    <w:p w14:paraId="5434599C" w14:textId="77777777" w:rsidR="0014113C" w:rsidRPr="00CC7E17" w:rsidRDefault="0014113C" w:rsidP="0009624B">
      <w:pPr>
        <w:pStyle w:val="Default"/>
        <w:spacing w:after="240" w:line="360" w:lineRule="auto"/>
        <w:rPr>
          <w:rFonts w:ascii="Arial" w:eastAsia="Arial" w:hAnsi="Arial" w:cs="Arial"/>
          <w:sz w:val="24"/>
          <w:szCs w:val="24"/>
        </w:rPr>
      </w:pPr>
    </w:p>
    <w:p w14:paraId="3519C096" w14:textId="77777777" w:rsidR="006407F1" w:rsidRPr="00CC7E17" w:rsidRDefault="006407F1" w:rsidP="0009624B">
      <w:pPr>
        <w:spacing w:line="360" w:lineRule="auto"/>
        <w:rPr>
          <w:rFonts w:ascii="Arial" w:hAnsi="Arial" w:cs="Arial"/>
        </w:rPr>
      </w:pPr>
    </w:p>
    <w:p w14:paraId="024FDEF0" w14:textId="6D9EC507" w:rsidR="006C5E8D" w:rsidRPr="00ED7C8D" w:rsidRDefault="006C5E8D" w:rsidP="00ED7C8D">
      <w:pPr>
        <w:pStyle w:val="Heading1"/>
      </w:pPr>
      <w:bookmarkStart w:id="47" w:name="_Toc286437131"/>
      <w:r w:rsidRPr="00ED7C8D">
        <w:t>Work</w:t>
      </w:r>
      <w:r w:rsidR="002725C9" w:rsidRPr="00ED7C8D">
        <w:t>s</w:t>
      </w:r>
      <w:r w:rsidRPr="00ED7C8D">
        <w:t xml:space="preserve"> Cited</w:t>
      </w:r>
      <w:bookmarkEnd w:id="47"/>
      <w:r w:rsidRPr="00ED7C8D">
        <w:t xml:space="preserve"> </w:t>
      </w:r>
    </w:p>
    <w:p w14:paraId="5EE47925" w14:textId="519B496B" w:rsidR="006C5E8D" w:rsidRPr="00CC7E17" w:rsidRDefault="006C5E8D" w:rsidP="0009624B">
      <w:pPr>
        <w:pStyle w:val="Heading3"/>
        <w:spacing w:line="360" w:lineRule="auto"/>
        <w:rPr>
          <w:rFonts w:ascii="Arial" w:hAnsi="Arial" w:cs="Arial"/>
        </w:rPr>
      </w:pPr>
      <w:bookmarkStart w:id="48" w:name="_Toc286437132"/>
      <w:r w:rsidRPr="00CC7E17">
        <w:rPr>
          <w:rFonts w:ascii="Arial" w:hAnsi="Arial" w:cs="Arial"/>
        </w:rPr>
        <w:t>Cited Within the Text</w:t>
      </w:r>
      <w:bookmarkEnd w:id="48"/>
    </w:p>
    <w:p w14:paraId="1C11CD6A" w14:textId="77777777" w:rsidR="008D1229" w:rsidRPr="00CC7E17" w:rsidRDefault="008D1229" w:rsidP="0009624B">
      <w:pPr>
        <w:spacing w:line="360" w:lineRule="auto"/>
        <w:rPr>
          <w:rFonts w:ascii="Arial" w:hAnsi="Arial" w:cs="Arial"/>
        </w:rPr>
      </w:pPr>
    </w:p>
    <w:p w14:paraId="720223F6" w14:textId="0FD1CEB7" w:rsidR="008D1229" w:rsidRPr="00CC7E17" w:rsidRDefault="006422A7" w:rsidP="0009624B">
      <w:pPr>
        <w:widowControl w:val="0"/>
        <w:autoSpaceDE w:val="0"/>
        <w:autoSpaceDN w:val="0"/>
        <w:adjustRightInd w:val="0"/>
        <w:spacing w:after="240" w:line="360" w:lineRule="auto"/>
        <w:ind w:left="600" w:hanging="600"/>
        <w:rPr>
          <w:rFonts w:ascii="Arial" w:hAnsi="Arial" w:cs="Arial"/>
        </w:rPr>
      </w:pPr>
      <w:r w:rsidRPr="00CC7E17">
        <w:rPr>
          <w:rFonts w:ascii="Arial" w:eastAsiaTheme="minorEastAsia" w:hAnsi="Arial" w:cs="Arial"/>
          <w:bdr w:val="none" w:sz="0" w:space="0" w:color="auto"/>
        </w:rPr>
        <w:t>Allones, J. L., Martinez, D., &amp; Taboada, M. (2014). Automated mapping of clinical terms into SNOMED-CT. an application to codify procedures in pathology.</w:t>
      </w:r>
      <w:r w:rsidRPr="00CC7E17">
        <w:rPr>
          <w:rFonts w:ascii="Arial" w:eastAsiaTheme="minorEastAsia" w:hAnsi="Arial" w:cs="Arial"/>
          <w:i/>
          <w:iCs/>
          <w:bdr w:val="none" w:sz="0" w:space="0" w:color="auto"/>
        </w:rPr>
        <w:t xml:space="preserve"> Journal of Medical Systems, 38</w:t>
      </w:r>
      <w:r w:rsidRPr="00CC7E17">
        <w:rPr>
          <w:rFonts w:ascii="Arial" w:eastAsiaTheme="minorEastAsia" w:hAnsi="Arial" w:cs="Arial"/>
          <w:bdr w:val="none" w:sz="0" w:space="0" w:color="auto"/>
        </w:rPr>
        <w:t>(10), 134-014-0134-x. Epub 2014 Sep 2. doi:10.1007/s10916-014-0134-x; 10.1007/s10916-014-0134-x</w:t>
      </w:r>
    </w:p>
    <w:p w14:paraId="572A8702" w14:textId="77777777"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Arends, L. R., Hoes, A. W., Lubsen, J., Grobbee, D. E., &amp; Stijnen, T. (2000). Baseline risk as predictor of treatment benefit: Three clinical meta-re-analyses.</w:t>
      </w:r>
      <w:r w:rsidRPr="00CC7E17">
        <w:rPr>
          <w:rFonts w:ascii="Arial" w:hAnsi="Arial" w:cs="Arial"/>
          <w:i/>
          <w:iCs/>
        </w:rPr>
        <w:t xml:space="preserve"> Statistics in Medicine, 19</w:t>
      </w:r>
      <w:r w:rsidRPr="00CC7E17">
        <w:rPr>
          <w:rFonts w:ascii="Arial" w:hAnsi="Arial" w:cs="Arial"/>
        </w:rPr>
        <w:t>(24), 3497-3518.</w:t>
      </w:r>
    </w:p>
    <w:p w14:paraId="158A2E46" w14:textId="77777777"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Bastian, H., Glasziou, P., &amp; Chalmers, I. (2010). Seventy-five trials and eleven systematic reviews a day: How will we ever keep up?</w:t>
      </w:r>
      <w:r w:rsidRPr="00CC7E17">
        <w:rPr>
          <w:rFonts w:ascii="Arial" w:hAnsi="Arial" w:cs="Arial"/>
          <w:i/>
          <w:iCs/>
        </w:rPr>
        <w:t xml:space="preserve"> PLoS Medicine, 7</w:t>
      </w:r>
      <w:r w:rsidRPr="00CC7E17">
        <w:rPr>
          <w:rFonts w:ascii="Arial" w:hAnsi="Arial" w:cs="Arial"/>
        </w:rPr>
        <w:t>(9), e1000326. doi:10.1371/journal.pmed.1000326; 10.1371/journal.pmed.1000326</w:t>
      </w:r>
    </w:p>
    <w:p w14:paraId="711DDF09" w14:textId="77777777" w:rsidR="008D1229" w:rsidRPr="00CC7E17" w:rsidRDefault="008D1229" w:rsidP="0009624B">
      <w:pPr>
        <w:widowControl w:val="0"/>
        <w:tabs>
          <w:tab w:val="left" w:pos="220"/>
          <w:tab w:val="left" w:pos="567"/>
        </w:tabs>
        <w:autoSpaceDE w:val="0"/>
        <w:autoSpaceDN w:val="0"/>
        <w:adjustRightInd w:val="0"/>
        <w:spacing w:after="186" w:line="360" w:lineRule="auto"/>
        <w:ind w:left="709" w:hanging="709"/>
        <w:rPr>
          <w:rFonts w:ascii="Arial" w:hAnsi="Arial" w:cs="Arial"/>
        </w:rPr>
      </w:pPr>
      <w:r w:rsidRPr="00CC7E17">
        <w:rPr>
          <w:rFonts w:ascii="Arial" w:hAnsi="Arial" w:cs="Arial"/>
        </w:rPr>
        <w:t xml:space="preserve">Cochrane AL (1979) 1931–1971: a critical review, with particular reference to the medical profession. In: Medicines for the Year 2000. London: Office of Health Economics. pp 1–11. </w:t>
      </w:r>
    </w:p>
    <w:p w14:paraId="22025189" w14:textId="77777777" w:rsidR="008D1229" w:rsidRPr="00CC7E17" w:rsidRDefault="008D1229" w:rsidP="0009624B">
      <w:pPr>
        <w:widowControl w:val="0"/>
        <w:autoSpaceDE w:val="0"/>
        <w:autoSpaceDN w:val="0"/>
        <w:adjustRightInd w:val="0"/>
        <w:spacing w:line="360" w:lineRule="auto"/>
        <w:ind w:left="709" w:hanging="709"/>
        <w:rPr>
          <w:rFonts w:ascii="Arial" w:hAnsi="Arial" w:cs="Arial"/>
          <w:color w:val="1A1A1A"/>
        </w:rPr>
      </w:pPr>
      <w:r w:rsidRPr="00CC7E17">
        <w:rPr>
          <w:rFonts w:ascii="Arial" w:hAnsi="Arial" w:cs="Arial"/>
          <w:color w:val="1A1A1A"/>
        </w:rPr>
        <w:t xml:space="preserve">Fraser AG, Dunstan FD. (2010). On the impossibility of being an expert. </w:t>
      </w:r>
      <w:r w:rsidRPr="00CC7E17">
        <w:rPr>
          <w:rFonts w:ascii="Arial" w:hAnsi="Arial" w:cs="Arial"/>
          <w:i/>
          <w:iCs/>
          <w:color w:val="1A1A1A"/>
        </w:rPr>
        <w:t>BMJ</w:t>
      </w:r>
      <w:r w:rsidRPr="00CC7E17">
        <w:rPr>
          <w:rFonts w:ascii="Arial" w:hAnsi="Arial" w:cs="Arial"/>
          <w:color w:val="1A1A1A"/>
        </w:rPr>
        <w:t>, 341:c6815.</w:t>
      </w:r>
    </w:p>
    <w:p w14:paraId="4DFEB296" w14:textId="77777777" w:rsidR="008D1229" w:rsidRPr="00CC7E17" w:rsidRDefault="008D1229" w:rsidP="0009624B">
      <w:pPr>
        <w:widowControl w:val="0"/>
        <w:autoSpaceDE w:val="0"/>
        <w:autoSpaceDN w:val="0"/>
        <w:adjustRightInd w:val="0"/>
        <w:spacing w:line="360" w:lineRule="auto"/>
        <w:rPr>
          <w:rFonts w:ascii="Arial" w:hAnsi="Arial" w:cs="Arial"/>
          <w:color w:val="1A1A1A"/>
        </w:rPr>
      </w:pPr>
    </w:p>
    <w:p w14:paraId="3F15F8B6" w14:textId="77777777"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Gigerenzer, G., &amp; Edwards, A. (2003). Simple tools for understanding risks: From innumeracy to insight.</w:t>
      </w:r>
      <w:r w:rsidRPr="00CC7E17">
        <w:rPr>
          <w:rFonts w:ascii="Arial" w:hAnsi="Arial" w:cs="Arial"/>
          <w:i/>
          <w:iCs/>
        </w:rPr>
        <w:t xml:space="preserve"> BMJ (Clinical Research Ed.), 327</w:t>
      </w:r>
      <w:r w:rsidRPr="00CC7E17">
        <w:rPr>
          <w:rFonts w:ascii="Arial" w:hAnsi="Arial" w:cs="Arial"/>
        </w:rPr>
        <w:t>(7417), 741-744. doi:10.1136/bmj.327.7417.741</w:t>
      </w:r>
    </w:p>
    <w:p w14:paraId="48F33E40" w14:textId="77777777" w:rsidR="008D1229" w:rsidRPr="00CC7E17" w:rsidRDefault="008D1229" w:rsidP="0009624B">
      <w:pPr>
        <w:widowControl w:val="0"/>
        <w:autoSpaceDE w:val="0"/>
        <w:autoSpaceDN w:val="0"/>
        <w:adjustRightInd w:val="0"/>
        <w:spacing w:line="360" w:lineRule="auto"/>
        <w:ind w:left="709" w:hanging="709"/>
        <w:rPr>
          <w:rFonts w:ascii="Arial" w:hAnsi="Arial" w:cs="Arial"/>
          <w:color w:val="1A1A1A"/>
        </w:rPr>
      </w:pPr>
      <w:r w:rsidRPr="00CC7E17">
        <w:rPr>
          <w:rFonts w:ascii="Arial" w:hAnsi="Arial" w:cs="Arial"/>
          <w:color w:val="1A1A1A"/>
        </w:rPr>
        <w:t xml:space="preserve">Haynes RB. (1993). Where’s the meat in clinical journals? </w:t>
      </w:r>
      <w:r w:rsidRPr="00CC7E17">
        <w:rPr>
          <w:rFonts w:ascii="Arial" w:hAnsi="Arial" w:cs="Arial"/>
          <w:i/>
          <w:iCs/>
          <w:color w:val="1A1A1A"/>
        </w:rPr>
        <w:t xml:space="preserve">ACP J Club, </w:t>
      </w:r>
      <w:r w:rsidRPr="00CC7E17">
        <w:rPr>
          <w:rFonts w:ascii="Arial" w:hAnsi="Arial" w:cs="Arial"/>
          <w:color w:val="1A1A1A"/>
        </w:rPr>
        <w:t>119, A23-4.</w:t>
      </w:r>
    </w:p>
    <w:p w14:paraId="36A7F8D0" w14:textId="77777777" w:rsidR="008D1229" w:rsidRDefault="008D1229" w:rsidP="0009624B">
      <w:pPr>
        <w:widowControl w:val="0"/>
        <w:autoSpaceDE w:val="0"/>
        <w:autoSpaceDN w:val="0"/>
        <w:adjustRightInd w:val="0"/>
        <w:spacing w:line="360" w:lineRule="auto"/>
        <w:ind w:left="709" w:hanging="709"/>
        <w:rPr>
          <w:rFonts w:ascii="Arial" w:hAnsi="Arial" w:cs="Arial"/>
          <w:color w:val="1A1A1A"/>
        </w:rPr>
      </w:pPr>
    </w:p>
    <w:p w14:paraId="1E173E2F" w14:textId="77777777" w:rsidR="00CC7E17" w:rsidRPr="00CC7E17" w:rsidRDefault="00CC7E17" w:rsidP="0009624B">
      <w:pPr>
        <w:widowControl w:val="0"/>
        <w:autoSpaceDE w:val="0"/>
        <w:autoSpaceDN w:val="0"/>
        <w:adjustRightInd w:val="0"/>
        <w:spacing w:line="360" w:lineRule="auto"/>
        <w:ind w:left="709" w:hanging="709"/>
        <w:rPr>
          <w:rFonts w:ascii="Arial" w:hAnsi="Arial" w:cs="Arial"/>
          <w:color w:val="1A1A1A"/>
        </w:rPr>
      </w:pPr>
    </w:p>
    <w:p w14:paraId="65011C0D" w14:textId="77777777"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Hess, D. R. (2004). What is evidence-based medicine and why should I care?</w:t>
      </w:r>
      <w:r w:rsidRPr="00CC7E17">
        <w:rPr>
          <w:rFonts w:ascii="Arial" w:hAnsi="Arial" w:cs="Arial"/>
          <w:i/>
          <w:iCs/>
        </w:rPr>
        <w:t xml:space="preserve"> Respiratory Care, 49</w:t>
      </w:r>
      <w:r w:rsidRPr="00CC7E17">
        <w:rPr>
          <w:rFonts w:ascii="Arial" w:hAnsi="Arial" w:cs="Arial"/>
        </w:rPr>
        <w:t>(7), 730-741.</w:t>
      </w:r>
    </w:p>
    <w:p w14:paraId="769E0C6A" w14:textId="27C8C700"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Holland, J., Haynes, R. B., &amp; McMaster PLUS Team Health Information Research Unit. (2005). McMaster premium literature service (PLUS): An evidence-based medicine information service delivered on the web.</w:t>
      </w:r>
      <w:r w:rsidRPr="00CC7E17">
        <w:rPr>
          <w:rFonts w:ascii="Arial" w:hAnsi="Arial" w:cs="Arial"/>
          <w:i/>
          <w:iCs/>
        </w:rPr>
        <w:t xml:space="preserve"> AMIA</w:t>
      </w:r>
      <w:r w:rsidR="00C9632D">
        <w:rPr>
          <w:rFonts w:ascii="Arial" w:hAnsi="Arial" w:cs="Arial"/>
          <w:i/>
          <w:iCs/>
        </w:rPr>
        <w:t>.</w:t>
      </w:r>
      <w:r w:rsidRPr="00CC7E17">
        <w:rPr>
          <w:rFonts w:ascii="Arial" w:hAnsi="Arial" w:cs="Arial"/>
          <w:i/>
          <w:iCs/>
        </w:rPr>
        <w:t xml:space="preserve">..Annual Symposium Proceedings / AMIA Symposium.AMIA Symposium, </w:t>
      </w:r>
      <w:r w:rsidRPr="00CC7E17">
        <w:rPr>
          <w:rFonts w:ascii="Arial" w:hAnsi="Arial" w:cs="Arial"/>
        </w:rPr>
        <w:t>, 340-344.</w:t>
      </w:r>
    </w:p>
    <w:p w14:paraId="59D6E3BC" w14:textId="23EB7CB0" w:rsidR="001A3D2E" w:rsidRPr="00CC7E17" w:rsidRDefault="001A3D2E" w:rsidP="0009624B">
      <w:pPr>
        <w:widowControl w:val="0"/>
        <w:autoSpaceDE w:val="0"/>
        <w:autoSpaceDN w:val="0"/>
        <w:adjustRightInd w:val="0"/>
        <w:spacing w:after="240" w:line="360" w:lineRule="auto"/>
        <w:ind w:left="600" w:hanging="600"/>
        <w:rPr>
          <w:rFonts w:ascii="Arial" w:hAnsi="Arial" w:cs="Arial"/>
        </w:rPr>
      </w:pPr>
      <w:r w:rsidRPr="00CC7E17">
        <w:rPr>
          <w:rFonts w:ascii="Arial" w:eastAsiaTheme="minorEastAsia" w:hAnsi="Arial" w:cs="Arial"/>
          <w:bdr w:val="none" w:sz="0" w:space="0" w:color="auto"/>
        </w:rPr>
        <w:t>Johannessen, L. K., &amp; Gammon, D. (2010). Pilot users in agile development processes: Motivational factors.</w:t>
      </w:r>
      <w:r w:rsidRPr="00CC7E17">
        <w:rPr>
          <w:rFonts w:ascii="Arial" w:eastAsiaTheme="minorEastAsia" w:hAnsi="Arial" w:cs="Arial"/>
          <w:i/>
          <w:iCs/>
          <w:bdr w:val="none" w:sz="0" w:space="0" w:color="auto"/>
        </w:rPr>
        <w:t xml:space="preserve"> Studies in Health Technology and Informatics, 157</w:t>
      </w:r>
      <w:r w:rsidRPr="00CC7E17">
        <w:rPr>
          <w:rFonts w:ascii="Arial" w:eastAsiaTheme="minorEastAsia" w:hAnsi="Arial" w:cs="Arial"/>
          <w:bdr w:val="none" w:sz="0" w:space="0" w:color="auto"/>
        </w:rPr>
        <w:t>, 47-52.</w:t>
      </w:r>
    </w:p>
    <w:p w14:paraId="284F3BB7" w14:textId="77777777"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Justice, A. C., Covinsky, K. E., &amp; Berlin, J. A. (1999). Assessing the generalizability of prognostic information.</w:t>
      </w:r>
      <w:r w:rsidRPr="00CC7E17">
        <w:rPr>
          <w:rFonts w:ascii="Arial" w:hAnsi="Arial" w:cs="Arial"/>
          <w:i/>
          <w:iCs/>
        </w:rPr>
        <w:t xml:space="preserve"> Annals of Internal Medicine, 130</w:t>
      </w:r>
      <w:r w:rsidRPr="00CC7E17">
        <w:rPr>
          <w:rFonts w:ascii="Arial" w:hAnsi="Arial" w:cs="Arial"/>
        </w:rPr>
        <w:t>(6), 515-524.</w:t>
      </w:r>
    </w:p>
    <w:p w14:paraId="02B2A30B" w14:textId="77777777" w:rsidR="008D1229" w:rsidRPr="00CC7E17" w:rsidRDefault="008D1229" w:rsidP="0009624B">
      <w:pPr>
        <w:widowControl w:val="0"/>
        <w:autoSpaceDE w:val="0"/>
        <w:autoSpaceDN w:val="0"/>
        <w:adjustRightInd w:val="0"/>
        <w:spacing w:after="240" w:line="360" w:lineRule="auto"/>
        <w:ind w:left="567" w:hanging="567"/>
        <w:rPr>
          <w:rFonts w:ascii="Arial" w:hAnsi="Arial" w:cs="Arial"/>
          <w:i/>
        </w:rPr>
      </w:pPr>
      <w:r w:rsidRPr="00CC7E17">
        <w:rPr>
          <w:rFonts w:ascii="Arial" w:hAnsi="Arial" w:cs="Arial"/>
        </w:rPr>
        <w:t xml:space="preserve">Koch GG (2006) No improvement – still less than half of the Cochrane reviews are up to date. </w:t>
      </w:r>
      <w:r w:rsidRPr="00CC7E17">
        <w:rPr>
          <w:rFonts w:ascii="Arial" w:hAnsi="Arial" w:cs="Arial"/>
          <w:i/>
        </w:rPr>
        <w:t>XIV Cochrane Colloquium, Dublin, Ireland.</w:t>
      </w:r>
    </w:p>
    <w:p w14:paraId="1A257C05" w14:textId="7EF98278"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Laupacis, A., Wells, G., Richardson, W. S., &amp; Tugwell, P. (1994). Users' guides to the medical literature. V. how to use an article about prognosis. evidence-based medicine working group.</w:t>
      </w:r>
      <w:r w:rsidRPr="00CC7E17">
        <w:rPr>
          <w:rFonts w:ascii="Arial" w:hAnsi="Arial" w:cs="Arial"/>
          <w:i/>
          <w:iCs/>
        </w:rPr>
        <w:t xml:space="preserve"> JAMA, 272</w:t>
      </w:r>
      <w:r w:rsidRPr="00CC7E17">
        <w:rPr>
          <w:rFonts w:ascii="Arial" w:hAnsi="Arial" w:cs="Arial"/>
        </w:rPr>
        <w:t>(3), 234-237.</w:t>
      </w:r>
    </w:p>
    <w:p w14:paraId="2B1386F0" w14:textId="77777777" w:rsidR="008D1229" w:rsidRPr="00CC7E17" w:rsidRDefault="008D1229" w:rsidP="0009624B">
      <w:pPr>
        <w:spacing w:line="360" w:lineRule="auto"/>
        <w:ind w:left="567" w:hanging="567"/>
        <w:rPr>
          <w:rFonts w:ascii="Arial" w:hAnsi="Arial" w:cs="Arial"/>
        </w:rPr>
      </w:pPr>
      <w:r w:rsidRPr="00CC7E17">
        <w:rPr>
          <w:rFonts w:ascii="Arial" w:hAnsi="Arial" w:cs="Arial"/>
        </w:rPr>
        <w:t xml:space="preserve">Lester, M., Warner, J., Blizard, B. (1998). Appraisal of an article on prognosis. </w:t>
      </w:r>
      <w:r w:rsidRPr="00CC7E17">
        <w:rPr>
          <w:rFonts w:ascii="Arial" w:hAnsi="Arial" w:cs="Arial"/>
          <w:i/>
        </w:rPr>
        <w:t xml:space="preserve">Psychiatric Bulletin. </w:t>
      </w:r>
      <w:r w:rsidRPr="00CC7E17">
        <w:rPr>
          <w:rFonts w:ascii="Arial" w:hAnsi="Arial" w:cs="Arial"/>
        </w:rPr>
        <w:t xml:space="preserve">22, 442-445. </w:t>
      </w:r>
    </w:p>
    <w:p w14:paraId="1F876CFD" w14:textId="77777777" w:rsidR="005A6210" w:rsidRPr="00CC7E17" w:rsidRDefault="005A6210" w:rsidP="0009624B">
      <w:pPr>
        <w:spacing w:line="360" w:lineRule="auto"/>
        <w:ind w:left="567" w:hanging="567"/>
        <w:rPr>
          <w:rFonts w:ascii="Arial" w:eastAsiaTheme="minorEastAsia" w:hAnsi="Arial" w:cs="Arial"/>
          <w:bdr w:val="none" w:sz="0" w:space="0" w:color="auto"/>
        </w:rPr>
      </w:pPr>
    </w:p>
    <w:p w14:paraId="366CFA8B" w14:textId="561FA889" w:rsidR="00BA54DF" w:rsidRPr="00CC7E17" w:rsidRDefault="00BA54DF" w:rsidP="0009624B">
      <w:pPr>
        <w:spacing w:line="360" w:lineRule="auto"/>
        <w:ind w:left="567" w:hanging="567"/>
        <w:rPr>
          <w:rFonts w:ascii="Arial" w:eastAsiaTheme="minorEastAsia" w:hAnsi="Arial" w:cs="Arial"/>
          <w:bdr w:val="none" w:sz="0" w:space="0" w:color="auto"/>
        </w:rPr>
      </w:pPr>
      <w:r w:rsidRPr="00CC7E17">
        <w:rPr>
          <w:rFonts w:ascii="Arial" w:eastAsiaTheme="minorEastAsia" w:hAnsi="Arial" w:cs="Arial"/>
          <w:bdr w:val="none" w:sz="0" w:space="0" w:color="auto"/>
        </w:rPr>
        <w:t xml:space="preserve">McQuay, H.J., Moore, R.A. (1997). Using Numerical Results from Systematic Reviews in Clinical Practice. </w:t>
      </w:r>
      <w:r w:rsidRPr="00CC7E17">
        <w:rPr>
          <w:rFonts w:ascii="Arial" w:eastAsiaTheme="minorEastAsia" w:hAnsi="Arial" w:cs="Arial"/>
          <w:i/>
          <w:bdr w:val="none" w:sz="0" w:space="0" w:color="auto"/>
        </w:rPr>
        <w:t xml:space="preserve">Annals of Internal Medicine. </w:t>
      </w:r>
      <w:r w:rsidRPr="00CC7E17">
        <w:rPr>
          <w:rFonts w:ascii="Arial" w:eastAsiaTheme="minorEastAsia" w:hAnsi="Arial" w:cs="Arial"/>
          <w:bdr w:val="none" w:sz="0" w:space="0" w:color="auto"/>
        </w:rPr>
        <w:t xml:space="preserve">126, 712-720. </w:t>
      </w:r>
    </w:p>
    <w:p w14:paraId="6780E009" w14:textId="77777777" w:rsidR="00BA54DF" w:rsidRPr="00CC7E17" w:rsidRDefault="00BA54DF" w:rsidP="0009624B">
      <w:pPr>
        <w:spacing w:line="360" w:lineRule="auto"/>
        <w:ind w:left="567" w:hanging="567"/>
        <w:rPr>
          <w:rFonts w:ascii="Arial" w:eastAsiaTheme="minorEastAsia" w:hAnsi="Arial" w:cs="Arial"/>
          <w:bdr w:val="none" w:sz="0" w:space="0" w:color="auto"/>
        </w:rPr>
      </w:pPr>
    </w:p>
    <w:p w14:paraId="467C6DEA" w14:textId="5C8707EA" w:rsidR="005A6210" w:rsidRPr="00CC7E17" w:rsidRDefault="005A6210" w:rsidP="0009624B">
      <w:pPr>
        <w:spacing w:line="360" w:lineRule="auto"/>
        <w:ind w:left="567" w:hanging="567"/>
        <w:rPr>
          <w:rFonts w:ascii="Arial" w:hAnsi="Arial" w:cs="Arial"/>
        </w:rPr>
      </w:pPr>
      <w:r w:rsidRPr="00CC7E17">
        <w:rPr>
          <w:rFonts w:ascii="Arial" w:eastAsiaTheme="minorEastAsia" w:hAnsi="Arial" w:cs="Arial"/>
          <w:bdr w:val="none" w:sz="0" w:space="0" w:color="auto"/>
        </w:rPr>
        <w:t>"</w:t>
      </w:r>
      <w:r w:rsidR="004A2778" w:rsidRPr="00CC7E17">
        <w:rPr>
          <w:rFonts w:ascii="Arial" w:eastAsiaTheme="minorEastAsia" w:hAnsi="Arial" w:cs="Arial"/>
          <w:bdr w:val="none" w:sz="0" w:space="0" w:color="auto"/>
        </w:rPr>
        <w:t>Fact Sheet</w:t>
      </w:r>
      <w:r w:rsidR="00A50237">
        <w:rPr>
          <w:rFonts w:ascii="Arial" w:eastAsiaTheme="minorEastAsia" w:hAnsi="Arial" w:cs="Arial"/>
          <w:bdr w:val="none" w:sz="0" w:space="0" w:color="auto"/>
        </w:rPr>
        <w:t xml:space="preserve"> </w:t>
      </w:r>
      <w:r w:rsidR="004A2778" w:rsidRPr="00CC7E17">
        <w:rPr>
          <w:rFonts w:ascii="Arial" w:eastAsiaTheme="minorEastAsia" w:hAnsi="Arial" w:cs="Arial"/>
          <w:bdr w:val="none" w:sz="0" w:space="0" w:color="auto"/>
        </w:rPr>
        <w:t>- The National Library of Medicine</w:t>
      </w:r>
      <w:r w:rsidRPr="00CC7E17">
        <w:rPr>
          <w:rFonts w:ascii="Arial" w:eastAsiaTheme="minorEastAsia" w:hAnsi="Arial" w:cs="Arial"/>
          <w:bdr w:val="none" w:sz="0" w:space="0" w:color="auto"/>
        </w:rPr>
        <w:t xml:space="preserve">." </w:t>
      </w:r>
      <w:r w:rsidRPr="00CC7E17">
        <w:rPr>
          <w:rFonts w:ascii="Arial" w:eastAsiaTheme="minorEastAsia" w:hAnsi="Arial" w:cs="Arial"/>
          <w:i/>
          <w:iCs/>
          <w:bdr w:val="none" w:sz="0" w:space="0" w:color="auto"/>
        </w:rPr>
        <w:t>U.S National Library of Medicine</w:t>
      </w:r>
      <w:r w:rsidRPr="00CC7E17">
        <w:rPr>
          <w:rFonts w:ascii="Arial" w:eastAsiaTheme="minorEastAsia" w:hAnsi="Arial" w:cs="Arial"/>
          <w:bdr w:val="none" w:sz="0" w:space="0" w:color="auto"/>
        </w:rPr>
        <w:t>. U.S. National Library of Medicine, 09 Oct. 2014. Web. 15 Oct. 2014.</w:t>
      </w:r>
      <w:r w:rsidR="004A2778" w:rsidRPr="00CC7E17">
        <w:rPr>
          <w:rFonts w:ascii="Arial" w:eastAsiaTheme="minorEastAsia" w:hAnsi="Arial" w:cs="Arial"/>
          <w:bdr w:val="none" w:sz="0" w:space="0" w:color="auto"/>
        </w:rPr>
        <w:t xml:space="preserve"> http://www.nlm.nih.gov/pubs/factsheets/nlm.html</w:t>
      </w:r>
    </w:p>
    <w:p w14:paraId="272C7BBB" w14:textId="77777777" w:rsidR="008D1229" w:rsidRPr="00CC7E17" w:rsidRDefault="008D1229" w:rsidP="0009624B">
      <w:pPr>
        <w:spacing w:line="360" w:lineRule="auto"/>
        <w:rPr>
          <w:rFonts w:ascii="Arial" w:hAnsi="Arial" w:cs="Arial"/>
        </w:rPr>
      </w:pPr>
    </w:p>
    <w:p w14:paraId="709386E7" w14:textId="77777777"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Paling, J. (2003). Strategies to help patients understand risks.</w:t>
      </w:r>
      <w:r w:rsidRPr="00CC7E17">
        <w:rPr>
          <w:rFonts w:ascii="Arial" w:hAnsi="Arial" w:cs="Arial"/>
          <w:i/>
          <w:iCs/>
        </w:rPr>
        <w:t xml:space="preserve"> BMJ (Clinical Research Ed.), 327</w:t>
      </w:r>
      <w:r w:rsidRPr="00CC7E17">
        <w:rPr>
          <w:rFonts w:ascii="Arial" w:hAnsi="Arial" w:cs="Arial"/>
        </w:rPr>
        <w:t>(7417), 745-748. doi:10.1136/bmj.327.7417.745</w:t>
      </w:r>
    </w:p>
    <w:p w14:paraId="66AB412E" w14:textId="77777777"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Siemensma, G. (2014). Managing information overload.</w:t>
      </w:r>
      <w:r w:rsidRPr="00CC7E17">
        <w:rPr>
          <w:rFonts w:ascii="Arial" w:hAnsi="Arial" w:cs="Arial"/>
          <w:i/>
          <w:iCs/>
        </w:rPr>
        <w:t xml:space="preserve"> The Medical Journal of Australia, 201</w:t>
      </w:r>
      <w:r w:rsidRPr="00CC7E17">
        <w:rPr>
          <w:rFonts w:ascii="Arial" w:hAnsi="Arial" w:cs="Arial"/>
        </w:rPr>
        <w:t>(4), 200-202.</w:t>
      </w:r>
    </w:p>
    <w:p w14:paraId="52F065E4" w14:textId="77777777" w:rsidR="008D1229" w:rsidRPr="00CC7E17" w:rsidRDefault="008D1229" w:rsidP="0009624B">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Smith, R. (2010). Strategies for coping with information overload.</w:t>
      </w:r>
      <w:r w:rsidRPr="00CC7E17">
        <w:rPr>
          <w:rFonts w:ascii="Arial" w:hAnsi="Arial" w:cs="Arial"/>
          <w:i/>
          <w:iCs/>
        </w:rPr>
        <w:t xml:space="preserve"> BMJ (Clinical Research Ed.), 341</w:t>
      </w:r>
      <w:r w:rsidRPr="00CC7E17">
        <w:rPr>
          <w:rFonts w:ascii="Arial" w:hAnsi="Arial" w:cs="Arial"/>
        </w:rPr>
        <w:t>, c7126. doi:10.1136/bmj.c7126</w:t>
      </w:r>
    </w:p>
    <w:p w14:paraId="14BF696A" w14:textId="4BC93220" w:rsidR="008D1229" w:rsidRPr="009E57CF" w:rsidRDefault="008D1229" w:rsidP="009E57CF">
      <w:pPr>
        <w:widowControl w:val="0"/>
        <w:autoSpaceDE w:val="0"/>
        <w:autoSpaceDN w:val="0"/>
        <w:adjustRightInd w:val="0"/>
        <w:spacing w:after="240" w:line="360" w:lineRule="auto"/>
        <w:ind w:left="600" w:hanging="600"/>
        <w:rPr>
          <w:rFonts w:ascii="Arial" w:hAnsi="Arial" w:cs="Arial"/>
        </w:rPr>
      </w:pPr>
      <w:r w:rsidRPr="00CC7E17">
        <w:rPr>
          <w:rFonts w:ascii="Arial" w:hAnsi="Arial" w:cs="Arial"/>
        </w:rPr>
        <w:t xml:space="preserve">Smith, R. (1996). What clinical information do doctors need? </w:t>
      </w:r>
      <w:r w:rsidRPr="00CC7E17">
        <w:rPr>
          <w:rFonts w:ascii="Arial" w:hAnsi="Arial" w:cs="Arial"/>
          <w:i/>
        </w:rPr>
        <w:t xml:space="preserve">BMJ, </w:t>
      </w:r>
      <w:r w:rsidRPr="00CC7E17">
        <w:rPr>
          <w:rFonts w:ascii="Arial" w:hAnsi="Arial" w:cs="Arial"/>
        </w:rPr>
        <w:t xml:space="preserve">313 (7064), 1062-1068. </w:t>
      </w:r>
      <w:r w:rsidR="004A2778" w:rsidRPr="00CC7E17">
        <w:rPr>
          <w:rFonts w:ascii="Arial" w:hAnsi="Arial" w:cs="Arial"/>
        </w:rPr>
        <w:t>fdfd</w:t>
      </w:r>
    </w:p>
    <w:p w14:paraId="0E3BC09B" w14:textId="43478FB2" w:rsidR="008D1229" w:rsidRPr="00CC7E17" w:rsidRDefault="008D1229" w:rsidP="0009624B">
      <w:pPr>
        <w:widowControl w:val="0"/>
        <w:autoSpaceDE w:val="0"/>
        <w:autoSpaceDN w:val="0"/>
        <w:adjustRightInd w:val="0"/>
        <w:spacing w:line="360" w:lineRule="auto"/>
        <w:ind w:left="567" w:hanging="567"/>
        <w:rPr>
          <w:rFonts w:ascii="Arial" w:hAnsi="Arial" w:cs="Arial"/>
          <w:color w:val="262626"/>
        </w:rPr>
      </w:pPr>
      <w:r w:rsidRPr="00CC7E17">
        <w:rPr>
          <w:rFonts w:ascii="Arial" w:hAnsi="Arial" w:cs="Arial"/>
          <w:color w:val="262626"/>
        </w:rPr>
        <w:t>Tannenbaum</w:t>
      </w:r>
      <w:r w:rsidR="001B0D8A">
        <w:rPr>
          <w:rFonts w:ascii="Arial" w:hAnsi="Arial" w:cs="Arial"/>
          <w:color w:val="262626"/>
        </w:rPr>
        <w:t>,</w:t>
      </w:r>
      <w:r w:rsidRPr="00CC7E17">
        <w:rPr>
          <w:rFonts w:ascii="Arial" w:hAnsi="Arial" w:cs="Arial"/>
          <w:color w:val="262626"/>
        </w:rPr>
        <w:t xml:space="preserve"> S</w:t>
      </w:r>
      <w:r w:rsidR="001B0D8A">
        <w:rPr>
          <w:rFonts w:ascii="Arial" w:hAnsi="Arial" w:cs="Arial"/>
          <w:color w:val="262626"/>
        </w:rPr>
        <w:t>.</w:t>
      </w:r>
      <w:r w:rsidRPr="00CC7E17">
        <w:rPr>
          <w:rFonts w:ascii="Arial" w:hAnsi="Arial" w:cs="Arial"/>
          <w:color w:val="262626"/>
        </w:rPr>
        <w:t>J.</w:t>
      </w:r>
      <w:r w:rsidR="001B0D8A">
        <w:rPr>
          <w:rFonts w:ascii="Arial" w:hAnsi="Arial" w:cs="Arial"/>
          <w:color w:val="262626"/>
        </w:rPr>
        <w:t xml:space="preserve">, </w:t>
      </w:r>
      <w:r w:rsidRPr="00CC7E17">
        <w:rPr>
          <w:rFonts w:ascii="Arial" w:hAnsi="Arial" w:cs="Arial"/>
          <w:color w:val="262626"/>
        </w:rPr>
        <w:t xml:space="preserve">(1994). Knowing and acting in medical practice: the epistemiological politics of outcomes research. </w:t>
      </w:r>
      <w:r w:rsidRPr="00CC7E17">
        <w:rPr>
          <w:rFonts w:ascii="Arial" w:hAnsi="Arial" w:cs="Arial"/>
          <w:i/>
          <w:iCs/>
          <w:color w:val="262626"/>
        </w:rPr>
        <w:t>J</w:t>
      </w:r>
      <w:r w:rsidR="004A2778" w:rsidRPr="00CC7E17">
        <w:rPr>
          <w:rFonts w:ascii="Arial" w:hAnsi="Arial" w:cs="Arial"/>
          <w:i/>
          <w:iCs/>
          <w:color w:val="262626"/>
        </w:rPr>
        <w:t>ournal of</w:t>
      </w:r>
      <w:r w:rsidRPr="00CC7E17">
        <w:rPr>
          <w:rFonts w:ascii="Arial" w:hAnsi="Arial" w:cs="Arial"/>
          <w:i/>
          <w:iCs/>
          <w:color w:val="262626"/>
        </w:rPr>
        <w:t xml:space="preserve"> Health Polit</w:t>
      </w:r>
      <w:r w:rsidR="004A2778" w:rsidRPr="00CC7E17">
        <w:rPr>
          <w:rFonts w:ascii="Arial" w:hAnsi="Arial" w:cs="Arial"/>
          <w:i/>
          <w:iCs/>
          <w:color w:val="262626"/>
        </w:rPr>
        <w:t>ics</w:t>
      </w:r>
      <w:r w:rsidRPr="00CC7E17">
        <w:rPr>
          <w:rFonts w:ascii="Arial" w:hAnsi="Arial" w:cs="Arial"/>
          <w:color w:val="262626"/>
        </w:rPr>
        <w:t>, 19:27–44.</w:t>
      </w:r>
    </w:p>
    <w:p w14:paraId="2558BD85" w14:textId="77777777" w:rsidR="008D1229" w:rsidRPr="00CC7E17" w:rsidRDefault="008D1229" w:rsidP="0009624B">
      <w:pPr>
        <w:spacing w:line="360" w:lineRule="auto"/>
        <w:rPr>
          <w:rFonts w:ascii="Arial" w:hAnsi="Arial" w:cs="Arial"/>
        </w:rPr>
      </w:pPr>
    </w:p>
    <w:p w14:paraId="586B6E88" w14:textId="3CE5AEB9" w:rsidR="008D1229" w:rsidRPr="009E57CF" w:rsidRDefault="008D1229" w:rsidP="004A2778">
      <w:pPr>
        <w:widowControl w:val="0"/>
        <w:autoSpaceDE w:val="0"/>
        <w:autoSpaceDN w:val="0"/>
        <w:adjustRightInd w:val="0"/>
        <w:spacing w:after="240" w:line="360" w:lineRule="auto"/>
        <w:ind w:left="600" w:hanging="600"/>
        <w:rPr>
          <w:rFonts w:ascii="Arial" w:hAnsi="Arial" w:cs="Arial"/>
          <w:i/>
        </w:rPr>
      </w:pPr>
      <w:r w:rsidRPr="00CC7E17">
        <w:rPr>
          <w:rFonts w:ascii="Arial" w:hAnsi="Arial" w:cs="Arial"/>
        </w:rPr>
        <w:t xml:space="preserve">Thompson, S.G., Smith, T.C., Sharp, S.J. (1997). Investigating underlying risk as a source of heterogeneity in meta-analysis. </w:t>
      </w:r>
      <w:r w:rsidRPr="00CC7E17">
        <w:rPr>
          <w:rFonts w:ascii="Arial" w:hAnsi="Arial" w:cs="Arial"/>
          <w:i/>
        </w:rPr>
        <w:t>Stat</w:t>
      </w:r>
      <w:r w:rsidR="004A2778" w:rsidRPr="00CC7E17">
        <w:rPr>
          <w:rFonts w:ascii="Arial" w:hAnsi="Arial" w:cs="Arial"/>
          <w:i/>
        </w:rPr>
        <w:t>istics in</w:t>
      </w:r>
      <w:r w:rsidRPr="00CC7E17">
        <w:rPr>
          <w:rFonts w:ascii="Arial" w:hAnsi="Arial" w:cs="Arial"/>
          <w:i/>
        </w:rPr>
        <w:t xml:space="preserve"> Med</w:t>
      </w:r>
      <w:r w:rsidR="004A2778" w:rsidRPr="00CC7E17">
        <w:rPr>
          <w:rFonts w:ascii="Arial" w:hAnsi="Arial" w:cs="Arial"/>
          <w:i/>
        </w:rPr>
        <w:t>icine</w:t>
      </w:r>
      <w:r w:rsidRPr="00CC7E17">
        <w:rPr>
          <w:rFonts w:ascii="Arial" w:hAnsi="Arial" w:cs="Arial"/>
          <w:i/>
        </w:rPr>
        <w:t xml:space="preserve">, </w:t>
      </w:r>
      <w:r w:rsidRPr="00CC7E17">
        <w:rPr>
          <w:rFonts w:ascii="Arial" w:hAnsi="Arial" w:cs="Arial"/>
        </w:rPr>
        <w:t>16 (23), 2741-58.</w:t>
      </w:r>
    </w:p>
    <w:p w14:paraId="2C7C41BB" w14:textId="17C7CA01" w:rsidR="008D1229" w:rsidRPr="00CC7E17" w:rsidRDefault="008D1229" w:rsidP="0009624B">
      <w:pPr>
        <w:spacing w:line="360" w:lineRule="auto"/>
        <w:ind w:left="567" w:hanging="567"/>
        <w:rPr>
          <w:rFonts w:ascii="Arial" w:hAnsi="Arial" w:cs="Arial"/>
        </w:rPr>
      </w:pPr>
      <w:r w:rsidRPr="00CC7E17">
        <w:rPr>
          <w:rFonts w:ascii="Arial" w:hAnsi="Arial" w:cs="Arial"/>
        </w:rPr>
        <w:t>Williams, C., Brunskill, S., Altman, D., Briggs, A., Campbell, H., Clarke, M., et al. (2006). Cost-effectiveness of using prognostic information to select women with breast cancer for adjuvant systemic therapy.</w:t>
      </w:r>
      <w:r w:rsidRPr="00CC7E17">
        <w:rPr>
          <w:rFonts w:ascii="Arial" w:hAnsi="Arial" w:cs="Arial"/>
          <w:i/>
          <w:iCs/>
        </w:rPr>
        <w:t xml:space="preserve"> Health Technology Assessment (Winchester, England), 10</w:t>
      </w:r>
      <w:r w:rsidRPr="00CC7E17">
        <w:rPr>
          <w:rFonts w:ascii="Arial" w:hAnsi="Arial" w:cs="Arial"/>
        </w:rPr>
        <w:t>(34), iii-iv, ix-xi, 1-204.</w:t>
      </w:r>
    </w:p>
    <w:p w14:paraId="3136BA49" w14:textId="77777777" w:rsidR="008D1229" w:rsidRPr="00CC7E17" w:rsidRDefault="008D1229" w:rsidP="009E57CF">
      <w:pPr>
        <w:spacing w:line="360" w:lineRule="auto"/>
        <w:rPr>
          <w:rFonts w:ascii="Arial" w:hAnsi="Arial" w:cs="Arial"/>
        </w:rPr>
      </w:pPr>
    </w:p>
    <w:p w14:paraId="1B955671" w14:textId="77777777" w:rsidR="008D1229" w:rsidRPr="00CC7E17" w:rsidRDefault="008D1229" w:rsidP="0009624B">
      <w:pPr>
        <w:spacing w:line="360" w:lineRule="auto"/>
        <w:ind w:left="567" w:hanging="567"/>
        <w:rPr>
          <w:rFonts w:ascii="Arial" w:hAnsi="Arial" w:cs="Arial"/>
        </w:rPr>
      </w:pPr>
      <w:r w:rsidRPr="00CC7E17">
        <w:rPr>
          <w:rFonts w:ascii="Arial" w:hAnsi="Arial" w:cs="Arial"/>
        </w:rPr>
        <w:t xml:space="preserve">Wyatt, J. (1991). Uses and sources of medical knowledge. </w:t>
      </w:r>
      <w:r w:rsidRPr="00CC7E17">
        <w:rPr>
          <w:rFonts w:ascii="Arial" w:hAnsi="Arial" w:cs="Arial"/>
          <w:i/>
        </w:rPr>
        <w:t xml:space="preserve">Lancet, </w:t>
      </w:r>
      <w:r w:rsidRPr="00CC7E17">
        <w:rPr>
          <w:rFonts w:ascii="Arial" w:hAnsi="Arial" w:cs="Arial"/>
        </w:rPr>
        <w:t>338, 1368-72.</w:t>
      </w:r>
    </w:p>
    <w:p w14:paraId="4B21F14F" w14:textId="77777777" w:rsidR="008D1229" w:rsidRPr="00CC7E17" w:rsidRDefault="008D1229" w:rsidP="0009624B">
      <w:pPr>
        <w:pStyle w:val="ListParagraph"/>
        <w:widowControl w:val="0"/>
        <w:autoSpaceDE w:val="0"/>
        <w:autoSpaceDN w:val="0"/>
        <w:adjustRightInd w:val="0"/>
        <w:spacing w:line="360" w:lineRule="auto"/>
        <w:ind w:left="840"/>
        <w:rPr>
          <w:rFonts w:ascii="Arial" w:hAnsi="Arial" w:cs="Arial"/>
          <w:color w:val="262626"/>
        </w:rPr>
      </w:pPr>
      <w:r w:rsidRPr="00CC7E17">
        <w:rPr>
          <w:rFonts w:ascii="Arial" w:hAnsi="Arial" w:cs="Arial"/>
          <w:color w:val="262626"/>
        </w:rPr>
        <w:t>Wyatt JC. 1996;</w:t>
      </w:r>
    </w:p>
    <w:p w14:paraId="70334FBE" w14:textId="77777777" w:rsidR="008D1229" w:rsidRPr="00CC7E17" w:rsidRDefault="008D1229" w:rsidP="0009624B">
      <w:pPr>
        <w:spacing w:line="360" w:lineRule="auto"/>
        <w:ind w:left="567" w:hanging="567"/>
        <w:rPr>
          <w:rFonts w:ascii="Arial" w:hAnsi="Arial" w:cs="Arial"/>
        </w:rPr>
      </w:pPr>
    </w:p>
    <w:p w14:paraId="7B872960" w14:textId="3CBF89AB" w:rsidR="008D1229" w:rsidRPr="00CC7E17" w:rsidRDefault="008D1229" w:rsidP="0009624B">
      <w:pPr>
        <w:spacing w:line="360" w:lineRule="auto"/>
        <w:ind w:left="567" w:hanging="567"/>
        <w:rPr>
          <w:rFonts w:ascii="Arial" w:hAnsi="Arial" w:cs="Arial"/>
        </w:rPr>
      </w:pPr>
      <w:r w:rsidRPr="00CC7E17">
        <w:rPr>
          <w:rFonts w:ascii="Arial" w:hAnsi="Arial" w:cs="Arial"/>
        </w:rPr>
        <w:t xml:space="preserve">Wyatt, J. (1996). </w:t>
      </w:r>
      <w:r w:rsidRPr="00CC7E17">
        <w:rPr>
          <w:rFonts w:ascii="Arial" w:hAnsi="Arial" w:cs="Arial"/>
          <w:color w:val="262626"/>
        </w:rPr>
        <w:t xml:space="preserve">Medical informatics: artefacts or science?. </w:t>
      </w:r>
      <w:r w:rsidRPr="00CC7E17">
        <w:rPr>
          <w:rFonts w:ascii="Arial" w:hAnsi="Arial" w:cs="Arial"/>
          <w:i/>
          <w:iCs/>
          <w:color w:val="262626"/>
        </w:rPr>
        <w:t>Methods</w:t>
      </w:r>
      <w:r w:rsidR="004A2778" w:rsidRPr="00CC7E17">
        <w:rPr>
          <w:rFonts w:ascii="Arial" w:hAnsi="Arial" w:cs="Arial"/>
          <w:i/>
          <w:iCs/>
          <w:color w:val="262626"/>
        </w:rPr>
        <w:t xml:space="preserve"> of</w:t>
      </w:r>
      <w:r w:rsidRPr="00CC7E17">
        <w:rPr>
          <w:rFonts w:ascii="Arial" w:hAnsi="Arial" w:cs="Arial"/>
          <w:i/>
          <w:iCs/>
          <w:color w:val="262626"/>
        </w:rPr>
        <w:t xml:space="preserve"> Inf</w:t>
      </w:r>
      <w:r w:rsidR="004A2778" w:rsidRPr="00CC7E17">
        <w:rPr>
          <w:rFonts w:ascii="Arial" w:hAnsi="Arial" w:cs="Arial"/>
          <w:i/>
          <w:iCs/>
          <w:color w:val="262626"/>
        </w:rPr>
        <w:t>ormation in</w:t>
      </w:r>
      <w:r w:rsidRPr="00CC7E17">
        <w:rPr>
          <w:rFonts w:ascii="Arial" w:hAnsi="Arial" w:cs="Arial"/>
          <w:i/>
          <w:iCs/>
          <w:color w:val="262626"/>
        </w:rPr>
        <w:t xml:space="preserve"> Med</w:t>
      </w:r>
      <w:r w:rsidR="004A2778" w:rsidRPr="00CC7E17">
        <w:rPr>
          <w:rFonts w:ascii="Arial" w:hAnsi="Arial" w:cs="Arial"/>
          <w:i/>
          <w:iCs/>
          <w:color w:val="262626"/>
        </w:rPr>
        <w:t>icine</w:t>
      </w:r>
      <w:r w:rsidRPr="00CC7E17">
        <w:rPr>
          <w:rFonts w:ascii="Arial" w:hAnsi="Arial" w:cs="Arial"/>
          <w:i/>
          <w:iCs/>
          <w:color w:val="262626"/>
        </w:rPr>
        <w:t xml:space="preserve">, </w:t>
      </w:r>
      <w:r w:rsidRPr="00CC7E17">
        <w:rPr>
          <w:rFonts w:ascii="Arial" w:hAnsi="Arial" w:cs="Arial"/>
          <w:color w:val="262626"/>
        </w:rPr>
        <w:t>35, 314–7.</w:t>
      </w:r>
    </w:p>
    <w:p w14:paraId="4B9FE1A8" w14:textId="77777777" w:rsidR="00C77297" w:rsidRPr="00CC7E17" w:rsidRDefault="00C77297" w:rsidP="0009624B">
      <w:pPr>
        <w:pStyle w:val="Heading3"/>
        <w:spacing w:line="360" w:lineRule="auto"/>
        <w:rPr>
          <w:rFonts w:ascii="Arial" w:hAnsi="Arial" w:cs="Arial"/>
        </w:rPr>
      </w:pPr>
      <w:bookmarkStart w:id="49" w:name="_Toc286437133"/>
      <w:r w:rsidRPr="00CC7E17">
        <w:rPr>
          <w:rFonts w:ascii="Arial" w:hAnsi="Arial" w:cs="Arial"/>
        </w:rPr>
        <w:t>Articles Successfully Extracted</w:t>
      </w:r>
      <w:bookmarkEnd w:id="49"/>
      <w:r w:rsidRPr="00CC7E17">
        <w:rPr>
          <w:rFonts w:ascii="Arial" w:hAnsi="Arial" w:cs="Arial"/>
        </w:rPr>
        <w:t xml:space="preserve"> </w:t>
      </w:r>
    </w:p>
    <w:p w14:paraId="34E66D1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Ackermann, S., Gehrsitz, C., Mehlhorn, G., &amp; Beckmann, M. W. (2006). Management and course of histologically verified cervical carcinoma in situ during pregnancy.</w:t>
      </w:r>
      <w:r w:rsidRPr="00CC7E17">
        <w:rPr>
          <w:rFonts w:ascii="Arial" w:eastAsiaTheme="minorEastAsia" w:hAnsi="Arial" w:cs="Arial"/>
          <w:i/>
          <w:iCs/>
          <w:bdr w:val="none" w:sz="0" w:space="0" w:color="auto"/>
        </w:rPr>
        <w:t xml:space="preserve"> Acta Obstetricia Et Gynecologica Scandinavica, 85</w:t>
      </w:r>
      <w:r w:rsidRPr="00CC7E17">
        <w:rPr>
          <w:rFonts w:ascii="Arial" w:eastAsiaTheme="minorEastAsia" w:hAnsi="Arial" w:cs="Arial"/>
          <w:bdr w:val="none" w:sz="0" w:space="0" w:color="auto"/>
        </w:rPr>
        <w:t>(9), 1134-1137. doi:10.1080/00016340600555926</w:t>
      </w:r>
    </w:p>
    <w:p w14:paraId="06F3210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Adam, R. S., Vale, N., Bona, M. D., Hasanee, K., &amp; Farrokhyar, F. (2010). Triaging herpes zoster ophthalmicus patients in the emergency department: Do all patients require referral?</w:t>
      </w:r>
      <w:r w:rsidRPr="00CC7E17">
        <w:rPr>
          <w:rFonts w:ascii="Arial" w:eastAsiaTheme="minorEastAsia" w:hAnsi="Arial" w:cs="Arial"/>
          <w:i/>
          <w:iCs/>
          <w:bdr w:val="none" w:sz="0" w:space="0" w:color="auto"/>
        </w:rPr>
        <w:t xml:space="preserve"> Academic Emergency Medicine : Official Journal of the Society for Academic Emergency Medicine, 17</w:t>
      </w:r>
      <w:r w:rsidRPr="00CC7E17">
        <w:rPr>
          <w:rFonts w:ascii="Arial" w:eastAsiaTheme="minorEastAsia" w:hAnsi="Arial" w:cs="Arial"/>
          <w:bdr w:val="none" w:sz="0" w:space="0" w:color="auto"/>
        </w:rPr>
        <w:t>(11), 1183-1188. doi:10.1111/j.1553-2712.2010.00875.x; 10.1111/j.1553-2712.2010.00875.x</w:t>
      </w:r>
    </w:p>
    <w:p w14:paraId="3847136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Adamzik, M., Frey, U. H., Riemann, K., Sixt, S., Lehmann, N., Siffert, W., et al. (2008). Factor V leiden mutation is associated with improved 30-day survival in patients with acute respiratory distress syndrome.</w:t>
      </w:r>
      <w:r w:rsidRPr="00CC7E17">
        <w:rPr>
          <w:rFonts w:ascii="Arial" w:eastAsiaTheme="minorEastAsia" w:hAnsi="Arial" w:cs="Arial"/>
          <w:i/>
          <w:iCs/>
          <w:bdr w:val="none" w:sz="0" w:space="0" w:color="auto"/>
        </w:rPr>
        <w:t xml:space="preserve"> Critical Care Medicine, 36</w:t>
      </w:r>
      <w:r w:rsidRPr="00CC7E17">
        <w:rPr>
          <w:rFonts w:ascii="Arial" w:eastAsiaTheme="minorEastAsia" w:hAnsi="Arial" w:cs="Arial"/>
          <w:bdr w:val="none" w:sz="0" w:space="0" w:color="auto"/>
        </w:rPr>
        <w:t>(6), 1776-1779. doi:10.1097/CCM.0b013e318174373d; 10.1097/CCM.0b013e318174373d</w:t>
      </w:r>
    </w:p>
    <w:p w14:paraId="19C0856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Ajeganova, S., Andersson, M. L., Frostegard, J., &amp; Hafstrom, I. (2013). Disease factors in early rheumatoid arthritis are associated with differential risks for cardiovascular events and mortality depending on age at onset: A 10-year observational cohort study.</w:t>
      </w:r>
      <w:r w:rsidRPr="00CC7E17">
        <w:rPr>
          <w:rFonts w:ascii="Arial" w:eastAsiaTheme="minorEastAsia" w:hAnsi="Arial" w:cs="Arial"/>
          <w:i/>
          <w:iCs/>
          <w:bdr w:val="none" w:sz="0" w:space="0" w:color="auto"/>
        </w:rPr>
        <w:t xml:space="preserve"> The Journal of Rheumatology, 40</w:t>
      </w:r>
      <w:r w:rsidRPr="00CC7E17">
        <w:rPr>
          <w:rFonts w:ascii="Arial" w:eastAsiaTheme="minorEastAsia" w:hAnsi="Arial" w:cs="Arial"/>
          <w:bdr w:val="none" w:sz="0" w:space="0" w:color="auto"/>
        </w:rPr>
        <w:t>(12), 1958-1966. doi:10.3899/jrheum.130365; 10.3899/jrheum.130365</w:t>
      </w:r>
    </w:p>
    <w:p w14:paraId="09C992B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Al-Tourah, A. J., Gill, K. K., Chhanabhai, M., Hoskins, P. J., Klasa, R. J., Savage, K. J., et al. (2008). Population-based analysis of incidence and outcome of transformed non-hodgkin's lymphoma.</w:t>
      </w:r>
      <w:r w:rsidRPr="00CC7E17">
        <w:rPr>
          <w:rFonts w:ascii="Arial" w:eastAsiaTheme="minorEastAsia" w:hAnsi="Arial" w:cs="Arial"/>
          <w:i/>
          <w:iCs/>
          <w:bdr w:val="none" w:sz="0" w:space="0" w:color="auto"/>
        </w:rPr>
        <w:t xml:space="preserve"> Journal of Clinical Oncology : Official Journal of the American Society of Clinical Oncology, 26</w:t>
      </w:r>
      <w:r w:rsidRPr="00CC7E17">
        <w:rPr>
          <w:rFonts w:ascii="Arial" w:eastAsiaTheme="minorEastAsia" w:hAnsi="Arial" w:cs="Arial"/>
          <w:bdr w:val="none" w:sz="0" w:space="0" w:color="auto"/>
        </w:rPr>
        <w:t>(32), 5165-5169. doi:10.1200/JCO.2008.16.0283; 10.1200/JCO.2008.16.0283</w:t>
      </w:r>
    </w:p>
    <w:p w14:paraId="150F0E7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Alvarez, J. A., Orav, E. J., Wilkinson, J. D., Fleming, L. E., Lee, D. J., Sleeper, L. A., et al. (2011). Competing risks for death and cardiac transplantation in children with dilated cardiomyopathy: Results from the pediatric cardiomyopathy registry.</w:t>
      </w:r>
      <w:r w:rsidRPr="00CC7E17">
        <w:rPr>
          <w:rFonts w:ascii="Arial" w:eastAsiaTheme="minorEastAsia" w:hAnsi="Arial" w:cs="Arial"/>
          <w:i/>
          <w:iCs/>
          <w:bdr w:val="none" w:sz="0" w:space="0" w:color="auto"/>
        </w:rPr>
        <w:t xml:space="preserve"> Circulation, 124</w:t>
      </w:r>
      <w:r w:rsidRPr="00CC7E17">
        <w:rPr>
          <w:rFonts w:ascii="Arial" w:eastAsiaTheme="minorEastAsia" w:hAnsi="Arial" w:cs="Arial"/>
          <w:bdr w:val="none" w:sz="0" w:space="0" w:color="auto"/>
        </w:rPr>
        <w:t>(7), 814-823. doi:10.1161/CIRCULATIONAHA.110.973826; 10.1161/CIRCULATIONAHA.110.973826</w:t>
      </w:r>
    </w:p>
    <w:p w14:paraId="7DABA33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Amat-Santos, I. J., Rodes-Cabau, J., Urena, M., DeLarochelliere, R., Doyle, D., Bagur, R., et al. (2012). Incidence, predictive factors, and prognostic value of new-onset atrial fibrillation following transcatheter aortic valve implantation.</w:t>
      </w:r>
      <w:r w:rsidRPr="00CC7E17">
        <w:rPr>
          <w:rFonts w:ascii="Arial" w:eastAsiaTheme="minorEastAsia" w:hAnsi="Arial" w:cs="Arial"/>
          <w:i/>
          <w:iCs/>
          <w:bdr w:val="none" w:sz="0" w:space="0" w:color="auto"/>
        </w:rPr>
        <w:t xml:space="preserve"> Journal of the American College of Cardiology, 59</w:t>
      </w:r>
      <w:r w:rsidRPr="00CC7E17">
        <w:rPr>
          <w:rFonts w:ascii="Arial" w:eastAsiaTheme="minorEastAsia" w:hAnsi="Arial" w:cs="Arial"/>
          <w:bdr w:val="none" w:sz="0" w:space="0" w:color="auto"/>
        </w:rPr>
        <w:t>(2), 178-188. doi:10.1016/j.jacc.2011.09.061; 10.1016/j.jacc.2011.09.061</w:t>
      </w:r>
    </w:p>
    <w:p w14:paraId="3CA1F5C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Amin, R., Widmer, B., Dalton, R. N., &amp; Dunger, D. B. (2009). Unchanged incidence of microalbuminuria in children with type 1 diabetes since 1986: A UK based inception cohort.</w:t>
      </w:r>
      <w:r w:rsidRPr="00CC7E17">
        <w:rPr>
          <w:rFonts w:ascii="Arial" w:eastAsiaTheme="minorEastAsia" w:hAnsi="Arial" w:cs="Arial"/>
          <w:i/>
          <w:iCs/>
          <w:bdr w:val="none" w:sz="0" w:space="0" w:color="auto"/>
        </w:rPr>
        <w:t xml:space="preserve"> Archives of Disease in Childhood, 94</w:t>
      </w:r>
      <w:r w:rsidRPr="00CC7E17">
        <w:rPr>
          <w:rFonts w:ascii="Arial" w:eastAsiaTheme="minorEastAsia" w:hAnsi="Arial" w:cs="Arial"/>
          <w:bdr w:val="none" w:sz="0" w:space="0" w:color="auto"/>
        </w:rPr>
        <w:t>(4), 258-262. doi:10.1136/adc.2008.144337; 10.1136/adc.2008.144337</w:t>
      </w:r>
    </w:p>
    <w:p w14:paraId="2C5DFFE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Amin, R., Widmer, B., Prevost, A. T., Schwarze, P., Cooper, J., Edge, J., et al. (2008). Risk of microalbuminuria and progression to macroalbuminuria in a cohort with childhood onset type 1 diabetes: Prospective observational study.</w:t>
      </w:r>
      <w:r w:rsidRPr="00CC7E17">
        <w:rPr>
          <w:rFonts w:ascii="Arial" w:eastAsiaTheme="minorEastAsia" w:hAnsi="Arial" w:cs="Arial"/>
          <w:i/>
          <w:iCs/>
          <w:bdr w:val="none" w:sz="0" w:space="0" w:color="auto"/>
        </w:rPr>
        <w:t xml:space="preserve"> BMJ (Clinical Research Ed.), 336</w:t>
      </w:r>
      <w:r w:rsidRPr="00CC7E17">
        <w:rPr>
          <w:rFonts w:ascii="Arial" w:eastAsiaTheme="minorEastAsia" w:hAnsi="Arial" w:cs="Arial"/>
          <w:bdr w:val="none" w:sz="0" w:space="0" w:color="auto"/>
        </w:rPr>
        <w:t>(7646), 697-701. doi:10.1136/bmj.39478.378241.BE; 10.1136/bmj.39478.378241.BE</w:t>
      </w:r>
    </w:p>
    <w:p w14:paraId="2D2EEE0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Amin, S., Gabriel, S. E., Achenbach, S. J., Atkinson, E. J., &amp; Melton, L. J.,3rd. (2013). Are young women and men with rheumatoid arthritis at risk for fragility fractures? A population-based study.</w:t>
      </w:r>
      <w:r w:rsidRPr="00CC7E17">
        <w:rPr>
          <w:rFonts w:ascii="Arial" w:eastAsiaTheme="minorEastAsia" w:hAnsi="Arial" w:cs="Arial"/>
          <w:i/>
          <w:iCs/>
          <w:bdr w:val="none" w:sz="0" w:space="0" w:color="auto"/>
        </w:rPr>
        <w:t xml:space="preserve"> The Journal of Rheumatology, 40</w:t>
      </w:r>
      <w:r w:rsidRPr="00CC7E17">
        <w:rPr>
          <w:rFonts w:ascii="Arial" w:eastAsiaTheme="minorEastAsia" w:hAnsi="Arial" w:cs="Arial"/>
          <w:bdr w:val="none" w:sz="0" w:space="0" w:color="auto"/>
        </w:rPr>
        <w:t>(10), 1669-1676. doi:10.3899/jrheum.121493; 10.3899/jrheum.121493</w:t>
      </w:r>
    </w:p>
    <w:p w14:paraId="7C6E435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Ancora, G., Lanari, M., Lazzarotto, T., Venturi, V., Tridapalli, E., Sandri, F., et al. (2007). Cranial ultrasound scanning and prediction of outcome in newborns with congenital cytomegalovirus infection.</w:t>
      </w:r>
      <w:r w:rsidRPr="00CC7E17">
        <w:rPr>
          <w:rFonts w:ascii="Arial" w:eastAsiaTheme="minorEastAsia" w:hAnsi="Arial" w:cs="Arial"/>
          <w:i/>
          <w:iCs/>
          <w:bdr w:val="none" w:sz="0" w:space="0" w:color="auto"/>
        </w:rPr>
        <w:t xml:space="preserve"> The Journal of Pediatrics, 150</w:t>
      </w:r>
      <w:r w:rsidRPr="00CC7E17">
        <w:rPr>
          <w:rFonts w:ascii="Arial" w:eastAsiaTheme="minorEastAsia" w:hAnsi="Arial" w:cs="Arial"/>
          <w:bdr w:val="none" w:sz="0" w:space="0" w:color="auto"/>
        </w:rPr>
        <w:t>(2), 157-161. doi:10.1016/j.jpeds.2006.11.032</w:t>
      </w:r>
    </w:p>
    <w:p w14:paraId="2D1AD87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ANZIC Influenza Investigators, Webb, S. A., Pettila, V., Seppelt, I., Bellomo, R., Bailey, M., et al. (2009). Critical care services and 2009 H1N1 influenza in australia and new zealand.</w:t>
      </w:r>
      <w:r w:rsidRPr="00CC7E17">
        <w:rPr>
          <w:rFonts w:ascii="Arial" w:eastAsiaTheme="minorEastAsia" w:hAnsi="Arial" w:cs="Arial"/>
          <w:i/>
          <w:iCs/>
          <w:bdr w:val="none" w:sz="0" w:space="0" w:color="auto"/>
        </w:rPr>
        <w:t xml:space="preserve"> The New England Journal of Medicine, 361</w:t>
      </w:r>
      <w:r w:rsidRPr="00CC7E17">
        <w:rPr>
          <w:rFonts w:ascii="Arial" w:eastAsiaTheme="minorEastAsia" w:hAnsi="Arial" w:cs="Arial"/>
          <w:bdr w:val="none" w:sz="0" w:space="0" w:color="auto"/>
        </w:rPr>
        <w:t>(20), 1925-1934. doi:10.1056/NEJMoa0908481; 10.1056/NEJMoa0908481</w:t>
      </w:r>
    </w:p>
    <w:p w14:paraId="79EF485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Asamiya, Y., Otsubo, S., Matsuda, Y., Kimata, N., Kikuchi, K., Miwa, N., et al. (2009). The importance of low blood urea nitrogen levels in pregnant patients undergoing hemodialysis to optimize birth weight and gestational age.</w:t>
      </w:r>
      <w:r w:rsidRPr="00CC7E17">
        <w:rPr>
          <w:rFonts w:ascii="Arial" w:eastAsiaTheme="minorEastAsia" w:hAnsi="Arial" w:cs="Arial"/>
          <w:i/>
          <w:iCs/>
          <w:bdr w:val="none" w:sz="0" w:space="0" w:color="auto"/>
        </w:rPr>
        <w:t xml:space="preserve"> Kidney International, 75</w:t>
      </w:r>
      <w:r w:rsidRPr="00CC7E17">
        <w:rPr>
          <w:rFonts w:ascii="Arial" w:eastAsiaTheme="minorEastAsia" w:hAnsi="Arial" w:cs="Arial"/>
          <w:bdr w:val="none" w:sz="0" w:space="0" w:color="auto"/>
        </w:rPr>
        <w:t>(11), 1217-1222. doi:10.1038/ki.2009.48; 10.1038/ki.2009.48</w:t>
      </w:r>
    </w:p>
    <w:p w14:paraId="6BB6F5C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Avina-Zubieta, J. A., Thomas, J., Sadatsafavi, M., Lehman, A. J., &amp; Lacaille, D. (2012). Risk of incident cardiovascular events in patients with rheumatoid arthritis: A meta-analysis of observational studies.</w:t>
      </w:r>
      <w:r w:rsidRPr="00CC7E17">
        <w:rPr>
          <w:rFonts w:ascii="Arial" w:eastAsiaTheme="minorEastAsia" w:hAnsi="Arial" w:cs="Arial"/>
          <w:i/>
          <w:iCs/>
          <w:bdr w:val="none" w:sz="0" w:space="0" w:color="auto"/>
        </w:rPr>
        <w:t xml:space="preserve"> Annals of the Rheumatic Diseases, 71</w:t>
      </w:r>
      <w:r w:rsidRPr="00CC7E17">
        <w:rPr>
          <w:rFonts w:ascii="Arial" w:eastAsiaTheme="minorEastAsia" w:hAnsi="Arial" w:cs="Arial"/>
          <w:bdr w:val="none" w:sz="0" w:space="0" w:color="auto"/>
        </w:rPr>
        <w:t>(9), 1524-1529. doi:10.1136/annrheumdis-2011-200726; 10.1136/annrheumdis-2011-200726</w:t>
      </w:r>
    </w:p>
    <w:p w14:paraId="65002B9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Baldus, C. D., Burmeister, T., Martus, P., Schwartz, S., Gokbuget, N., Bloomfield, C. D., et al. (2006). High expression of the ETS transcription factor ERG predicts adverse outcome in acute T-lymphoblastic leukemia in adults.</w:t>
      </w:r>
      <w:r w:rsidRPr="00CC7E17">
        <w:rPr>
          <w:rFonts w:ascii="Arial" w:eastAsiaTheme="minorEastAsia" w:hAnsi="Arial" w:cs="Arial"/>
          <w:i/>
          <w:iCs/>
          <w:bdr w:val="none" w:sz="0" w:space="0" w:color="auto"/>
        </w:rPr>
        <w:t xml:space="preserve"> Journal of Clinical Oncology : Official Journal of the American Society of Clinical Oncology, 24</w:t>
      </w:r>
      <w:r w:rsidRPr="00CC7E17">
        <w:rPr>
          <w:rFonts w:ascii="Arial" w:eastAsiaTheme="minorEastAsia" w:hAnsi="Arial" w:cs="Arial"/>
          <w:bdr w:val="none" w:sz="0" w:space="0" w:color="auto"/>
        </w:rPr>
        <w:t>(29), 4714-4720. doi:10.1200/JCO.2006.06.1580</w:t>
      </w:r>
    </w:p>
    <w:p w14:paraId="5295E8C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Barr, E. L., Zimmet, P. Z., Welborn, T. A., Jolley, D., Magliano, D. J., Dunstan, D. W., et al. (2007). Risk of cardiovascular and all-cause mortality in individuals with diabetes mellitus, impaired fasting glucose, and impaired glucose tolerance: The australian diabetes, obesity, and lifestyle study (AusDiab).</w:t>
      </w:r>
      <w:r w:rsidRPr="00CC7E17">
        <w:rPr>
          <w:rFonts w:ascii="Arial" w:eastAsiaTheme="minorEastAsia" w:hAnsi="Arial" w:cs="Arial"/>
          <w:i/>
          <w:iCs/>
          <w:bdr w:val="none" w:sz="0" w:space="0" w:color="auto"/>
        </w:rPr>
        <w:t xml:space="preserve"> Circulation, 116</w:t>
      </w:r>
      <w:r w:rsidRPr="00CC7E17">
        <w:rPr>
          <w:rFonts w:ascii="Arial" w:eastAsiaTheme="minorEastAsia" w:hAnsi="Arial" w:cs="Arial"/>
          <w:bdr w:val="none" w:sz="0" w:space="0" w:color="auto"/>
        </w:rPr>
        <w:t>(2), 151-157. doi:10.1161/CIRCULATIONAHA.106.685628</w:t>
      </w:r>
    </w:p>
    <w:p w14:paraId="5C10ADE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Baschat, A. A., Cosmi, E., Bilardo, C. M., Wolf, H., Berg, C., Rigano, S., et al. (2007). Predictors of neonatal outcome in early-onset placental dysfunction.</w:t>
      </w:r>
      <w:r w:rsidRPr="00CC7E17">
        <w:rPr>
          <w:rFonts w:ascii="Arial" w:eastAsiaTheme="minorEastAsia" w:hAnsi="Arial" w:cs="Arial"/>
          <w:i/>
          <w:iCs/>
          <w:bdr w:val="none" w:sz="0" w:space="0" w:color="auto"/>
        </w:rPr>
        <w:t xml:space="preserve"> Obstetrics and Gynecology, 109</w:t>
      </w:r>
      <w:r w:rsidRPr="00CC7E17">
        <w:rPr>
          <w:rFonts w:ascii="Arial" w:eastAsiaTheme="minorEastAsia" w:hAnsi="Arial" w:cs="Arial"/>
          <w:bdr w:val="none" w:sz="0" w:space="0" w:color="auto"/>
        </w:rPr>
        <w:t>(2 Pt 1), 253-261. doi:10.1097/01.AOG.0000253215.79121.75</w:t>
      </w:r>
    </w:p>
    <w:p w14:paraId="06EB6D6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Bates, E., Rouse, D. J., Mann, M. L., Chapman, V., Carlo, W. A., &amp; Tita, A. T. (2010). Neonatal outcomes after demonstrated fetal lung maturity before 39 weeks of gestation.</w:t>
      </w:r>
      <w:r w:rsidRPr="00CC7E17">
        <w:rPr>
          <w:rFonts w:ascii="Arial" w:eastAsiaTheme="minorEastAsia" w:hAnsi="Arial" w:cs="Arial"/>
          <w:i/>
          <w:iCs/>
          <w:bdr w:val="none" w:sz="0" w:space="0" w:color="auto"/>
        </w:rPr>
        <w:t xml:space="preserve"> Obstetrics and Gynecology, 116</w:t>
      </w:r>
      <w:r w:rsidRPr="00CC7E17">
        <w:rPr>
          <w:rFonts w:ascii="Arial" w:eastAsiaTheme="minorEastAsia" w:hAnsi="Arial" w:cs="Arial"/>
          <w:bdr w:val="none" w:sz="0" w:space="0" w:color="auto"/>
        </w:rPr>
        <w:t>(6), 1288-1295. doi:10.1097/AOG.0b013e3181fb7ece; 10.1097/AOG.0b013e3181fb7ece</w:t>
      </w:r>
    </w:p>
    <w:p w14:paraId="10D1BC8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Becher, J. C., Bhushan, S. S., &amp; Lyon, A. J. (2012). Unexpected collapse in apparently healthy newborns--a prospective national study of a missing cohort of neonatal deaths and near-death events.</w:t>
      </w:r>
      <w:r w:rsidRPr="00CC7E17">
        <w:rPr>
          <w:rFonts w:ascii="Arial" w:eastAsiaTheme="minorEastAsia" w:hAnsi="Arial" w:cs="Arial"/>
          <w:i/>
          <w:iCs/>
          <w:bdr w:val="none" w:sz="0" w:space="0" w:color="auto"/>
        </w:rPr>
        <w:t xml:space="preserve"> Archives of Disease in Childhood.Fetal and Neonatal Edition, 97</w:t>
      </w:r>
      <w:r w:rsidRPr="00CC7E17">
        <w:rPr>
          <w:rFonts w:ascii="Arial" w:eastAsiaTheme="minorEastAsia" w:hAnsi="Arial" w:cs="Arial"/>
          <w:bdr w:val="none" w:sz="0" w:space="0" w:color="auto"/>
        </w:rPr>
        <w:t>(1), F30-4. doi:10.1136/adc.2010.208736; 10.1136/adc.2010.208736</w:t>
      </w:r>
    </w:p>
    <w:p w14:paraId="593A36E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Bell, G. S., Gaitatzis, A., Bell, C. L., Johnson, A. L., &amp; Sander, J. W. (2008). Drowning in people with epilepsy: How great is the risk?</w:t>
      </w:r>
      <w:r w:rsidRPr="00CC7E17">
        <w:rPr>
          <w:rFonts w:ascii="Arial" w:eastAsiaTheme="minorEastAsia" w:hAnsi="Arial" w:cs="Arial"/>
          <w:i/>
          <w:iCs/>
          <w:bdr w:val="none" w:sz="0" w:space="0" w:color="auto"/>
        </w:rPr>
        <w:t xml:space="preserve"> Neurology, 71</w:t>
      </w:r>
      <w:r w:rsidRPr="00CC7E17">
        <w:rPr>
          <w:rFonts w:ascii="Arial" w:eastAsiaTheme="minorEastAsia" w:hAnsi="Arial" w:cs="Arial"/>
          <w:bdr w:val="none" w:sz="0" w:space="0" w:color="auto"/>
        </w:rPr>
        <w:t>(8), 578-582. doi:10.1212/01.wnl.0000323813.36193.4d; 10.1212/01.wnl.0000323813.36193.4d</w:t>
      </w:r>
    </w:p>
    <w:p w14:paraId="2959D83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Bental, Y., Reichman, B., Shiff, Y., Weisbrod, M., Boyko, V., Lerner-Geva, L., et al. (2011). Impact of maternal diabetes mellitus on mortality and morbidity of preterm infants (24-33 weeks' gestation).</w:t>
      </w:r>
      <w:r w:rsidRPr="00CC7E17">
        <w:rPr>
          <w:rFonts w:ascii="Arial" w:eastAsiaTheme="minorEastAsia" w:hAnsi="Arial" w:cs="Arial"/>
          <w:i/>
          <w:iCs/>
          <w:bdr w:val="none" w:sz="0" w:space="0" w:color="auto"/>
        </w:rPr>
        <w:t xml:space="preserve"> Pediatrics, 128</w:t>
      </w:r>
      <w:r w:rsidRPr="00CC7E17">
        <w:rPr>
          <w:rFonts w:ascii="Arial" w:eastAsiaTheme="minorEastAsia" w:hAnsi="Arial" w:cs="Arial"/>
          <w:bdr w:val="none" w:sz="0" w:space="0" w:color="auto"/>
        </w:rPr>
        <w:t>(4), e848-55. doi:10.1542/peds.2010-3443; 10.1542/peds.2010-3443</w:t>
      </w:r>
    </w:p>
    <w:p w14:paraId="76C7D58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Berfelo, F. J., Kersbergen, K. J., van Ommen, C. H., Govaert, P., van Straaten, H. L., Poll-The, B. T., et al. (2010). Neonatal cerebral sinovenous thrombosis from symptom to outcome.</w:t>
      </w:r>
      <w:r w:rsidRPr="00CC7E17">
        <w:rPr>
          <w:rFonts w:ascii="Arial" w:eastAsiaTheme="minorEastAsia" w:hAnsi="Arial" w:cs="Arial"/>
          <w:i/>
          <w:iCs/>
          <w:bdr w:val="none" w:sz="0" w:space="0" w:color="auto"/>
        </w:rPr>
        <w:t xml:space="preserve"> Stroke; a Journal of Cerebral Circulation, 41</w:t>
      </w:r>
      <w:r w:rsidRPr="00CC7E17">
        <w:rPr>
          <w:rFonts w:ascii="Arial" w:eastAsiaTheme="minorEastAsia" w:hAnsi="Arial" w:cs="Arial"/>
          <w:bdr w:val="none" w:sz="0" w:space="0" w:color="auto"/>
        </w:rPr>
        <w:t>(7), 1382-1388. doi:10.1161/STROKEAHA.110.583542; 10.1161/STROKEAHA.110.583542</w:t>
      </w:r>
    </w:p>
    <w:p w14:paraId="6B583E7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Berg, A. T., Nickels, K., Wirrell, E. C., Geerts, A. T., Callenbach, P. M., Arts, W. F., et al. (2013). Mortality risks in new-onset childhood epilepsy.</w:t>
      </w:r>
      <w:r w:rsidRPr="00CC7E17">
        <w:rPr>
          <w:rFonts w:ascii="Arial" w:eastAsiaTheme="minorEastAsia" w:hAnsi="Arial" w:cs="Arial"/>
          <w:i/>
          <w:iCs/>
          <w:bdr w:val="none" w:sz="0" w:space="0" w:color="auto"/>
        </w:rPr>
        <w:t xml:space="preserve"> Pediatrics, 132</w:t>
      </w:r>
      <w:r w:rsidRPr="00CC7E17">
        <w:rPr>
          <w:rFonts w:ascii="Arial" w:eastAsiaTheme="minorEastAsia" w:hAnsi="Arial" w:cs="Arial"/>
          <w:bdr w:val="none" w:sz="0" w:space="0" w:color="auto"/>
        </w:rPr>
        <w:t>(1), 124-131. doi:10.1542/peds.2012-3998; 10.1542/peds.2012-3998</w:t>
      </w:r>
    </w:p>
    <w:p w14:paraId="3361369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Berrebi, A., Assouline, C., Bessieres, M. H., Lathiere, M., Cassaing, S., Minville, V., et al. (2010). Long-term outcome of children with congenital toxoplasmosis.</w:t>
      </w:r>
      <w:r w:rsidRPr="00CC7E17">
        <w:rPr>
          <w:rFonts w:ascii="Arial" w:eastAsiaTheme="minorEastAsia" w:hAnsi="Arial" w:cs="Arial"/>
          <w:i/>
          <w:iCs/>
          <w:bdr w:val="none" w:sz="0" w:space="0" w:color="auto"/>
        </w:rPr>
        <w:t xml:space="preserve"> American Journal of Obstetrics and Gynecology, 203</w:t>
      </w:r>
      <w:r w:rsidRPr="00CC7E17">
        <w:rPr>
          <w:rFonts w:ascii="Arial" w:eastAsiaTheme="minorEastAsia" w:hAnsi="Arial" w:cs="Arial"/>
          <w:bdr w:val="none" w:sz="0" w:space="0" w:color="auto"/>
        </w:rPr>
        <w:t>(6), 552.e1-552.e6. doi:10.1016/j.ajog.2010.06.002; 10.1016/j.ajog.2010.06.002</w:t>
      </w:r>
    </w:p>
    <w:p w14:paraId="337742B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Berry, C., Hogg, K., Norrie, J., Stevenson, K., Brett, M., &amp; McMurray, J. (2005). Heart failure with preserved left ventricular systolic function: A hospital cohort study.</w:t>
      </w:r>
      <w:r w:rsidRPr="00CC7E17">
        <w:rPr>
          <w:rFonts w:ascii="Arial" w:eastAsiaTheme="minorEastAsia" w:hAnsi="Arial" w:cs="Arial"/>
          <w:i/>
          <w:iCs/>
          <w:bdr w:val="none" w:sz="0" w:space="0" w:color="auto"/>
        </w:rPr>
        <w:t xml:space="preserve"> Heart (British Cardiac Society), 91</w:t>
      </w:r>
      <w:r w:rsidRPr="00CC7E17">
        <w:rPr>
          <w:rFonts w:ascii="Arial" w:eastAsiaTheme="minorEastAsia" w:hAnsi="Arial" w:cs="Arial"/>
          <w:bdr w:val="none" w:sz="0" w:space="0" w:color="auto"/>
        </w:rPr>
        <w:t>(7), 907-913. doi:10.1136/hrt.2004.041996</w:t>
      </w:r>
    </w:p>
    <w:p w14:paraId="0146A7B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Berry, S. D., Samelson, E. J., Hannan, M. T., McLean, R. R., Lu, M., Cupples, L. A., et al. (2007). Second hip fracture in older men and women: The framingham study.</w:t>
      </w:r>
      <w:r w:rsidRPr="00CC7E17">
        <w:rPr>
          <w:rFonts w:ascii="Arial" w:eastAsiaTheme="minorEastAsia" w:hAnsi="Arial" w:cs="Arial"/>
          <w:i/>
          <w:iCs/>
          <w:bdr w:val="none" w:sz="0" w:space="0" w:color="auto"/>
        </w:rPr>
        <w:t xml:space="preserve"> Archives of Internal Medicine, 167</w:t>
      </w:r>
      <w:r w:rsidRPr="00CC7E17">
        <w:rPr>
          <w:rFonts w:ascii="Arial" w:eastAsiaTheme="minorEastAsia" w:hAnsi="Arial" w:cs="Arial"/>
          <w:bdr w:val="none" w:sz="0" w:space="0" w:color="auto"/>
        </w:rPr>
        <w:t>(18), 1971-1976. doi:10.1001/archinte.167.18.1971</w:t>
      </w:r>
    </w:p>
    <w:p w14:paraId="0E9C02E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Bhaskaran, K., Hamouda, O., Sannes, M., Boufassa, F., Johnson, A. M., Lambert, P. C., et al. (2008). Changes in the risk of death after HIV seroconversion compared with mortality in the general population.</w:t>
      </w:r>
      <w:r w:rsidRPr="00CC7E17">
        <w:rPr>
          <w:rFonts w:ascii="Arial" w:eastAsiaTheme="minorEastAsia" w:hAnsi="Arial" w:cs="Arial"/>
          <w:i/>
          <w:iCs/>
          <w:bdr w:val="none" w:sz="0" w:space="0" w:color="auto"/>
        </w:rPr>
        <w:t xml:space="preserve"> JAMA : The Journal of the American Medical Association, 300</w:t>
      </w:r>
      <w:r w:rsidRPr="00CC7E17">
        <w:rPr>
          <w:rFonts w:ascii="Arial" w:eastAsiaTheme="minorEastAsia" w:hAnsi="Arial" w:cs="Arial"/>
          <w:bdr w:val="none" w:sz="0" w:space="0" w:color="auto"/>
        </w:rPr>
        <w:t>(1), 51-59. doi:10.1001/jama.300.1.51; 10.1001/jama.300.1.51</w:t>
      </w:r>
    </w:p>
    <w:p w14:paraId="122803F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Blauwet, L. A., Libhaber, E., Forster, O., Tibazarwa, K., Mebazaa, A., Hilfiker-Kleiner, D., et al. (2013). Predictors of outcome in 176 south african patients with peripartum cardiomyopathy.</w:t>
      </w:r>
      <w:r w:rsidRPr="00CC7E17">
        <w:rPr>
          <w:rFonts w:ascii="Arial" w:eastAsiaTheme="minorEastAsia" w:hAnsi="Arial" w:cs="Arial"/>
          <w:i/>
          <w:iCs/>
          <w:bdr w:val="none" w:sz="0" w:space="0" w:color="auto"/>
        </w:rPr>
        <w:t xml:space="preserve"> Heart (British Cardiac Society), 99</w:t>
      </w:r>
      <w:r w:rsidRPr="00CC7E17">
        <w:rPr>
          <w:rFonts w:ascii="Arial" w:eastAsiaTheme="minorEastAsia" w:hAnsi="Arial" w:cs="Arial"/>
          <w:bdr w:val="none" w:sz="0" w:space="0" w:color="auto"/>
        </w:rPr>
        <w:t>(5), 308-313. doi:10.1136/heartjnl-2012-302760; 10.1136/heartjnl-2012-302760</w:t>
      </w:r>
    </w:p>
    <w:p w14:paraId="242D6BA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Bloemers, B. L., van Furth, A. M., Weijerman, M. E., Gemke, R. J., Broers, C. J., van den Ende, K., et al. (2007). Down syndrome: A novel risk factor for respiratory syncytial virus bronchiolitis--a prospective birth-cohort study.</w:t>
      </w:r>
      <w:r w:rsidRPr="00CC7E17">
        <w:rPr>
          <w:rFonts w:ascii="Arial" w:eastAsiaTheme="minorEastAsia" w:hAnsi="Arial" w:cs="Arial"/>
          <w:i/>
          <w:iCs/>
          <w:bdr w:val="none" w:sz="0" w:space="0" w:color="auto"/>
        </w:rPr>
        <w:t xml:space="preserve"> Pediatrics, 120</w:t>
      </w:r>
      <w:r w:rsidRPr="00CC7E17">
        <w:rPr>
          <w:rFonts w:ascii="Arial" w:eastAsiaTheme="minorEastAsia" w:hAnsi="Arial" w:cs="Arial"/>
          <w:bdr w:val="none" w:sz="0" w:space="0" w:color="auto"/>
        </w:rPr>
        <w:t>(4), e1076-81. doi:10.1542/peds.2007-0788</w:t>
      </w:r>
    </w:p>
    <w:p w14:paraId="7D88592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Boghossian, N. S., Hansen, N. I., Bell, E. F., Stoll, B. J., Murray, J. C., Laptook, A. R., et al. (2010). Survival and morbidity outcomes for very low birth weight infants with down syndrome.</w:t>
      </w:r>
      <w:r w:rsidRPr="00CC7E17">
        <w:rPr>
          <w:rFonts w:ascii="Arial" w:eastAsiaTheme="minorEastAsia" w:hAnsi="Arial" w:cs="Arial"/>
          <w:i/>
          <w:iCs/>
          <w:bdr w:val="none" w:sz="0" w:space="0" w:color="auto"/>
        </w:rPr>
        <w:t xml:space="preserve"> Pediatrics, 126</w:t>
      </w:r>
      <w:r w:rsidRPr="00CC7E17">
        <w:rPr>
          <w:rFonts w:ascii="Arial" w:eastAsiaTheme="minorEastAsia" w:hAnsi="Arial" w:cs="Arial"/>
          <w:bdr w:val="none" w:sz="0" w:space="0" w:color="auto"/>
        </w:rPr>
        <w:t>(6), 1132-1140. doi:10.1542/peds.2010-1824; 10.1542/peds.2010-1824</w:t>
      </w:r>
    </w:p>
    <w:p w14:paraId="72D0D6B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Boivin, A., Luo, Z. C., Audibert, F., Masse, B., Lefebvre, F., Tessier, R., et al. (2012). Pregnancy complications among women born preterm.</w:t>
      </w:r>
      <w:r w:rsidRPr="00CC7E17">
        <w:rPr>
          <w:rFonts w:ascii="Arial" w:eastAsiaTheme="minorEastAsia" w:hAnsi="Arial" w:cs="Arial"/>
          <w:i/>
          <w:iCs/>
          <w:bdr w:val="none" w:sz="0" w:space="0" w:color="auto"/>
        </w:rPr>
        <w:t xml:space="preserve"> CMAJ : Canadian Medical Association Journal = Journal De l'Association Medicale Canadienne, 184</w:t>
      </w:r>
      <w:r w:rsidRPr="00CC7E17">
        <w:rPr>
          <w:rFonts w:ascii="Arial" w:eastAsiaTheme="minorEastAsia" w:hAnsi="Arial" w:cs="Arial"/>
          <w:bdr w:val="none" w:sz="0" w:space="0" w:color="auto"/>
        </w:rPr>
        <w:t>(16), 1777-1784. doi:10.1503/cmaj.120143; 10.1503/cmaj.120143</w:t>
      </w:r>
    </w:p>
    <w:p w14:paraId="50CA0CD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Bongartz, T., Nannini, C., Medina-Velasquez, Y. F., Achenbach, S. J., Crowson, C. S., Ryu, J. H., et al. (2010). Incidence and mortality of interstitial lung disease in rheumatoid arthritis: A population-based study.</w:t>
      </w:r>
      <w:r w:rsidRPr="00CC7E17">
        <w:rPr>
          <w:rFonts w:ascii="Arial" w:eastAsiaTheme="minorEastAsia" w:hAnsi="Arial" w:cs="Arial"/>
          <w:i/>
          <w:iCs/>
          <w:bdr w:val="none" w:sz="0" w:space="0" w:color="auto"/>
        </w:rPr>
        <w:t xml:space="preserve"> Arthritis and Rheumatism, 62</w:t>
      </w:r>
      <w:r w:rsidRPr="00CC7E17">
        <w:rPr>
          <w:rFonts w:ascii="Arial" w:eastAsiaTheme="minorEastAsia" w:hAnsi="Arial" w:cs="Arial"/>
          <w:bdr w:val="none" w:sz="0" w:space="0" w:color="auto"/>
        </w:rPr>
        <w:t>(6), 1583-1591. doi:10.1002/art.27405; 10.1002/art.27405</w:t>
      </w:r>
    </w:p>
    <w:p w14:paraId="725C40C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Brandes, A. A., Tosoni, A., Franceschi, E., Sotti, G., Frezza, G., Amista, P., et al. (2009). Recurrence pattern after temozolomide concomitant with and adjuvant to radiotherapy in newly diagnosed patients with glioblastoma: Correlation with MGMT promoter methylation status.</w:t>
      </w:r>
      <w:r w:rsidRPr="00CC7E17">
        <w:rPr>
          <w:rFonts w:ascii="Arial" w:eastAsiaTheme="minorEastAsia" w:hAnsi="Arial" w:cs="Arial"/>
          <w:i/>
          <w:iCs/>
          <w:bdr w:val="none" w:sz="0" w:space="0" w:color="auto"/>
        </w:rPr>
        <w:t xml:space="preserve"> Journal of Clinical Oncology : Official Journal of the American Society of Clinical Oncology, 27</w:t>
      </w:r>
      <w:r w:rsidRPr="00CC7E17">
        <w:rPr>
          <w:rFonts w:ascii="Arial" w:eastAsiaTheme="minorEastAsia" w:hAnsi="Arial" w:cs="Arial"/>
          <w:bdr w:val="none" w:sz="0" w:space="0" w:color="auto"/>
        </w:rPr>
        <w:t>(8), 1275-1279. doi:10.1200/JCO.2008.19.4969; 10.1200/JCO.2008.19.4969</w:t>
      </w:r>
    </w:p>
    <w:p w14:paraId="582E82A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Brown, C. V., Dubose, J. J., Hadjizacharia, P., Yanar, H., Salim, A., Inaba, K., et al. (2008). Natural history and outcomes of renal failure after trauma.</w:t>
      </w:r>
      <w:r w:rsidRPr="00CC7E17">
        <w:rPr>
          <w:rFonts w:ascii="Arial" w:eastAsiaTheme="minorEastAsia" w:hAnsi="Arial" w:cs="Arial"/>
          <w:i/>
          <w:iCs/>
          <w:bdr w:val="none" w:sz="0" w:space="0" w:color="auto"/>
        </w:rPr>
        <w:t xml:space="preserve"> Journal of the American College of Surgeons, 206</w:t>
      </w:r>
      <w:r w:rsidRPr="00CC7E17">
        <w:rPr>
          <w:rFonts w:ascii="Arial" w:eastAsiaTheme="minorEastAsia" w:hAnsi="Arial" w:cs="Arial"/>
          <w:bdr w:val="none" w:sz="0" w:space="0" w:color="auto"/>
        </w:rPr>
        <w:t>(3), 426-431. doi:10.1016/j.jamcollsurg.2007.09.011; 10.1016/j.jamcollsurg.2007.09.011</w:t>
      </w:r>
    </w:p>
    <w:p w14:paraId="0B57823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Brucato, A., Grava, C., Bortolati, M., Ikeda, K., Milanesi, O., Cimaz, R., et al. (2009). Congenital heart block not associated with anti-Ro/La antibodies: Comparison with anti-Ro/La-positive cases.</w:t>
      </w:r>
      <w:r w:rsidRPr="00CC7E17">
        <w:rPr>
          <w:rFonts w:ascii="Arial" w:eastAsiaTheme="minorEastAsia" w:hAnsi="Arial" w:cs="Arial"/>
          <w:i/>
          <w:iCs/>
          <w:bdr w:val="none" w:sz="0" w:space="0" w:color="auto"/>
        </w:rPr>
        <w:t xml:space="preserve"> The Journal of Rheumatology, 36</w:t>
      </w:r>
      <w:r w:rsidRPr="00CC7E17">
        <w:rPr>
          <w:rFonts w:ascii="Arial" w:eastAsiaTheme="minorEastAsia" w:hAnsi="Arial" w:cs="Arial"/>
          <w:bdr w:val="none" w:sz="0" w:space="0" w:color="auto"/>
        </w:rPr>
        <w:t>(8), 1744-1748. doi:10.3899/jrheum.080737; 10.3899/jrheum.080737</w:t>
      </w:r>
    </w:p>
    <w:p w14:paraId="372B0BE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Campo, A., Mathai, S. C., Le Pavec, J., Zaiman, A. L., Hummers, L. K., Boyce, D., et al. (2010). Hemodynamic predictors of survival in scleroderma-related pulmonary arterial hypertension.</w:t>
      </w:r>
      <w:r w:rsidRPr="00CC7E17">
        <w:rPr>
          <w:rFonts w:ascii="Arial" w:eastAsiaTheme="minorEastAsia" w:hAnsi="Arial" w:cs="Arial"/>
          <w:i/>
          <w:iCs/>
          <w:bdr w:val="none" w:sz="0" w:space="0" w:color="auto"/>
        </w:rPr>
        <w:t xml:space="preserve"> American Journal of Respiratory and Critical Care Medicine, 182</w:t>
      </w:r>
      <w:r w:rsidRPr="00CC7E17">
        <w:rPr>
          <w:rFonts w:ascii="Arial" w:eastAsiaTheme="minorEastAsia" w:hAnsi="Arial" w:cs="Arial"/>
          <w:bdr w:val="none" w:sz="0" w:space="0" w:color="auto"/>
        </w:rPr>
        <w:t>(2), 252-260. doi:10.1164/rccm.200912-1820OC; 10.1164/rccm.200912-1820OC</w:t>
      </w:r>
    </w:p>
    <w:p w14:paraId="0974CFA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Canto, J. G., Kiefe, C. I., Rogers, W. J., Peterson, E. D., Frederick, P. D., French, W. J., et al. (2011). Number of coronary heart disease risk factors and mortality in patients with first myocardial infarction.</w:t>
      </w:r>
      <w:r w:rsidRPr="00CC7E17">
        <w:rPr>
          <w:rFonts w:ascii="Arial" w:eastAsiaTheme="minorEastAsia" w:hAnsi="Arial" w:cs="Arial"/>
          <w:i/>
          <w:iCs/>
          <w:bdr w:val="none" w:sz="0" w:space="0" w:color="auto"/>
        </w:rPr>
        <w:t xml:space="preserve"> JAMA : The Journal of the American Medical Association, 306</w:t>
      </w:r>
      <w:r w:rsidRPr="00CC7E17">
        <w:rPr>
          <w:rFonts w:ascii="Arial" w:eastAsiaTheme="minorEastAsia" w:hAnsi="Arial" w:cs="Arial"/>
          <w:bdr w:val="none" w:sz="0" w:space="0" w:color="auto"/>
        </w:rPr>
        <w:t>(19), 2120-2127. doi:10.1001/jama.2011.1654; 10.1001/jama.2011.1654</w:t>
      </w:r>
    </w:p>
    <w:p w14:paraId="614DE8C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Cao, B., Li, X. W., Mao, Y., Wang, J., Lu, H. Z., Chen, Y. S., et al. (2009). Clinical features of the initial cases of 2009 pandemic influenza A (H1N1) virus infection in china.</w:t>
      </w:r>
      <w:r w:rsidRPr="00CC7E17">
        <w:rPr>
          <w:rFonts w:ascii="Arial" w:eastAsiaTheme="minorEastAsia" w:hAnsi="Arial" w:cs="Arial"/>
          <w:i/>
          <w:iCs/>
          <w:bdr w:val="none" w:sz="0" w:space="0" w:color="auto"/>
        </w:rPr>
        <w:t xml:space="preserve"> The New England Journal of Medicine, 361</w:t>
      </w:r>
      <w:r w:rsidRPr="00CC7E17">
        <w:rPr>
          <w:rFonts w:ascii="Arial" w:eastAsiaTheme="minorEastAsia" w:hAnsi="Arial" w:cs="Arial"/>
          <w:bdr w:val="none" w:sz="0" w:space="0" w:color="auto"/>
        </w:rPr>
        <w:t>(26), 2507-2517. doi:10.1056/NEJMoa0906612; 10.1056/NEJMoa0906612</w:t>
      </w:r>
    </w:p>
    <w:p w14:paraId="04E7978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Capelle, L. G., Van Grieken, N. C., Lingsma, H. F., Steyerberg, E. W., Klokman, W. J., Bruno, M. J., et al. (2010). Risk and epidemiological time trends of gastric cancer in lynch syndrome carriers in the netherlands.</w:t>
      </w:r>
      <w:r w:rsidRPr="00CC7E17">
        <w:rPr>
          <w:rFonts w:ascii="Arial" w:eastAsiaTheme="minorEastAsia" w:hAnsi="Arial" w:cs="Arial"/>
          <w:i/>
          <w:iCs/>
          <w:bdr w:val="none" w:sz="0" w:space="0" w:color="auto"/>
        </w:rPr>
        <w:t xml:space="preserve"> Gastroenterology, 138</w:t>
      </w:r>
      <w:r w:rsidRPr="00CC7E17">
        <w:rPr>
          <w:rFonts w:ascii="Arial" w:eastAsiaTheme="minorEastAsia" w:hAnsi="Arial" w:cs="Arial"/>
          <w:bdr w:val="none" w:sz="0" w:space="0" w:color="auto"/>
        </w:rPr>
        <w:t>(2), 487-492. doi:10.1053/j.gastro.2009.10.051; 10.1053/j.gastro.2009.10.051</w:t>
      </w:r>
    </w:p>
    <w:p w14:paraId="43ACADD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Carbonell-Estrany, X., Figueras-Aloy, J., Salcedo-Abizanda, S., de la Rosa-Fraile, M., &amp; Castrillo Study Group. (2008). Probable early-onset group B streptococcal neonatal sepsis: A serious clinical condition related to intrauterine infection.</w:t>
      </w:r>
      <w:r w:rsidRPr="00CC7E17">
        <w:rPr>
          <w:rFonts w:ascii="Arial" w:eastAsiaTheme="minorEastAsia" w:hAnsi="Arial" w:cs="Arial"/>
          <w:i/>
          <w:iCs/>
          <w:bdr w:val="none" w:sz="0" w:space="0" w:color="auto"/>
        </w:rPr>
        <w:t xml:space="preserve"> Archives of Disease in Childhood.Fetal and Neonatal Edition, 93</w:t>
      </w:r>
      <w:r w:rsidRPr="00CC7E17">
        <w:rPr>
          <w:rFonts w:ascii="Arial" w:eastAsiaTheme="minorEastAsia" w:hAnsi="Arial" w:cs="Arial"/>
          <w:bdr w:val="none" w:sz="0" w:space="0" w:color="auto"/>
        </w:rPr>
        <w:t>(2), F85-9. doi:10.1136/adc.2007.119958</w:t>
      </w:r>
    </w:p>
    <w:p w14:paraId="529714B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Carnethon, M. R., De Chavez, P. J., Biggs, M. L., Lewis, C. E., Pankow, J. S., Bertoni, A. G., et al. (2012). Association of weight status with mortality in adults with incident diabetes.</w:t>
      </w:r>
      <w:r w:rsidRPr="00CC7E17">
        <w:rPr>
          <w:rFonts w:ascii="Arial" w:eastAsiaTheme="minorEastAsia" w:hAnsi="Arial" w:cs="Arial"/>
          <w:i/>
          <w:iCs/>
          <w:bdr w:val="none" w:sz="0" w:space="0" w:color="auto"/>
        </w:rPr>
        <w:t xml:space="preserve"> JAMA : The Journal of the American Medical Association, 308</w:t>
      </w:r>
      <w:r w:rsidRPr="00CC7E17">
        <w:rPr>
          <w:rFonts w:ascii="Arial" w:eastAsiaTheme="minorEastAsia" w:hAnsi="Arial" w:cs="Arial"/>
          <w:bdr w:val="none" w:sz="0" w:space="0" w:color="auto"/>
        </w:rPr>
        <w:t>(6), 581-590. doi:10.1001/jama.2012.9282; 10.1001/jama.2012.9282</w:t>
      </w:r>
    </w:p>
    <w:p w14:paraId="090255A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Cestero, R. F., Plurad, D., Green, D., Inaba, K., Putty, B., Benfield, R., et al. (2009). Iliac artery injuries and pelvic fractures: A national trauma database analysis of associated injuries and outcomes.</w:t>
      </w:r>
      <w:r w:rsidRPr="00CC7E17">
        <w:rPr>
          <w:rFonts w:ascii="Arial" w:eastAsiaTheme="minorEastAsia" w:hAnsi="Arial" w:cs="Arial"/>
          <w:i/>
          <w:iCs/>
          <w:bdr w:val="none" w:sz="0" w:space="0" w:color="auto"/>
        </w:rPr>
        <w:t xml:space="preserve"> The Journal of Trauma, 67</w:t>
      </w:r>
      <w:r w:rsidRPr="00CC7E17">
        <w:rPr>
          <w:rFonts w:ascii="Arial" w:eastAsiaTheme="minorEastAsia" w:hAnsi="Arial" w:cs="Arial"/>
          <w:bdr w:val="none" w:sz="0" w:space="0" w:color="auto"/>
        </w:rPr>
        <w:t>(4), 715-718. doi:10.1097/TA.0b013e3181af6e88; 10.1097/TA.0b013e3181af6e88</w:t>
      </w:r>
    </w:p>
    <w:p w14:paraId="399C786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Chandratheva, A., Mehta, Z., Geraghty, O. C., Marquardt, L., Rothwell, P. M., &amp; Oxford Vascular Study. (2009). Population-based study of risk and predictors of stroke in the first few hours after a TIA.</w:t>
      </w:r>
      <w:r w:rsidRPr="00CC7E17">
        <w:rPr>
          <w:rFonts w:ascii="Arial" w:eastAsiaTheme="minorEastAsia" w:hAnsi="Arial" w:cs="Arial"/>
          <w:i/>
          <w:iCs/>
          <w:bdr w:val="none" w:sz="0" w:space="0" w:color="auto"/>
        </w:rPr>
        <w:t xml:space="preserve"> Neurology, 72</w:t>
      </w:r>
      <w:r w:rsidRPr="00CC7E17">
        <w:rPr>
          <w:rFonts w:ascii="Arial" w:eastAsiaTheme="minorEastAsia" w:hAnsi="Arial" w:cs="Arial"/>
          <w:bdr w:val="none" w:sz="0" w:space="0" w:color="auto"/>
        </w:rPr>
        <w:t>(22), 1941-1947. doi:10.1212/WNL.0b013e3181a826ad; 10.1212/WNL.0b013e3181a826ad</w:t>
      </w:r>
    </w:p>
    <w:p w14:paraId="42C2E81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Chau, V., Poskitt, K. J., McFadden, D. E., Bowen-Roberts, T., Synnes, A., Brant, R., et al. (2009). Effect of chorioamnionitis on brain development and injury in premature newborns.</w:t>
      </w:r>
      <w:r w:rsidRPr="00CC7E17">
        <w:rPr>
          <w:rFonts w:ascii="Arial" w:eastAsiaTheme="minorEastAsia" w:hAnsi="Arial" w:cs="Arial"/>
          <w:i/>
          <w:iCs/>
          <w:bdr w:val="none" w:sz="0" w:space="0" w:color="auto"/>
        </w:rPr>
        <w:t xml:space="preserve"> Annals of Neurology, 66</w:t>
      </w:r>
      <w:r w:rsidRPr="00CC7E17">
        <w:rPr>
          <w:rFonts w:ascii="Arial" w:eastAsiaTheme="minorEastAsia" w:hAnsi="Arial" w:cs="Arial"/>
          <w:bdr w:val="none" w:sz="0" w:space="0" w:color="auto"/>
        </w:rPr>
        <w:t>(2), 155-164. doi:10.1002/ana.21713; 10.1002/ana.21713</w:t>
      </w:r>
    </w:p>
    <w:p w14:paraId="4A4FC0A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Chen, M. J., Tseng, H. M., Huang, Y. L., Hsu, W. N., Yeh, K. W., Wu, T. L., et al. (2008). Long-term outcome and short-term survival of patients with systemic lupus erythematosus after bacteraemia episodes: 6-yr follow-up.</w:t>
      </w:r>
      <w:r w:rsidRPr="00CC7E17">
        <w:rPr>
          <w:rFonts w:ascii="Arial" w:eastAsiaTheme="minorEastAsia" w:hAnsi="Arial" w:cs="Arial"/>
          <w:i/>
          <w:iCs/>
          <w:bdr w:val="none" w:sz="0" w:space="0" w:color="auto"/>
        </w:rPr>
        <w:t xml:space="preserve"> Rheumatology (Oxford, England), 47</w:t>
      </w:r>
      <w:r w:rsidRPr="00CC7E17">
        <w:rPr>
          <w:rFonts w:ascii="Arial" w:eastAsiaTheme="minorEastAsia" w:hAnsi="Arial" w:cs="Arial"/>
          <w:bdr w:val="none" w:sz="0" w:space="0" w:color="auto"/>
        </w:rPr>
        <w:t>(9), 1352-1357. doi:10.1093/rheumatology/ken196; 10.1093/rheumatology/ken196</w:t>
      </w:r>
    </w:p>
    <w:p w14:paraId="709ECD3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Cheng, W. F., Chen, Y. L., You, S. L., Chen, C. J., Chen, Y. C., Hsieh, C. Y., et al. (2011). Risk of gynaecological malignancies in cytologically atypical glandular cells: Follow-up study of a nationwide screening population.</w:t>
      </w:r>
      <w:r w:rsidRPr="00CC7E17">
        <w:rPr>
          <w:rFonts w:ascii="Arial" w:eastAsiaTheme="minorEastAsia" w:hAnsi="Arial" w:cs="Arial"/>
          <w:i/>
          <w:iCs/>
          <w:bdr w:val="none" w:sz="0" w:space="0" w:color="auto"/>
        </w:rPr>
        <w:t xml:space="preserve"> BJOG : An International Journal of Obstetrics and Gynaecology, 118</w:t>
      </w:r>
      <w:r w:rsidRPr="00CC7E17">
        <w:rPr>
          <w:rFonts w:ascii="Arial" w:eastAsiaTheme="minorEastAsia" w:hAnsi="Arial" w:cs="Arial"/>
          <w:bdr w:val="none" w:sz="0" w:space="0" w:color="auto"/>
        </w:rPr>
        <w:t>(1), 34-41. doi:10.1111/j.1471-0528.2010.02769.x; 10.1111/j.1471-0528.2010.02769.x</w:t>
      </w:r>
    </w:p>
    <w:p w14:paraId="17347FB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Cherry, R. A., Bradburn, E., Carney, D. E., Shaffer, M. L., Gabbay, R. A., &amp; Cooney, R. N. (2006). Do early ionized calcium levels really matter in trauma patients?</w:t>
      </w:r>
      <w:r w:rsidRPr="00CC7E17">
        <w:rPr>
          <w:rFonts w:ascii="Arial" w:eastAsiaTheme="minorEastAsia" w:hAnsi="Arial" w:cs="Arial"/>
          <w:i/>
          <w:iCs/>
          <w:bdr w:val="none" w:sz="0" w:space="0" w:color="auto"/>
        </w:rPr>
        <w:t xml:space="preserve"> The Journal of Trauma, 61</w:t>
      </w:r>
      <w:r w:rsidRPr="00CC7E17">
        <w:rPr>
          <w:rFonts w:ascii="Arial" w:eastAsiaTheme="minorEastAsia" w:hAnsi="Arial" w:cs="Arial"/>
          <w:bdr w:val="none" w:sz="0" w:space="0" w:color="auto"/>
        </w:rPr>
        <w:t>(4), 774-779. doi:10.1097/01.ta.0000239516.49799.63</w:t>
      </w:r>
    </w:p>
    <w:p w14:paraId="54137DB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Chung, W. S., Lin, C. L., Sung, F. C., Hsu, W. H., Chen, Y. F., &amp; Kao, C. H. (2014). Increased risks of deep vein thrombosis and pulmonary embolism in sjogren syndrome: A nationwide cohort study.</w:t>
      </w:r>
      <w:r w:rsidRPr="00CC7E17">
        <w:rPr>
          <w:rFonts w:ascii="Arial" w:eastAsiaTheme="minorEastAsia" w:hAnsi="Arial" w:cs="Arial"/>
          <w:i/>
          <w:iCs/>
          <w:bdr w:val="none" w:sz="0" w:space="0" w:color="auto"/>
        </w:rPr>
        <w:t xml:space="preserve"> The Journal of Rheumatology, 41</w:t>
      </w:r>
      <w:r w:rsidRPr="00CC7E17">
        <w:rPr>
          <w:rFonts w:ascii="Arial" w:eastAsiaTheme="minorEastAsia" w:hAnsi="Arial" w:cs="Arial"/>
          <w:bdr w:val="none" w:sz="0" w:space="0" w:color="auto"/>
        </w:rPr>
        <w:t>(5), 909-915. doi:10.3899/jrheum.131345; 10.3899/jrheum.131345</w:t>
      </w:r>
    </w:p>
    <w:p w14:paraId="0ACBD71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Chung, W. S., Lin, C. L., Sung, F. C., Hsu, W. H., Yang, W. T., Lu, C. C., et al. (2014). Systemic sclerosis increases the risks of deep vein thrombosis and pulmonary thromboembolism: A nationwide cohort study.</w:t>
      </w:r>
      <w:r w:rsidRPr="00CC7E17">
        <w:rPr>
          <w:rFonts w:ascii="Arial" w:eastAsiaTheme="minorEastAsia" w:hAnsi="Arial" w:cs="Arial"/>
          <w:i/>
          <w:iCs/>
          <w:bdr w:val="none" w:sz="0" w:space="0" w:color="auto"/>
        </w:rPr>
        <w:t xml:space="preserve"> Rheumatology (Oxford, England), 53</w:t>
      </w:r>
      <w:r w:rsidRPr="00CC7E17">
        <w:rPr>
          <w:rFonts w:ascii="Arial" w:eastAsiaTheme="minorEastAsia" w:hAnsi="Arial" w:cs="Arial"/>
          <w:bdr w:val="none" w:sz="0" w:space="0" w:color="auto"/>
        </w:rPr>
        <w:t>(9), 1639-1645. doi:10.1093/rheumatology/keu133; 10.1093/rheumatology/keu133</w:t>
      </w:r>
    </w:p>
    <w:p w14:paraId="4906500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Concato, J., Jain, D., Uchio, E., Risch, H., Li, W. W., &amp; Wells, C. K. (2009). Molecular markers and death from prostate cancer.</w:t>
      </w:r>
      <w:r w:rsidRPr="00CC7E17">
        <w:rPr>
          <w:rFonts w:ascii="Arial" w:eastAsiaTheme="minorEastAsia" w:hAnsi="Arial" w:cs="Arial"/>
          <w:i/>
          <w:iCs/>
          <w:bdr w:val="none" w:sz="0" w:space="0" w:color="auto"/>
        </w:rPr>
        <w:t xml:space="preserve"> Annals of Internal Medicine, 150</w:t>
      </w:r>
      <w:r w:rsidRPr="00CC7E17">
        <w:rPr>
          <w:rFonts w:ascii="Arial" w:eastAsiaTheme="minorEastAsia" w:hAnsi="Arial" w:cs="Arial"/>
          <w:bdr w:val="none" w:sz="0" w:space="0" w:color="auto"/>
        </w:rPr>
        <w:t>(9), 595-603.</w:t>
      </w:r>
    </w:p>
    <w:p w14:paraId="12385CB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Conen, D., Melly, L., Kaufmann, C., Bilz, S., Ammann, P., Schaer, B., et al. (2007). Amiodarone-induced thyrotoxicosis: Clinical course and predictors of outcome.</w:t>
      </w:r>
      <w:r w:rsidRPr="00CC7E17">
        <w:rPr>
          <w:rFonts w:ascii="Arial" w:eastAsiaTheme="minorEastAsia" w:hAnsi="Arial" w:cs="Arial"/>
          <w:i/>
          <w:iCs/>
          <w:bdr w:val="none" w:sz="0" w:space="0" w:color="auto"/>
        </w:rPr>
        <w:t xml:space="preserve"> Journal of the American College of Cardiology, 49</w:t>
      </w:r>
      <w:r w:rsidRPr="00CC7E17">
        <w:rPr>
          <w:rFonts w:ascii="Arial" w:eastAsiaTheme="minorEastAsia" w:hAnsi="Arial" w:cs="Arial"/>
          <w:bdr w:val="none" w:sz="0" w:space="0" w:color="auto"/>
        </w:rPr>
        <w:t>(24), 2350-2355. doi:10.1016/j.jacc.2007.02.054</w:t>
      </w:r>
    </w:p>
    <w:p w14:paraId="1749488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Copelovitch, L., &amp; Kaplan, B. S. (2010). Streptococcus pneumoniae--associated hemolytic uremic syndrome: Classification and the emergence of serotype 19A.</w:t>
      </w:r>
      <w:r w:rsidRPr="00CC7E17">
        <w:rPr>
          <w:rFonts w:ascii="Arial" w:eastAsiaTheme="minorEastAsia" w:hAnsi="Arial" w:cs="Arial"/>
          <w:i/>
          <w:iCs/>
          <w:bdr w:val="none" w:sz="0" w:space="0" w:color="auto"/>
        </w:rPr>
        <w:t xml:space="preserve"> Pediatrics, 125</w:t>
      </w:r>
      <w:r w:rsidRPr="00CC7E17">
        <w:rPr>
          <w:rFonts w:ascii="Arial" w:eastAsiaTheme="minorEastAsia" w:hAnsi="Arial" w:cs="Arial"/>
          <w:bdr w:val="none" w:sz="0" w:space="0" w:color="auto"/>
        </w:rPr>
        <w:t>(1), e174-82. doi:10.1542/peds.2007-2017; 10.1542/peds.2007-2017</w:t>
      </w:r>
    </w:p>
    <w:p w14:paraId="716FFC1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Coutinho, T., Goel, K., Correa de Sa, D., Kragelund, C., Kanaya, A. M., Zeller, M., et al. (2011). Central obesity and survival in subjects with coronary artery disease: A systematic review of the literature and collaborative analysis with individual subject data.</w:t>
      </w:r>
      <w:r w:rsidRPr="00CC7E17">
        <w:rPr>
          <w:rFonts w:ascii="Arial" w:eastAsiaTheme="minorEastAsia" w:hAnsi="Arial" w:cs="Arial"/>
          <w:i/>
          <w:iCs/>
          <w:bdr w:val="none" w:sz="0" w:space="0" w:color="auto"/>
        </w:rPr>
        <w:t xml:space="preserve"> Journal of the American College of Cardiology, 57</w:t>
      </w:r>
      <w:r w:rsidRPr="00CC7E17">
        <w:rPr>
          <w:rFonts w:ascii="Arial" w:eastAsiaTheme="minorEastAsia" w:hAnsi="Arial" w:cs="Arial"/>
          <w:bdr w:val="none" w:sz="0" w:space="0" w:color="auto"/>
        </w:rPr>
        <w:t>(19), 1877-1886. doi:10.1016/j.jacc.2010.11.058; 10.1016/j.jacc.2010.11.058</w:t>
      </w:r>
    </w:p>
    <w:p w14:paraId="70260BA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Crothers, K., Huang, L., Goulet, J. L., Goetz, M. B., Brown, S. T., Rodriguez-Barradas, M. C., et al. (2011). HIV infection and risk for incident pulmonary diseases in the combination antiretroviral therapy era.</w:t>
      </w:r>
      <w:r w:rsidRPr="00CC7E17">
        <w:rPr>
          <w:rFonts w:ascii="Arial" w:eastAsiaTheme="minorEastAsia" w:hAnsi="Arial" w:cs="Arial"/>
          <w:i/>
          <w:iCs/>
          <w:bdr w:val="none" w:sz="0" w:space="0" w:color="auto"/>
        </w:rPr>
        <w:t xml:space="preserve"> American Journal of Respiratory and Critical Care Medicine, 183</w:t>
      </w:r>
      <w:r w:rsidRPr="00CC7E17">
        <w:rPr>
          <w:rFonts w:ascii="Arial" w:eastAsiaTheme="minorEastAsia" w:hAnsi="Arial" w:cs="Arial"/>
          <w:bdr w:val="none" w:sz="0" w:space="0" w:color="auto"/>
        </w:rPr>
        <w:t>(3), 388-395. doi:10.1164/rccm.201006-0836OC; 10.1164/rccm.201006-0836OC</w:t>
      </w:r>
    </w:p>
    <w:p w14:paraId="7E9968F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Crowson, C. S., Nicola, P. J., Kremers, H. M., O'Fallon, W. M., Therneau, T. M., Jacobsen, S. J., et al. (2005). How much of the increased incidence of heart failure in rheumatoid arthritis is attributable to traditional cardiovascular risk factors and ischemic heart disease?</w:t>
      </w:r>
      <w:r w:rsidRPr="00CC7E17">
        <w:rPr>
          <w:rFonts w:ascii="Arial" w:eastAsiaTheme="minorEastAsia" w:hAnsi="Arial" w:cs="Arial"/>
          <w:i/>
          <w:iCs/>
          <w:bdr w:val="none" w:sz="0" w:space="0" w:color="auto"/>
        </w:rPr>
        <w:t xml:space="preserve"> Arthritis and Rheumatism, 52</w:t>
      </w:r>
      <w:r w:rsidRPr="00CC7E17">
        <w:rPr>
          <w:rFonts w:ascii="Arial" w:eastAsiaTheme="minorEastAsia" w:hAnsi="Arial" w:cs="Arial"/>
          <w:bdr w:val="none" w:sz="0" w:space="0" w:color="auto"/>
        </w:rPr>
        <w:t>(10), 3039-3044. doi:10.1002/art.21349</w:t>
      </w:r>
    </w:p>
    <w:p w14:paraId="5E5CDC9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Crum-Cianflone, N., Hullsiek, K. H., Satter, E., Marconi, V., Weintrob, A., Ganesan, A., et al. (2009). Cutaneous malignancies among HIV-infected persons.</w:t>
      </w:r>
      <w:r w:rsidRPr="00CC7E17">
        <w:rPr>
          <w:rFonts w:ascii="Arial" w:eastAsiaTheme="minorEastAsia" w:hAnsi="Arial" w:cs="Arial"/>
          <w:i/>
          <w:iCs/>
          <w:bdr w:val="none" w:sz="0" w:space="0" w:color="auto"/>
        </w:rPr>
        <w:t xml:space="preserve"> Archives of Internal Medicine, 169</w:t>
      </w:r>
      <w:r w:rsidRPr="00CC7E17">
        <w:rPr>
          <w:rFonts w:ascii="Arial" w:eastAsiaTheme="minorEastAsia" w:hAnsi="Arial" w:cs="Arial"/>
          <w:bdr w:val="none" w:sz="0" w:space="0" w:color="auto"/>
        </w:rPr>
        <w:t>(12), 1130-1138. doi:10.1001/archinternmed.2009.104; 10.1001/archinternmed.2009.104</w:t>
      </w:r>
    </w:p>
    <w:p w14:paraId="2B8684D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Curvers, W. L., ten Kate, F. J., Krishnadath, K. K., Visser, M., Elzer, B., Baak, L. C., et al. (2010). Low-grade dysplasia in barrett's esophagus: Overdiagnosed and underestimated.</w:t>
      </w:r>
      <w:r w:rsidRPr="00CC7E17">
        <w:rPr>
          <w:rFonts w:ascii="Arial" w:eastAsiaTheme="minorEastAsia" w:hAnsi="Arial" w:cs="Arial"/>
          <w:i/>
          <w:iCs/>
          <w:bdr w:val="none" w:sz="0" w:space="0" w:color="auto"/>
        </w:rPr>
        <w:t xml:space="preserve"> The American Journal of Gastroenterology, 105</w:t>
      </w:r>
      <w:r w:rsidRPr="00CC7E17">
        <w:rPr>
          <w:rFonts w:ascii="Arial" w:eastAsiaTheme="minorEastAsia" w:hAnsi="Arial" w:cs="Arial"/>
          <w:bdr w:val="none" w:sz="0" w:space="0" w:color="auto"/>
        </w:rPr>
        <w:t>(7), 1523-1530. doi:10.1038/ajg.2010.171; 10.1038/ajg.2010.171</w:t>
      </w:r>
    </w:p>
    <w:p w14:paraId="62A3D21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Danon, D., Sekar, R., Hack, K. E., &amp; Fisk, N. M. (2013). Increased stillbirth in uncomplicated monochorionic twin pregnancies: A systematic review and meta-analysis.</w:t>
      </w:r>
      <w:r w:rsidRPr="00CC7E17">
        <w:rPr>
          <w:rFonts w:ascii="Arial" w:eastAsiaTheme="minorEastAsia" w:hAnsi="Arial" w:cs="Arial"/>
          <w:i/>
          <w:iCs/>
          <w:bdr w:val="none" w:sz="0" w:space="0" w:color="auto"/>
        </w:rPr>
        <w:t xml:space="preserve"> Obstetrics and Gynecology, 121</w:t>
      </w:r>
      <w:r w:rsidRPr="00CC7E17">
        <w:rPr>
          <w:rFonts w:ascii="Arial" w:eastAsiaTheme="minorEastAsia" w:hAnsi="Arial" w:cs="Arial"/>
          <w:bdr w:val="none" w:sz="0" w:space="0" w:color="auto"/>
        </w:rPr>
        <w:t>(6), 1318-1326. doi:10.1097/AOG.0b013e318292766b; 10.1097/AOG.0b013e318292766b</w:t>
      </w:r>
    </w:p>
    <w:p w14:paraId="41C0E62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Darwish Murad, S., Plessier, A., Hernandez-Guerra, M., Fabris, F., Eapen, C. E., Bahr, M. J., et al. (2009). Etiology, management, and outcome of the budd-chiari syndrome.</w:t>
      </w:r>
      <w:r w:rsidRPr="00CC7E17">
        <w:rPr>
          <w:rFonts w:ascii="Arial" w:eastAsiaTheme="minorEastAsia" w:hAnsi="Arial" w:cs="Arial"/>
          <w:i/>
          <w:iCs/>
          <w:bdr w:val="none" w:sz="0" w:space="0" w:color="auto"/>
        </w:rPr>
        <w:t xml:space="preserve"> Annals of Internal Medicine, 151</w:t>
      </w:r>
      <w:r w:rsidRPr="00CC7E17">
        <w:rPr>
          <w:rFonts w:ascii="Arial" w:eastAsiaTheme="minorEastAsia" w:hAnsi="Arial" w:cs="Arial"/>
          <w:bdr w:val="none" w:sz="0" w:space="0" w:color="auto"/>
        </w:rPr>
        <w:t>(3), 167-175.</w:t>
      </w:r>
    </w:p>
    <w:p w14:paraId="204B09F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Datin-Dorriere, V., Rouzies, S., Taupin, P., Walter-Nicolet, E., Benachi, A., Sonigo, P., et al. (2008). Prenatal prognosis in isolated congenital diaphragmatic hernia.</w:t>
      </w:r>
      <w:r w:rsidRPr="00CC7E17">
        <w:rPr>
          <w:rFonts w:ascii="Arial" w:eastAsiaTheme="minorEastAsia" w:hAnsi="Arial" w:cs="Arial"/>
          <w:i/>
          <w:iCs/>
          <w:bdr w:val="none" w:sz="0" w:space="0" w:color="auto"/>
        </w:rPr>
        <w:t xml:space="preserve"> American Journal of Obstetrics and Gynecology, 198</w:t>
      </w:r>
      <w:r w:rsidRPr="00CC7E17">
        <w:rPr>
          <w:rFonts w:ascii="Arial" w:eastAsiaTheme="minorEastAsia" w:hAnsi="Arial" w:cs="Arial"/>
          <w:bdr w:val="none" w:sz="0" w:space="0" w:color="auto"/>
        </w:rPr>
        <w:t>(1), 80.e1-80.e5. doi:10.1016/j.ajog.2007.06.069; 10.1016/j.ajog.2007.06.069</w:t>
      </w:r>
    </w:p>
    <w:p w14:paraId="79C921D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de Boer, I. H., Rue, T. C., Cleary, P. A., Lachin, J. M., Molitch, M. E., Steffes, M. W., et al. (2011). Long-term renal outcomes of patients with type 1 diabetes mellitus and microalbuminuria: An analysis of the diabetes control and complications Trial/Epidemiology of diabetes interventions and complications cohort.</w:t>
      </w:r>
      <w:r w:rsidRPr="00CC7E17">
        <w:rPr>
          <w:rFonts w:ascii="Arial" w:eastAsiaTheme="minorEastAsia" w:hAnsi="Arial" w:cs="Arial"/>
          <w:i/>
          <w:iCs/>
          <w:bdr w:val="none" w:sz="0" w:space="0" w:color="auto"/>
        </w:rPr>
        <w:t xml:space="preserve"> Archives of Internal Medicine, 171</w:t>
      </w:r>
      <w:r w:rsidRPr="00CC7E17">
        <w:rPr>
          <w:rFonts w:ascii="Arial" w:eastAsiaTheme="minorEastAsia" w:hAnsi="Arial" w:cs="Arial"/>
          <w:bdr w:val="none" w:sz="0" w:space="0" w:color="auto"/>
        </w:rPr>
        <w:t>(5), 412-420. doi:10.1001/archinternmed.2011.16; 10.1001/archinternmed.2011.16</w:t>
      </w:r>
    </w:p>
    <w:p w14:paraId="342507C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Decker, J. A., Rossano, J. W., Smith, E. O., Cannon, B., Clunie, S. K., Gates, C., et al. (2009). Risk factors and mode of death in isolated hypertrophic cardiomyopathy in children.</w:t>
      </w:r>
      <w:r w:rsidRPr="00CC7E17">
        <w:rPr>
          <w:rFonts w:ascii="Arial" w:eastAsiaTheme="minorEastAsia" w:hAnsi="Arial" w:cs="Arial"/>
          <w:i/>
          <w:iCs/>
          <w:bdr w:val="none" w:sz="0" w:space="0" w:color="auto"/>
        </w:rPr>
        <w:t xml:space="preserve"> Journal of the American College of Cardiology, 54</w:t>
      </w:r>
      <w:r w:rsidRPr="00CC7E17">
        <w:rPr>
          <w:rFonts w:ascii="Arial" w:eastAsiaTheme="minorEastAsia" w:hAnsi="Arial" w:cs="Arial"/>
          <w:bdr w:val="none" w:sz="0" w:space="0" w:color="auto"/>
        </w:rPr>
        <w:t>(3), 250-254. doi:10.1016/j.jacc.2009.03.051; 10.1016/j.jacc.2009.03.051</w:t>
      </w:r>
    </w:p>
    <w:p w14:paraId="0BA85E1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Dhamoon, M. S., Moon, Y. P., Paik, M. C., Boden-Albala, B., Rundek, T., Sacco, R. L., et al. (2009). Long-term functional recovery after first ischemic stroke: The northern manhattan study.</w:t>
      </w:r>
      <w:r w:rsidRPr="00CC7E17">
        <w:rPr>
          <w:rFonts w:ascii="Arial" w:eastAsiaTheme="minorEastAsia" w:hAnsi="Arial" w:cs="Arial"/>
          <w:i/>
          <w:iCs/>
          <w:bdr w:val="none" w:sz="0" w:space="0" w:color="auto"/>
        </w:rPr>
        <w:t xml:space="preserve"> Stroke; a Journal of Cerebral Circulation, 40</w:t>
      </w:r>
      <w:r w:rsidRPr="00CC7E17">
        <w:rPr>
          <w:rFonts w:ascii="Arial" w:eastAsiaTheme="minorEastAsia" w:hAnsi="Arial" w:cs="Arial"/>
          <w:bdr w:val="none" w:sz="0" w:space="0" w:color="auto"/>
        </w:rPr>
        <w:t>(8), 2805-2811. doi:10.1161/STROKEAHA.109.549576; 10.1161/STROKEAHA.109.549576</w:t>
      </w:r>
    </w:p>
    <w:p w14:paraId="552EA1C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Dominguez-Cherit, G., Lapinsky, S. E., Macias, A. E., Pinto, R., Espinosa-Perez, L., de la Torre, A., et al. (2009). Critically ill patients with 2009 influenza A(H1N1) in mexico.</w:t>
      </w:r>
      <w:r w:rsidRPr="00CC7E17">
        <w:rPr>
          <w:rFonts w:ascii="Arial" w:eastAsiaTheme="minorEastAsia" w:hAnsi="Arial" w:cs="Arial"/>
          <w:i/>
          <w:iCs/>
          <w:bdr w:val="none" w:sz="0" w:space="0" w:color="auto"/>
        </w:rPr>
        <w:t xml:space="preserve"> JAMA : The Journal of the American Medical Association, 302</w:t>
      </w:r>
      <w:r w:rsidRPr="00CC7E17">
        <w:rPr>
          <w:rFonts w:ascii="Arial" w:eastAsiaTheme="minorEastAsia" w:hAnsi="Arial" w:cs="Arial"/>
          <w:bdr w:val="none" w:sz="0" w:space="0" w:color="auto"/>
        </w:rPr>
        <w:t>(17), 1880-1887. doi:10.1001/jama.2009.1536; 10.1001/jama.2009.1536</w:t>
      </w:r>
    </w:p>
    <w:p w14:paraId="790107B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Donohue, P. K., Boss, R. D., Shepard, J., Graham, E., &amp; Allen, M. C. (2009). Intervention at the border of viability: Perspective over a decade.</w:t>
      </w:r>
      <w:r w:rsidRPr="00CC7E17">
        <w:rPr>
          <w:rFonts w:ascii="Arial" w:eastAsiaTheme="minorEastAsia" w:hAnsi="Arial" w:cs="Arial"/>
          <w:i/>
          <w:iCs/>
          <w:bdr w:val="none" w:sz="0" w:space="0" w:color="auto"/>
        </w:rPr>
        <w:t xml:space="preserve"> Archives of Pediatrics &amp; Adolescent Medicine, 163</w:t>
      </w:r>
      <w:r w:rsidRPr="00CC7E17">
        <w:rPr>
          <w:rFonts w:ascii="Arial" w:eastAsiaTheme="minorEastAsia" w:hAnsi="Arial" w:cs="Arial"/>
          <w:bdr w:val="none" w:sz="0" w:space="0" w:color="auto"/>
        </w:rPr>
        <w:t>(10), 902-906. doi:10.1001/archpediatrics.2009.161; 10.1001/archpediatrics.2009.161</w:t>
      </w:r>
    </w:p>
    <w:p w14:paraId="3791C8B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Douketis, J. D., Gu, C. S., Schulman, S., Ghirarduzzi, A., Pengo, V., &amp; Prandoni, P. (2007). The risk for fatal pulmonary embolism after discontinuing anticoagulant therapy for venous thromboembolism.</w:t>
      </w:r>
      <w:r w:rsidRPr="00CC7E17">
        <w:rPr>
          <w:rFonts w:ascii="Arial" w:eastAsiaTheme="minorEastAsia" w:hAnsi="Arial" w:cs="Arial"/>
          <w:i/>
          <w:iCs/>
          <w:bdr w:val="none" w:sz="0" w:space="0" w:color="auto"/>
        </w:rPr>
        <w:t xml:space="preserve"> Annals of Internal Medicine, 147</w:t>
      </w:r>
      <w:r w:rsidRPr="00CC7E17">
        <w:rPr>
          <w:rFonts w:ascii="Arial" w:eastAsiaTheme="minorEastAsia" w:hAnsi="Arial" w:cs="Arial"/>
          <w:bdr w:val="none" w:sz="0" w:space="0" w:color="auto"/>
        </w:rPr>
        <w:t>(11), 766-774.</w:t>
      </w:r>
    </w:p>
    <w:p w14:paraId="6ECD775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Dudas, K., Lappas, G., Stewart, S., &amp; Rosengren, A. (2011). Trends in out-of-hospital deaths due to coronary heart disease in sweden (1991 to 2006).</w:t>
      </w:r>
      <w:r w:rsidRPr="00CC7E17">
        <w:rPr>
          <w:rFonts w:ascii="Arial" w:eastAsiaTheme="minorEastAsia" w:hAnsi="Arial" w:cs="Arial"/>
          <w:i/>
          <w:iCs/>
          <w:bdr w:val="none" w:sz="0" w:space="0" w:color="auto"/>
        </w:rPr>
        <w:t xml:space="preserve"> Circulation, 123</w:t>
      </w:r>
      <w:r w:rsidRPr="00CC7E17">
        <w:rPr>
          <w:rFonts w:ascii="Arial" w:eastAsiaTheme="minorEastAsia" w:hAnsi="Arial" w:cs="Arial"/>
          <w:bdr w:val="none" w:sz="0" w:space="0" w:color="auto"/>
        </w:rPr>
        <w:t>(1), 46-52. doi:10.1161/CIRCULATIONAHA.110.964999; 10.1161/CIRCULATIONAHA.110.964999</w:t>
      </w:r>
    </w:p>
    <w:p w14:paraId="5B67DED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Durand, M., &amp; Thomas, S. L. (2012). Incidence of infections in patients with giant cell arteritis: A cohort study.</w:t>
      </w:r>
      <w:r w:rsidRPr="00CC7E17">
        <w:rPr>
          <w:rFonts w:ascii="Arial" w:eastAsiaTheme="minorEastAsia" w:hAnsi="Arial" w:cs="Arial"/>
          <w:i/>
          <w:iCs/>
          <w:bdr w:val="none" w:sz="0" w:space="0" w:color="auto"/>
        </w:rPr>
        <w:t xml:space="preserve"> Arthritis Care &amp; Research, 64</w:t>
      </w:r>
      <w:r w:rsidRPr="00CC7E17">
        <w:rPr>
          <w:rFonts w:ascii="Arial" w:eastAsiaTheme="minorEastAsia" w:hAnsi="Arial" w:cs="Arial"/>
          <w:bdr w:val="none" w:sz="0" w:space="0" w:color="auto"/>
        </w:rPr>
        <w:t>(4), 581-588. doi:10.1002/acr.21569; 10.1002/acr.21569</w:t>
      </w:r>
    </w:p>
    <w:p w14:paraId="3ADC5B0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Efstathiou, S. P., Tsioulos, D. I., Tsiakou, A. G., Gratsias, Y. E., Pefanis, A. V., &amp; Mountokalakis, T. D. (2005). Plasma adiponectin levels and five-year survival after first-ever ischemic stroke.</w:t>
      </w:r>
      <w:r w:rsidRPr="00CC7E17">
        <w:rPr>
          <w:rFonts w:ascii="Arial" w:eastAsiaTheme="minorEastAsia" w:hAnsi="Arial" w:cs="Arial"/>
          <w:i/>
          <w:iCs/>
          <w:bdr w:val="none" w:sz="0" w:space="0" w:color="auto"/>
        </w:rPr>
        <w:t xml:space="preserve"> Stroke; a Journal of Cerebral Circulation, 36</w:t>
      </w:r>
      <w:r w:rsidRPr="00CC7E17">
        <w:rPr>
          <w:rFonts w:ascii="Arial" w:eastAsiaTheme="minorEastAsia" w:hAnsi="Arial" w:cs="Arial"/>
          <w:bdr w:val="none" w:sz="0" w:space="0" w:color="auto"/>
        </w:rPr>
        <w:t>(9), 1915-1919. doi:10.1161/01.STR.0000177874.29849.f0</w:t>
      </w:r>
    </w:p>
    <w:p w14:paraId="329D30F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El Karoui, K., Hill, G. S., Karras, A., Jacquot, C., Moulonguet, L., Kourilsky, O., et al. (2012). A clinicopathologic study of thrombotic microangiopathy in IgA nephropathy.</w:t>
      </w:r>
      <w:r w:rsidRPr="00CC7E17">
        <w:rPr>
          <w:rFonts w:ascii="Arial" w:eastAsiaTheme="minorEastAsia" w:hAnsi="Arial" w:cs="Arial"/>
          <w:i/>
          <w:iCs/>
          <w:bdr w:val="none" w:sz="0" w:space="0" w:color="auto"/>
        </w:rPr>
        <w:t xml:space="preserve"> Journal of the American Society of Nephrology : JASN, 23</w:t>
      </w:r>
      <w:r w:rsidRPr="00CC7E17">
        <w:rPr>
          <w:rFonts w:ascii="Arial" w:eastAsiaTheme="minorEastAsia" w:hAnsi="Arial" w:cs="Arial"/>
          <w:bdr w:val="none" w:sz="0" w:space="0" w:color="auto"/>
        </w:rPr>
        <w:t>(1), 137-148. doi:10.1681/ASN.2010111130; 10.1681/ASN.2010111130</w:t>
      </w:r>
    </w:p>
    <w:p w14:paraId="536BBB7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Elmberg, M., Hultcrantz, R., Simard, J. F., Carlsson, A., &amp; Askling, J. (2013). Increased risk of arthropathies and joint replacement surgery in patients with genetic hemochromatosis: A study of 3,531 patients and their 11,794 first-degree relatives.</w:t>
      </w:r>
      <w:r w:rsidRPr="00CC7E17">
        <w:rPr>
          <w:rFonts w:ascii="Arial" w:eastAsiaTheme="minorEastAsia" w:hAnsi="Arial" w:cs="Arial"/>
          <w:i/>
          <w:iCs/>
          <w:bdr w:val="none" w:sz="0" w:space="0" w:color="auto"/>
        </w:rPr>
        <w:t xml:space="preserve"> Arthritis Care &amp; Research, 65</w:t>
      </w:r>
      <w:r w:rsidRPr="00CC7E17">
        <w:rPr>
          <w:rFonts w:ascii="Arial" w:eastAsiaTheme="minorEastAsia" w:hAnsi="Arial" w:cs="Arial"/>
          <w:bdr w:val="none" w:sz="0" w:space="0" w:color="auto"/>
        </w:rPr>
        <w:t>(5), 678-685. doi:10.1002/acr.21883; 10.1002/acr.21883</w:t>
      </w:r>
    </w:p>
    <w:p w14:paraId="670367E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Eriksen, B. O., &amp; Ingebretsen, O. C. (2006). The progression of chronic kidney disease: A 10-year population-based study of the effects of gender and age.</w:t>
      </w:r>
      <w:r w:rsidRPr="00CC7E17">
        <w:rPr>
          <w:rFonts w:ascii="Arial" w:eastAsiaTheme="minorEastAsia" w:hAnsi="Arial" w:cs="Arial"/>
          <w:i/>
          <w:iCs/>
          <w:bdr w:val="none" w:sz="0" w:space="0" w:color="auto"/>
        </w:rPr>
        <w:t xml:space="preserve"> Kidney International, 69</w:t>
      </w:r>
      <w:r w:rsidRPr="00CC7E17">
        <w:rPr>
          <w:rFonts w:ascii="Arial" w:eastAsiaTheme="minorEastAsia" w:hAnsi="Arial" w:cs="Arial"/>
          <w:bdr w:val="none" w:sz="0" w:space="0" w:color="auto"/>
        </w:rPr>
        <w:t>(2), 375-382. doi:10.1038/sj.ki.5000058</w:t>
      </w:r>
    </w:p>
    <w:p w14:paraId="08B5A7B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Estraneo, A., Moretta, P., Loreto, V., Lanzillo, B., Santoro, L., &amp; Trojano, L. (2010). Late recovery after traumatic, anoxic, or hemorrhagic long-lasting vegetative state.</w:t>
      </w:r>
      <w:r w:rsidRPr="00CC7E17">
        <w:rPr>
          <w:rFonts w:ascii="Arial" w:eastAsiaTheme="minorEastAsia" w:hAnsi="Arial" w:cs="Arial"/>
          <w:i/>
          <w:iCs/>
          <w:bdr w:val="none" w:sz="0" w:space="0" w:color="auto"/>
        </w:rPr>
        <w:t xml:space="preserve"> Neurology, 75</w:t>
      </w:r>
      <w:r w:rsidRPr="00CC7E17">
        <w:rPr>
          <w:rFonts w:ascii="Arial" w:eastAsiaTheme="minorEastAsia" w:hAnsi="Arial" w:cs="Arial"/>
          <w:bdr w:val="none" w:sz="0" w:space="0" w:color="auto"/>
        </w:rPr>
        <w:t>(3), 239-245. doi:10.1212/WNL.0b013e3181e8e8cc; 10.1212/WNL.0b013e3181e8e8cc</w:t>
      </w:r>
    </w:p>
    <w:p w14:paraId="3BEFE40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Evans, M., Fryzek, J. P., Elinder, C. G., Cohen, S. S., McLaughlin, J. K., Nyren, O., et al. (2005). The natural history of chronic renal failure: Results from an unselected, population-based, inception cohort in sweden.</w:t>
      </w:r>
      <w:r w:rsidRPr="00CC7E17">
        <w:rPr>
          <w:rFonts w:ascii="Arial" w:eastAsiaTheme="minorEastAsia" w:hAnsi="Arial" w:cs="Arial"/>
          <w:i/>
          <w:iCs/>
          <w:bdr w:val="none" w:sz="0" w:space="0" w:color="auto"/>
        </w:rPr>
        <w:t xml:space="preserve"> American Journal of Kidney Diseases : The Official Journal of the National Kidney Foundation, 46</w:t>
      </w:r>
      <w:r w:rsidRPr="00CC7E17">
        <w:rPr>
          <w:rFonts w:ascii="Arial" w:eastAsiaTheme="minorEastAsia" w:hAnsi="Arial" w:cs="Arial"/>
          <w:bdr w:val="none" w:sz="0" w:space="0" w:color="auto"/>
        </w:rPr>
        <w:t>(5), 863-870. doi:10.1053/j.ajkd.2005.07.040</w:t>
      </w:r>
    </w:p>
    <w:p w14:paraId="7D0CDF5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Ezeamama, A. E., Spiegelman, D., Hertzmark, E., Bosch, R. J., Manji, K. P., Duggan, C., et al. (2012). HIV infection and the incidence of malaria among HIV-exposed children from tanzania.</w:t>
      </w:r>
      <w:r w:rsidRPr="00CC7E17">
        <w:rPr>
          <w:rFonts w:ascii="Arial" w:eastAsiaTheme="minorEastAsia" w:hAnsi="Arial" w:cs="Arial"/>
          <w:i/>
          <w:iCs/>
          <w:bdr w:val="none" w:sz="0" w:space="0" w:color="auto"/>
        </w:rPr>
        <w:t xml:space="preserve"> The Journal of Infectious Diseases, 205</w:t>
      </w:r>
      <w:r w:rsidRPr="00CC7E17">
        <w:rPr>
          <w:rFonts w:ascii="Arial" w:eastAsiaTheme="minorEastAsia" w:hAnsi="Arial" w:cs="Arial"/>
          <w:bdr w:val="none" w:sz="0" w:space="0" w:color="auto"/>
        </w:rPr>
        <w:t>(10), 1486-1494. doi:10.1093/infdis/jis234; 10.1093/infdis/jis234</w:t>
      </w:r>
    </w:p>
    <w:p w14:paraId="71E1599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Faurschou, M., Mellemkjaer, L., Sorensen, I. J., Svalgaard Thomsen, B., Dreyer, L., &amp; Baslund, B. (2009). Increased morbidity from ischemic heart disease in patients with wegener's granulomatosis.</w:t>
      </w:r>
      <w:r w:rsidRPr="00CC7E17">
        <w:rPr>
          <w:rFonts w:ascii="Arial" w:eastAsiaTheme="minorEastAsia" w:hAnsi="Arial" w:cs="Arial"/>
          <w:i/>
          <w:iCs/>
          <w:bdr w:val="none" w:sz="0" w:space="0" w:color="auto"/>
        </w:rPr>
        <w:t xml:space="preserve"> Arthritis and Rheumatism, 60</w:t>
      </w:r>
      <w:r w:rsidRPr="00CC7E17">
        <w:rPr>
          <w:rFonts w:ascii="Arial" w:eastAsiaTheme="minorEastAsia" w:hAnsi="Arial" w:cs="Arial"/>
          <w:bdr w:val="none" w:sz="0" w:space="0" w:color="auto"/>
        </w:rPr>
        <w:t>(4), 1187-1192. doi:10.1002/art.24386; 10.1002/art.24386</w:t>
      </w:r>
    </w:p>
    <w:p w14:paraId="6D378E4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Feldstein, A. E., Charatcharoenwitthaya, P., Treeprasertsuk, S., Benson, J. T., Enders, F. B., &amp; Angulo, P. (2009). The natural history of non-alcoholic fatty liver disease in children: A follow-up study for up to 20 years.</w:t>
      </w:r>
      <w:r w:rsidRPr="00CC7E17">
        <w:rPr>
          <w:rFonts w:ascii="Arial" w:eastAsiaTheme="minorEastAsia" w:hAnsi="Arial" w:cs="Arial"/>
          <w:i/>
          <w:iCs/>
          <w:bdr w:val="none" w:sz="0" w:space="0" w:color="auto"/>
        </w:rPr>
        <w:t xml:space="preserve"> Gut, 58</w:t>
      </w:r>
      <w:r w:rsidRPr="00CC7E17">
        <w:rPr>
          <w:rFonts w:ascii="Arial" w:eastAsiaTheme="minorEastAsia" w:hAnsi="Arial" w:cs="Arial"/>
          <w:bdr w:val="none" w:sz="0" w:space="0" w:color="auto"/>
        </w:rPr>
        <w:t>(11), 1538-1544. doi:10.1136/gut.2008.171280; 10.1136/gut.2008.171280</w:t>
      </w:r>
    </w:p>
    <w:p w14:paraId="075B686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Feltbower, R. G., Bodansky, H. J., Patterson, C. C., Parslow, R. C., Stephenson, C. R., Reynolds, C., et al. (2008). Acute complications and drug misuse are important causes of death for children and young adults with type 1 diabetes: Results from the yorkshire register of diabetes in children and young adults.</w:t>
      </w:r>
      <w:r w:rsidRPr="00CC7E17">
        <w:rPr>
          <w:rFonts w:ascii="Arial" w:eastAsiaTheme="minorEastAsia" w:hAnsi="Arial" w:cs="Arial"/>
          <w:i/>
          <w:iCs/>
          <w:bdr w:val="none" w:sz="0" w:space="0" w:color="auto"/>
        </w:rPr>
        <w:t xml:space="preserve"> Diabetes Care, 31</w:t>
      </w:r>
      <w:r w:rsidRPr="00CC7E17">
        <w:rPr>
          <w:rFonts w:ascii="Arial" w:eastAsiaTheme="minorEastAsia" w:hAnsi="Arial" w:cs="Arial"/>
          <w:bdr w:val="none" w:sz="0" w:space="0" w:color="auto"/>
        </w:rPr>
        <w:t>(5), 922-926. doi:10.2337/dc07-2029; 10.2337/dc07-2029</w:t>
      </w:r>
    </w:p>
    <w:p w14:paraId="58C1336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Fily, A., Pierrat, V., Delporte, V., Breart, G., Truffert, P., &amp; EPIPAGE Nord-Pas-de-Calais Study Group. (2006). Factors associated with neurodevelopmental outcome at 2 years after very preterm birth: The population-based nord-pas-de-calais EPIPAGE cohort.</w:t>
      </w:r>
      <w:r w:rsidRPr="00CC7E17">
        <w:rPr>
          <w:rFonts w:ascii="Arial" w:eastAsiaTheme="minorEastAsia" w:hAnsi="Arial" w:cs="Arial"/>
          <w:i/>
          <w:iCs/>
          <w:bdr w:val="none" w:sz="0" w:space="0" w:color="auto"/>
        </w:rPr>
        <w:t xml:space="preserve"> Pediatrics, 117</w:t>
      </w:r>
      <w:r w:rsidRPr="00CC7E17">
        <w:rPr>
          <w:rFonts w:ascii="Arial" w:eastAsiaTheme="minorEastAsia" w:hAnsi="Arial" w:cs="Arial"/>
          <w:bdr w:val="none" w:sz="0" w:space="0" w:color="auto"/>
        </w:rPr>
        <w:t>(2), 357-366. doi:10.1542/peds.2005-0236</w:t>
      </w:r>
    </w:p>
    <w:p w14:paraId="06DEA7A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Fixler, D. E., Nembhard, W. N., Salemi, J. L., Ethen, M. K., &amp; Canfield, M. A. (2010). Mortality in first 5 years in infants with functional single ventricle born in texas, 1996 to 2003.</w:t>
      </w:r>
      <w:r w:rsidRPr="00CC7E17">
        <w:rPr>
          <w:rFonts w:ascii="Arial" w:eastAsiaTheme="minorEastAsia" w:hAnsi="Arial" w:cs="Arial"/>
          <w:i/>
          <w:iCs/>
          <w:bdr w:val="none" w:sz="0" w:space="0" w:color="auto"/>
        </w:rPr>
        <w:t xml:space="preserve"> Circulation, 121</w:t>
      </w:r>
      <w:r w:rsidRPr="00CC7E17">
        <w:rPr>
          <w:rFonts w:ascii="Arial" w:eastAsiaTheme="minorEastAsia" w:hAnsi="Arial" w:cs="Arial"/>
          <w:bdr w:val="none" w:sz="0" w:space="0" w:color="auto"/>
        </w:rPr>
        <w:t>(5), 644-650. doi:10.1161/CIRCULATIONAHA.109.881904; 10.1161/CIRCULATIONAHA.109.881904</w:t>
      </w:r>
    </w:p>
    <w:p w14:paraId="26D371D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Flagg, E. W., &amp; Weinstock, H. (2011). Incidence of neonatal herpes simplex virus infections in the united states, 2006.</w:t>
      </w:r>
      <w:r w:rsidRPr="00CC7E17">
        <w:rPr>
          <w:rFonts w:ascii="Arial" w:eastAsiaTheme="minorEastAsia" w:hAnsi="Arial" w:cs="Arial"/>
          <w:i/>
          <w:iCs/>
          <w:bdr w:val="none" w:sz="0" w:space="0" w:color="auto"/>
        </w:rPr>
        <w:t xml:space="preserve"> Pediatrics, 127</w:t>
      </w:r>
      <w:r w:rsidRPr="00CC7E17">
        <w:rPr>
          <w:rFonts w:ascii="Arial" w:eastAsiaTheme="minorEastAsia" w:hAnsi="Arial" w:cs="Arial"/>
          <w:bdr w:val="none" w:sz="0" w:space="0" w:color="auto"/>
        </w:rPr>
        <w:t>(1), e1-8. doi:10.1542/peds.2010-0134; 10.1542/peds.2010-0134</w:t>
      </w:r>
    </w:p>
    <w:p w14:paraId="18C2FE5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Foulon, I., Naessens, A., Foulon, W., Casteels, A., &amp; Gordts, F. (2008). A 10-year prospective study of sensorineural hearing loss in children with congenital cytomegalovirus infection.</w:t>
      </w:r>
      <w:r w:rsidRPr="00CC7E17">
        <w:rPr>
          <w:rFonts w:ascii="Arial" w:eastAsiaTheme="minorEastAsia" w:hAnsi="Arial" w:cs="Arial"/>
          <w:i/>
          <w:iCs/>
          <w:bdr w:val="none" w:sz="0" w:space="0" w:color="auto"/>
        </w:rPr>
        <w:t xml:space="preserve"> The Journal of Pediatrics, 153</w:t>
      </w:r>
      <w:r w:rsidRPr="00CC7E17">
        <w:rPr>
          <w:rFonts w:ascii="Arial" w:eastAsiaTheme="minorEastAsia" w:hAnsi="Arial" w:cs="Arial"/>
          <w:bdr w:val="none" w:sz="0" w:space="0" w:color="auto"/>
        </w:rPr>
        <w:t>(1), 84-88. doi:10.1016/j.jpeds.2007.12.049; 10.1016/j.jpeds.2007.12.049</w:t>
      </w:r>
    </w:p>
    <w:p w14:paraId="0BA493D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Foulon, I., Naessens, A., Foulon, W., Casteels, A., &amp; Gordts, F. (2008). Hearing loss in children with congenital cytomegalovirus infection in relation to the maternal trimester in which the maternal primary infection occurred.</w:t>
      </w:r>
      <w:r w:rsidRPr="00CC7E17">
        <w:rPr>
          <w:rFonts w:ascii="Arial" w:eastAsiaTheme="minorEastAsia" w:hAnsi="Arial" w:cs="Arial"/>
          <w:i/>
          <w:iCs/>
          <w:bdr w:val="none" w:sz="0" w:space="0" w:color="auto"/>
        </w:rPr>
        <w:t xml:space="preserve"> Pediatrics, 122</w:t>
      </w:r>
      <w:r w:rsidRPr="00CC7E17">
        <w:rPr>
          <w:rFonts w:ascii="Arial" w:eastAsiaTheme="minorEastAsia" w:hAnsi="Arial" w:cs="Arial"/>
          <w:bdr w:val="none" w:sz="0" w:space="0" w:color="auto"/>
        </w:rPr>
        <w:t>(6), e1123-7. doi:10.1542/peds.2008-0770; 10.1542/peds.2008-0770</w:t>
      </w:r>
    </w:p>
    <w:p w14:paraId="43C8947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French, D. D., Bass, E., Bradham, D. D., Campbell, R. R., &amp; Rubenstein, L. Z. (2008). Rehospitalization after hip fracture: Predictors and prognosis from a national veterans study.</w:t>
      </w:r>
      <w:r w:rsidRPr="00CC7E17">
        <w:rPr>
          <w:rFonts w:ascii="Arial" w:eastAsiaTheme="minorEastAsia" w:hAnsi="Arial" w:cs="Arial"/>
          <w:i/>
          <w:iCs/>
          <w:bdr w:val="none" w:sz="0" w:space="0" w:color="auto"/>
        </w:rPr>
        <w:t xml:space="preserve"> Journal of the American Geriatrics Society, 56</w:t>
      </w:r>
      <w:r w:rsidRPr="00CC7E17">
        <w:rPr>
          <w:rFonts w:ascii="Arial" w:eastAsiaTheme="minorEastAsia" w:hAnsi="Arial" w:cs="Arial"/>
          <w:bdr w:val="none" w:sz="0" w:space="0" w:color="auto"/>
        </w:rPr>
        <w:t>(4), 705-710. doi:10.1111/j.1532-5415.2007.01479.x</w:t>
      </w:r>
    </w:p>
    <w:p w14:paraId="00F39E2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Gamble, J. M., Simpson, S. H., Eurich, D. T., Majumdar, S. R., &amp; Johnson, J. A. (2010). Insulin use and increased risk of mortality in type 2 diabetes: A cohort study.</w:t>
      </w:r>
      <w:r w:rsidRPr="00CC7E17">
        <w:rPr>
          <w:rFonts w:ascii="Arial" w:eastAsiaTheme="minorEastAsia" w:hAnsi="Arial" w:cs="Arial"/>
          <w:i/>
          <w:iCs/>
          <w:bdr w:val="none" w:sz="0" w:space="0" w:color="auto"/>
        </w:rPr>
        <w:t xml:space="preserve"> Diabetes, Obesity &amp; Metabolism, 12</w:t>
      </w:r>
      <w:r w:rsidRPr="00CC7E17">
        <w:rPr>
          <w:rFonts w:ascii="Arial" w:eastAsiaTheme="minorEastAsia" w:hAnsi="Arial" w:cs="Arial"/>
          <w:bdr w:val="none" w:sz="0" w:space="0" w:color="auto"/>
        </w:rPr>
        <w:t>(1), 47-53. doi:10.1111/j.1463-1326.2009.01125.x; 10.1111/j.1463-1326.2009.01125.x</w:t>
      </w:r>
    </w:p>
    <w:p w14:paraId="1D05FAC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Gao, Y., Chen, M., Ye, H., Yu, F., Guo, X. H., &amp; Zhao, M. H. (2008). Long-term outcomes of patients with propylthiouracil-induced anti-neutrophil cytoplasmic auto-antibody-associated vasculitis.</w:t>
      </w:r>
      <w:r w:rsidRPr="00CC7E17">
        <w:rPr>
          <w:rFonts w:ascii="Arial" w:eastAsiaTheme="minorEastAsia" w:hAnsi="Arial" w:cs="Arial"/>
          <w:i/>
          <w:iCs/>
          <w:bdr w:val="none" w:sz="0" w:space="0" w:color="auto"/>
        </w:rPr>
        <w:t xml:space="preserve"> Rheumatology (Oxford, England), 47</w:t>
      </w:r>
      <w:r w:rsidRPr="00CC7E17">
        <w:rPr>
          <w:rFonts w:ascii="Arial" w:eastAsiaTheme="minorEastAsia" w:hAnsi="Arial" w:cs="Arial"/>
          <w:bdr w:val="none" w:sz="0" w:space="0" w:color="auto"/>
        </w:rPr>
        <w:t>(10), 1515-1520. doi:10.1093/rheumatology/ken321; 10.1093/rheumatology/ken321</w:t>
      </w:r>
    </w:p>
    <w:p w14:paraId="0971A2B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Garcin, B., Lillo, P., Hornberger, M., Piguet, O., Dawson, K., Nestor, P. J., et al. (2009). Determinants of survival in behavioral variant frontotemporal dementia.</w:t>
      </w:r>
      <w:r w:rsidRPr="00CC7E17">
        <w:rPr>
          <w:rFonts w:ascii="Arial" w:eastAsiaTheme="minorEastAsia" w:hAnsi="Arial" w:cs="Arial"/>
          <w:i/>
          <w:iCs/>
          <w:bdr w:val="none" w:sz="0" w:space="0" w:color="auto"/>
        </w:rPr>
        <w:t xml:space="preserve"> Neurology, 73</w:t>
      </w:r>
      <w:r w:rsidRPr="00CC7E17">
        <w:rPr>
          <w:rFonts w:ascii="Arial" w:eastAsiaTheme="minorEastAsia" w:hAnsi="Arial" w:cs="Arial"/>
          <w:bdr w:val="none" w:sz="0" w:space="0" w:color="auto"/>
        </w:rPr>
        <w:t>(20), 1656-1661. doi:10.1212/WNL.0b013e3181c1dee7; 10.1212/WNL.0b013e3181c1dee7</w:t>
      </w:r>
    </w:p>
    <w:p w14:paraId="677D363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Gerber, Y., Melton, L. J.,3rd, Weston, S. A., &amp; Roger, V. L. (2011). Association between myocardial infarction and fractures: An emerging phenomenon.</w:t>
      </w:r>
      <w:r w:rsidRPr="00CC7E17">
        <w:rPr>
          <w:rFonts w:ascii="Arial" w:eastAsiaTheme="minorEastAsia" w:hAnsi="Arial" w:cs="Arial"/>
          <w:i/>
          <w:iCs/>
          <w:bdr w:val="none" w:sz="0" w:space="0" w:color="auto"/>
        </w:rPr>
        <w:t xml:space="preserve"> Circulation, 124</w:t>
      </w:r>
      <w:r w:rsidRPr="00CC7E17">
        <w:rPr>
          <w:rFonts w:ascii="Arial" w:eastAsiaTheme="minorEastAsia" w:hAnsi="Arial" w:cs="Arial"/>
          <w:bdr w:val="none" w:sz="0" w:space="0" w:color="auto"/>
        </w:rPr>
        <w:t>(3), 297-303. doi:10.1161/CIRCULATIONAHA.110.007195; 10.1161/CIRCULATIONAHA.110.007195</w:t>
      </w:r>
    </w:p>
    <w:p w14:paraId="4994CBD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Gerber, Y., Rosen, L. J., Goldbourt, U., Benyamini, Y., Drory, Y., &amp; Israel Study Group on First Acute Myocardial Infarction. (2009). Smoking status and long-term survival after first acute myocardial infarction a population-based cohort study.</w:t>
      </w:r>
      <w:r w:rsidRPr="00CC7E17">
        <w:rPr>
          <w:rFonts w:ascii="Arial" w:eastAsiaTheme="minorEastAsia" w:hAnsi="Arial" w:cs="Arial"/>
          <w:i/>
          <w:iCs/>
          <w:bdr w:val="none" w:sz="0" w:space="0" w:color="auto"/>
        </w:rPr>
        <w:t xml:space="preserve"> Journal of the American College of Cardiology, 54</w:t>
      </w:r>
      <w:r w:rsidRPr="00CC7E17">
        <w:rPr>
          <w:rFonts w:ascii="Arial" w:eastAsiaTheme="minorEastAsia" w:hAnsi="Arial" w:cs="Arial"/>
          <w:bdr w:val="none" w:sz="0" w:space="0" w:color="auto"/>
        </w:rPr>
        <w:t>(25), 2382-2387. doi:10.1016/j.jacc.2009.09.020; 10.1016/j.jacc.2009.09.020</w:t>
      </w:r>
    </w:p>
    <w:p w14:paraId="6C5D6ED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Gialdini, G., Nearing, K., Bhave, P. D., Bonuccelli, U., Iadecola, C., Healey, J. S., et al. (2014). Perioperative atrial fibrillation and the long-term risk of ischemic stroke.</w:t>
      </w:r>
      <w:r w:rsidRPr="00CC7E17">
        <w:rPr>
          <w:rFonts w:ascii="Arial" w:eastAsiaTheme="minorEastAsia" w:hAnsi="Arial" w:cs="Arial"/>
          <w:i/>
          <w:iCs/>
          <w:bdr w:val="none" w:sz="0" w:space="0" w:color="auto"/>
        </w:rPr>
        <w:t xml:space="preserve"> JAMA : The Journal of the American Medical Association, 312</w:t>
      </w:r>
      <w:r w:rsidRPr="00CC7E17">
        <w:rPr>
          <w:rFonts w:ascii="Arial" w:eastAsiaTheme="minorEastAsia" w:hAnsi="Arial" w:cs="Arial"/>
          <w:bdr w:val="none" w:sz="0" w:space="0" w:color="auto"/>
        </w:rPr>
        <w:t>(6), 616-622. doi:10.1001/jama.2014.9143; 10.1001/jama.2014.9143</w:t>
      </w:r>
    </w:p>
    <w:p w14:paraId="5771351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Gillies, M., Jhund, P. S., MacTeague, K., MacIntyre, P., Allardyce, J., Batty, G. D., et al. (2012). Prior psychiatric hospitalization is associated with excess mortality in patients hospitalized with non-cardiac chest pain: A data linkage study based on the full scottish population (1991-2006).</w:t>
      </w:r>
      <w:r w:rsidRPr="00CC7E17">
        <w:rPr>
          <w:rFonts w:ascii="Arial" w:eastAsiaTheme="minorEastAsia" w:hAnsi="Arial" w:cs="Arial"/>
          <w:i/>
          <w:iCs/>
          <w:bdr w:val="none" w:sz="0" w:space="0" w:color="auto"/>
        </w:rPr>
        <w:t xml:space="preserve"> European Heart Journal, 33</w:t>
      </w:r>
      <w:r w:rsidRPr="00CC7E17">
        <w:rPr>
          <w:rFonts w:ascii="Arial" w:eastAsiaTheme="minorEastAsia" w:hAnsi="Arial" w:cs="Arial"/>
          <w:bdr w:val="none" w:sz="0" w:space="0" w:color="auto"/>
        </w:rPr>
        <w:t>(6), 760-767. doi:10.1093/eurheartj/ehr401; 10.1093/eurheartj/ehr401</w:t>
      </w:r>
    </w:p>
    <w:p w14:paraId="2D0ECC9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Gindes, L., Teperberg-Oikawa, M., Sherman, D., Pardo, J., &amp; Rahav, G. (2008). Congenital cytomegalovirus infection following primary maternal infection in the third trimester.</w:t>
      </w:r>
      <w:r w:rsidRPr="00CC7E17">
        <w:rPr>
          <w:rFonts w:ascii="Arial" w:eastAsiaTheme="minorEastAsia" w:hAnsi="Arial" w:cs="Arial"/>
          <w:i/>
          <w:iCs/>
          <w:bdr w:val="none" w:sz="0" w:space="0" w:color="auto"/>
        </w:rPr>
        <w:t xml:space="preserve"> BJOG : An International Journal of Obstetrics and Gynaecology, 115</w:t>
      </w:r>
      <w:r w:rsidRPr="00CC7E17">
        <w:rPr>
          <w:rFonts w:ascii="Arial" w:eastAsiaTheme="minorEastAsia" w:hAnsi="Arial" w:cs="Arial"/>
          <w:bdr w:val="none" w:sz="0" w:space="0" w:color="auto"/>
        </w:rPr>
        <w:t>(7), 830-835. doi:10.1111/j.1471-0528.2007.01651.x; 10.1111/j.1471-0528.2007.01651.x</w:t>
      </w:r>
    </w:p>
    <w:p w14:paraId="2BCB5B6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Girot, M., Ferro, J. M., Canhao, P., Stam, J., Bousser, M. G., Barinagarrementeria, F., et al. (2007). Predictors of outcome in patients with cerebral venous thrombosis and intracerebral hemorrhage.</w:t>
      </w:r>
      <w:r w:rsidRPr="00CC7E17">
        <w:rPr>
          <w:rFonts w:ascii="Arial" w:eastAsiaTheme="minorEastAsia" w:hAnsi="Arial" w:cs="Arial"/>
          <w:i/>
          <w:iCs/>
          <w:bdr w:val="none" w:sz="0" w:space="0" w:color="auto"/>
        </w:rPr>
        <w:t xml:space="preserve"> Stroke; a Journal of Cerebral Circulation, 38</w:t>
      </w:r>
      <w:r w:rsidRPr="00CC7E17">
        <w:rPr>
          <w:rFonts w:ascii="Arial" w:eastAsiaTheme="minorEastAsia" w:hAnsi="Arial" w:cs="Arial"/>
          <w:bdr w:val="none" w:sz="0" w:space="0" w:color="auto"/>
        </w:rPr>
        <w:t>(2), 337-342. doi:10.1161/01.STR.0000254579.16319.35</w:t>
      </w:r>
    </w:p>
    <w:p w14:paraId="337F42A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Gonzalez, A., Icen, M., Kremers, H. M., Crowson, C. S., Davis, J. M.,3rd, Therneau, T. M., et al. (2008). Mortality trends in rheumatoid arthritis: The role of rheumatoid factor.</w:t>
      </w:r>
      <w:r w:rsidRPr="00CC7E17">
        <w:rPr>
          <w:rFonts w:ascii="Arial" w:eastAsiaTheme="minorEastAsia" w:hAnsi="Arial" w:cs="Arial"/>
          <w:i/>
          <w:iCs/>
          <w:bdr w:val="none" w:sz="0" w:space="0" w:color="auto"/>
        </w:rPr>
        <w:t xml:space="preserve"> The Journal of Rheumatology, 35</w:t>
      </w:r>
      <w:r w:rsidRPr="00CC7E17">
        <w:rPr>
          <w:rFonts w:ascii="Arial" w:eastAsiaTheme="minorEastAsia" w:hAnsi="Arial" w:cs="Arial"/>
          <w:bdr w:val="none" w:sz="0" w:space="0" w:color="auto"/>
        </w:rPr>
        <w:t>(6), 1009-1014.</w:t>
      </w:r>
    </w:p>
    <w:p w14:paraId="342C191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Gonzalez, A., Maradit Kremers, H., Crowson, C. S., Ballman, K. V., Roger, V. L., Jacobsen, S. J., et al. (2008). Do cardiovascular risk factors confer the same risk for cardiovascular outcomes in rheumatoid arthritis patients as in non-rheumatoid arthritis patients?</w:t>
      </w:r>
      <w:r w:rsidRPr="00CC7E17">
        <w:rPr>
          <w:rFonts w:ascii="Arial" w:eastAsiaTheme="minorEastAsia" w:hAnsi="Arial" w:cs="Arial"/>
          <w:i/>
          <w:iCs/>
          <w:bdr w:val="none" w:sz="0" w:space="0" w:color="auto"/>
        </w:rPr>
        <w:t xml:space="preserve"> Annals of the Rheumatic Diseases, 67</w:t>
      </w:r>
      <w:r w:rsidRPr="00CC7E17">
        <w:rPr>
          <w:rFonts w:ascii="Arial" w:eastAsiaTheme="minorEastAsia" w:hAnsi="Arial" w:cs="Arial"/>
          <w:bdr w:val="none" w:sz="0" w:space="0" w:color="auto"/>
        </w:rPr>
        <w:t>(1), 64-69. doi:10.1136/ard.2006.059980</w:t>
      </w:r>
    </w:p>
    <w:p w14:paraId="1ACC6CB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Goyal, N. K., Fiks, A. G., &amp; Lorch, S. A. (2011). Association of late-preterm birth with asthma in young children: Practice-based study.</w:t>
      </w:r>
      <w:r w:rsidRPr="00CC7E17">
        <w:rPr>
          <w:rFonts w:ascii="Arial" w:eastAsiaTheme="minorEastAsia" w:hAnsi="Arial" w:cs="Arial"/>
          <w:i/>
          <w:iCs/>
          <w:bdr w:val="none" w:sz="0" w:space="0" w:color="auto"/>
        </w:rPr>
        <w:t xml:space="preserve"> Pediatrics, 128</w:t>
      </w:r>
      <w:r w:rsidRPr="00CC7E17">
        <w:rPr>
          <w:rFonts w:ascii="Arial" w:eastAsiaTheme="minorEastAsia" w:hAnsi="Arial" w:cs="Arial"/>
          <w:bdr w:val="none" w:sz="0" w:space="0" w:color="auto"/>
        </w:rPr>
        <w:t>(4), e830-8. doi:10.1542/peds.2011-0809; 10.1542/peds.2011-0809</w:t>
      </w:r>
    </w:p>
    <w:p w14:paraId="2F727F2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Graesslin, O., Derniaux, E., Alanio, E., Gaillard, D., Vitry, F., Quereux, C., et al. (2007). Characteristics and outcome of fetal cystic hygroma diagnosed in the first trimester.</w:t>
      </w:r>
      <w:r w:rsidRPr="00CC7E17">
        <w:rPr>
          <w:rFonts w:ascii="Arial" w:eastAsiaTheme="minorEastAsia" w:hAnsi="Arial" w:cs="Arial"/>
          <w:i/>
          <w:iCs/>
          <w:bdr w:val="none" w:sz="0" w:space="0" w:color="auto"/>
        </w:rPr>
        <w:t xml:space="preserve"> Acta Obstetricia Et Gynecologica Scandinavica, 86</w:t>
      </w:r>
      <w:r w:rsidRPr="00CC7E17">
        <w:rPr>
          <w:rFonts w:ascii="Arial" w:eastAsiaTheme="minorEastAsia" w:hAnsi="Arial" w:cs="Arial"/>
          <w:bdr w:val="none" w:sz="0" w:space="0" w:color="auto"/>
        </w:rPr>
        <w:t>(12), 1442-1446. doi:10.1080/00016340701644843</w:t>
      </w:r>
    </w:p>
    <w:p w14:paraId="568474C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Grifoni, S., Vanni, S., Magazzini, S., Olivotto, I., Conti, A., Zanobetti, M., et al. (2006). Association of persistent right ventricular dysfunction at hospital discharge after acute pulmonary embolism with recurrent thromboembolic events.</w:t>
      </w:r>
      <w:r w:rsidRPr="00CC7E17">
        <w:rPr>
          <w:rFonts w:ascii="Arial" w:eastAsiaTheme="minorEastAsia" w:hAnsi="Arial" w:cs="Arial"/>
          <w:i/>
          <w:iCs/>
          <w:bdr w:val="none" w:sz="0" w:space="0" w:color="auto"/>
        </w:rPr>
        <w:t xml:space="preserve"> Archives of Internal Medicine, 166</w:t>
      </w:r>
      <w:r w:rsidRPr="00CC7E17">
        <w:rPr>
          <w:rFonts w:ascii="Arial" w:eastAsiaTheme="minorEastAsia" w:hAnsi="Arial" w:cs="Arial"/>
          <w:bdr w:val="none" w:sz="0" w:space="0" w:color="auto"/>
        </w:rPr>
        <w:t>(19), 2151-2156. doi:10.1001/archinte.166.19.2151</w:t>
      </w:r>
    </w:p>
    <w:p w14:paraId="3281A57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Guzman, J., Oen, K., Tucker, L. B., Huber, A. M., Shiff, N., Boire, G., et al. (2014). The outcomes of juvenile idiopathic arthritis in children managed with contemporary treatments: Results from the ReACCh-out cohort.</w:t>
      </w:r>
      <w:r w:rsidRPr="00CC7E17">
        <w:rPr>
          <w:rFonts w:ascii="Arial" w:eastAsiaTheme="minorEastAsia" w:hAnsi="Arial" w:cs="Arial"/>
          <w:i/>
          <w:iCs/>
          <w:bdr w:val="none" w:sz="0" w:space="0" w:color="auto"/>
        </w:rPr>
        <w:t xml:space="preserve"> Annals of the Rheumatic Diseases, </w:t>
      </w:r>
      <w:r w:rsidRPr="00CC7E17">
        <w:rPr>
          <w:rFonts w:ascii="Arial" w:eastAsiaTheme="minorEastAsia" w:hAnsi="Arial" w:cs="Arial"/>
          <w:bdr w:val="none" w:sz="0" w:space="0" w:color="auto"/>
        </w:rPr>
        <w:t>doi:10.1136/annrheumdis-2014-205372; 10.1136/annrheumdis-2014-205372</w:t>
      </w:r>
    </w:p>
    <w:p w14:paraId="32B529D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Hadjinicolaou, A. V., Nisar, M. K., Parfrey, H., Chilvers, E. R., &amp; Ostor, A. J. (2012). Non-infectious pulmonary toxicity of rituximab: A systematic review.</w:t>
      </w:r>
      <w:r w:rsidRPr="00CC7E17">
        <w:rPr>
          <w:rFonts w:ascii="Arial" w:eastAsiaTheme="minorEastAsia" w:hAnsi="Arial" w:cs="Arial"/>
          <w:i/>
          <w:iCs/>
          <w:bdr w:val="none" w:sz="0" w:space="0" w:color="auto"/>
        </w:rPr>
        <w:t xml:space="preserve"> Rheumatology (Oxford, England), 51</w:t>
      </w:r>
      <w:r w:rsidRPr="00CC7E17">
        <w:rPr>
          <w:rFonts w:ascii="Arial" w:eastAsiaTheme="minorEastAsia" w:hAnsi="Arial" w:cs="Arial"/>
          <w:bdr w:val="none" w:sz="0" w:space="0" w:color="auto"/>
        </w:rPr>
        <w:t>(4), 653-662. doi:10.1093/rheumatology/ker290; 10.1093/rheumatology/ker290</w:t>
      </w:r>
    </w:p>
    <w:p w14:paraId="6B12B04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Hafstrom, M., Ehnberg, S., Blad, S., Noren, H., Renman, C., Rosen, K. G., et al. (2012). Developmental outcome at 6.5 years after acidosis in term newborns: A population-based study.</w:t>
      </w:r>
      <w:r w:rsidRPr="00CC7E17">
        <w:rPr>
          <w:rFonts w:ascii="Arial" w:eastAsiaTheme="minorEastAsia" w:hAnsi="Arial" w:cs="Arial"/>
          <w:i/>
          <w:iCs/>
          <w:bdr w:val="none" w:sz="0" w:space="0" w:color="auto"/>
        </w:rPr>
        <w:t xml:space="preserve"> Pediatrics, 129</w:t>
      </w:r>
      <w:r w:rsidRPr="00CC7E17">
        <w:rPr>
          <w:rFonts w:ascii="Arial" w:eastAsiaTheme="minorEastAsia" w:hAnsi="Arial" w:cs="Arial"/>
          <w:bdr w:val="none" w:sz="0" w:space="0" w:color="auto"/>
        </w:rPr>
        <w:t>(6), e1501-7. doi:10.1542/peds.2011-2831; 10.1542/peds.2011-2831</w:t>
      </w:r>
    </w:p>
    <w:p w14:paraId="4701CD8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Hansen, C., Desai, S., Bredfeldt, C., Cheetham, C., Gallagher, M., Li, D. K., et al. (2012). A large, population-based study of 2009 pandemic influenza A virus subtype H1N1 infection diagnosis during pregnancy and outcomes for mothers and neonates.</w:t>
      </w:r>
      <w:r w:rsidRPr="00CC7E17">
        <w:rPr>
          <w:rFonts w:ascii="Arial" w:eastAsiaTheme="minorEastAsia" w:hAnsi="Arial" w:cs="Arial"/>
          <w:i/>
          <w:iCs/>
          <w:bdr w:val="none" w:sz="0" w:space="0" w:color="auto"/>
        </w:rPr>
        <w:t xml:space="preserve"> The Journal of Infectious Diseases, 206</w:t>
      </w:r>
      <w:r w:rsidRPr="00CC7E17">
        <w:rPr>
          <w:rFonts w:ascii="Arial" w:eastAsiaTheme="minorEastAsia" w:hAnsi="Arial" w:cs="Arial"/>
          <w:bdr w:val="none" w:sz="0" w:space="0" w:color="auto"/>
        </w:rPr>
        <w:t>(8), 1260-1268. doi:10.1093/infdis/jis488</w:t>
      </w:r>
    </w:p>
    <w:p w14:paraId="2B370C1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Harambat, J., Fargue, S., Acquaviva, C., Gagnadoux, M. F., Janssen, F., Liutkus, A., et al. (2010). Genotype-phenotype correlation in primary hyperoxaluria type 1: The p.Gly170Arg AGXT mutation is associated with a better outcome.</w:t>
      </w:r>
      <w:r w:rsidRPr="00CC7E17">
        <w:rPr>
          <w:rFonts w:ascii="Arial" w:eastAsiaTheme="minorEastAsia" w:hAnsi="Arial" w:cs="Arial"/>
          <w:i/>
          <w:iCs/>
          <w:bdr w:val="none" w:sz="0" w:space="0" w:color="auto"/>
        </w:rPr>
        <w:t xml:space="preserve"> Kidney International, 77</w:t>
      </w:r>
      <w:r w:rsidRPr="00CC7E17">
        <w:rPr>
          <w:rFonts w:ascii="Arial" w:eastAsiaTheme="minorEastAsia" w:hAnsi="Arial" w:cs="Arial"/>
          <w:bdr w:val="none" w:sz="0" w:space="0" w:color="auto"/>
        </w:rPr>
        <w:t>(5), 443-449. doi:10.1038/ki.2009.435; 10.1038/ki.2009.435</w:t>
      </w:r>
    </w:p>
    <w:p w14:paraId="79D68EF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Harvey, S. B., Dean, K., Morgan, C., Walsh, E., Demjaha, A., Dazzan, P., et al. (2008). Self-harm in first-episode psychosis.</w:t>
      </w:r>
      <w:r w:rsidRPr="00CC7E17">
        <w:rPr>
          <w:rFonts w:ascii="Arial" w:eastAsiaTheme="minorEastAsia" w:hAnsi="Arial" w:cs="Arial"/>
          <w:i/>
          <w:iCs/>
          <w:bdr w:val="none" w:sz="0" w:space="0" w:color="auto"/>
        </w:rPr>
        <w:t xml:space="preserve"> The British Journal of Psychiatry : The Journal of Mental Science, 192</w:t>
      </w:r>
      <w:r w:rsidRPr="00CC7E17">
        <w:rPr>
          <w:rFonts w:ascii="Arial" w:eastAsiaTheme="minorEastAsia" w:hAnsi="Arial" w:cs="Arial"/>
          <w:bdr w:val="none" w:sz="0" w:space="0" w:color="auto"/>
        </w:rPr>
        <w:t>(3), 178-184. doi:10.1192/bjp.bp.107.037192; 10.1192/bjp.bp.107.037192</w:t>
      </w:r>
    </w:p>
    <w:p w14:paraId="37385D3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Hashkes, P. J., Wright, B. M., Lauer, M. S., Worley, S. E., Tang, A. S., Roettcher, P. A., et al. (2010). Mortality outcomes in pediatric rheumatology in the US.</w:t>
      </w:r>
      <w:r w:rsidRPr="00CC7E17">
        <w:rPr>
          <w:rFonts w:ascii="Arial" w:eastAsiaTheme="minorEastAsia" w:hAnsi="Arial" w:cs="Arial"/>
          <w:i/>
          <w:iCs/>
          <w:bdr w:val="none" w:sz="0" w:space="0" w:color="auto"/>
        </w:rPr>
        <w:t xml:space="preserve"> Arthritis and Rheumatism, 62</w:t>
      </w:r>
      <w:r w:rsidRPr="00CC7E17">
        <w:rPr>
          <w:rFonts w:ascii="Arial" w:eastAsiaTheme="minorEastAsia" w:hAnsi="Arial" w:cs="Arial"/>
          <w:bdr w:val="none" w:sz="0" w:space="0" w:color="auto"/>
        </w:rPr>
        <w:t>(2), 599-608. doi:10.1002/art.27218; 10.1002/art.27218</w:t>
      </w:r>
    </w:p>
    <w:p w14:paraId="085C268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Hesdorffer, D. C., Logroscino, G., Cascino, G. D., &amp; Hauser, W. A. (2007). Recurrence of afebrile status epilepticus in a population-based study in rochester, minnesota.</w:t>
      </w:r>
      <w:r w:rsidRPr="00CC7E17">
        <w:rPr>
          <w:rFonts w:ascii="Arial" w:eastAsiaTheme="minorEastAsia" w:hAnsi="Arial" w:cs="Arial"/>
          <w:i/>
          <w:iCs/>
          <w:bdr w:val="none" w:sz="0" w:space="0" w:color="auto"/>
        </w:rPr>
        <w:t xml:space="preserve"> Neurology, 69</w:t>
      </w:r>
      <w:r w:rsidRPr="00CC7E17">
        <w:rPr>
          <w:rFonts w:ascii="Arial" w:eastAsiaTheme="minorEastAsia" w:hAnsi="Arial" w:cs="Arial"/>
          <w:bdr w:val="none" w:sz="0" w:space="0" w:color="auto"/>
        </w:rPr>
        <w:t>(1), 73-78. doi:10.1212/01.wnl.0000265056.31752.ff</w:t>
      </w:r>
    </w:p>
    <w:p w14:paraId="523FAB7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Hibbs, A. M., Johnson, N. L., Rosen, C. L., Kirchner, H. L., Martin, R., Storfer-Isser, A., et al. (2008). Prenatal and neonatal risk factors for sleep disordered breathing in school-aged children born preterm.</w:t>
      </w:r>
      <w:r w:rsidRPr="00CC7E17">
        <w:rPr>
          <w:rFonts w:ascii="Arial" w:eastAsiaTheme="minorEastAsia" w:hAnsi="Arial" w:cs="Arial"/>
          <w:i/>
          <w:iCs/>
          <w:bdr w:val="none" w:sz="0" w:space="0" w:color="auto"/>
        </w:rPr>
        <w:t xml:space="preserve"> The Journal of Pediatrics, 153</w:t>
      </w:r>
      <w:r w:rsidRPr="00CC7E17">
        <w:rPr>
          <w:rFonts w:ascii="Arial" w:eastAsiaTheme="minorEastAsia" w:hAnsi="Arial" w:cs="Arial"/>
          <w:bdr w:val="none" w:sz="0" w:space="0" w:color="auto"/>
        </w:rPr>
        <w:t>(2), 176-182. doi:10.1016/j.jpeds.2008.01.040; 10.1016/j.jpeds.2008.01.040</w:t>
      </w:r>
    </w:p>
    <w:p w14:paraId="6FA1CF9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Hijiya, N., Hudson, M. M., Lensing, S., Zacher, M., Onciu, M., Behm, F. G., et al. (2007). Cumulative incidence of secondary neoplasms as a first event after childhood acute lymphoblastic leukemia.</w:t>
      </w:r>
      <w:r w:rsidRPr="00CC7E17">
        <w:rPr>
          <w:rFonts w:ascii="Arial" w:eastAsiaTheme="minorEastAsia" w:hAnsi="Arial" w:cs="Arial"/>
          <w:i/>
          <w:iCs/>
          <w:bdr w:val="none" w:sz="0" w:space="0" w:color="auto"/>
        </w:rPr>
        <w:t xml:space="preserve"> JAMA : The Journal of the American Medical Association, 297</w:t>
      </w:r>
      <w:r w:rsidRPr="00CC7E17">
        <w:rPr>
          <w:rFonts w:ascii="Arial" w:eastAsiaTheme="minorEastAsia" w:hAnsi="Arial" w:cs="Arial"/>
          <w:bdr w:val="none" w:sz="0" w:space="0" w:color="auto"/>
        </w:rPr>
        <w:t>(11), 1207-1215. doi:10.1001/jama.297.11.1207</w:t>
      </w:r>
    </w:p>
    <w:p w14:paraId="2DA4D7A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Hogan, S. L., Falk, R. J., Chin, H., Cai, J., Jennette, C. E., Jennette, J. C., et al. (2005). Predictors of relapse and treatment resistance in antineutrophil cytoplasmic antibody-associated small-vessel vasculitis.</w:t>
      </w:r>
      <w:r w:rsidRPr="00CC7E17">
        <w:rPr>
          <w:rFonts w:ascii="Arial" w:eastAsiaTheme="minorEastAsia" w:hAnsi="Arial" w:cs="Arial"/>
          <w:i/>
          <w:iCs/>
          <w:bdr w:val="none" w:sz="0" w:space="0" w:color="auto"/>
        </w:rPr>
        <w:t xml:space="preserve"> Annals of Internal Medicine, 143</w:t>
      </w:r>
      <w:r w:rsidRPr="00CC7E17">
        <w:rPr>
          <w:rFonts w:ascii="Arial" w:eastAsiaTheme="minorEastAsia" w:hAnsi="Arial" w:cs="Arial"/>
          <w:bdr w:val="none" w:sz="0" w:space="0" w:color="auto"/>
        </w:rPr>
        <w:t>(9), 621-631.</w:t>
      </w:r>
    </w:p>
    <w:p w14:paraId="27F0E8F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Holmqvist, M., Gransmark, E., Mantel, A., Alfredsson, L., Jacobsson, L. T., Wallberg-Jonsson, S., et al. (2013). Occurrence and relative risk of stroke in incident and prevalent contemporary rheumatoid arthritis.</w:t>
      </w:r>
      <w:r w:rsidRPr="00CC7E17">
        <w:rPr>
          <w:rFonts w:ascii="Arial" w:eastAsiaTheme="minorEastAsia" w:hAnsi="Arial" w:cs="Arial"/>
          <w:i/>
          <w:iCs/>
          <w:bdr w:val="none" w:sz="0" w:space="0" w:color="auto"/>
        </w:rPr>
        <w:t xml:space="preserve"> Annals of the Rheumatic Diseases, 72</w:t>
      </w:r>
      <w:r w:rsidRPr="00CC7E17">
        <w:rPr>
          <w:rFonts w:ascii="Arial" w:eastAsiaTheme="minorEastAsia" w:hAnsi="Arial" w:cs="Arial"/>
          <w:bdr w:val="none" w:sz="0" w:space="0" w:color="auto"/>
        </w:rPr>
        <w:t>(4), 541-546. doi:10.1136/annrheumdis-2012-201387; 10.1136/annrheumdis-2012-201387</w:t>
      </w:r>
    </w:p>
    <w:p w14:paraId="602655B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Honda, H., Qureshi, A. R., Axelsson, J., Heimburger, O., Suliman, M. E., Barany, P., et al. (2007). Obese sarcopenia in patients with end-stage renal disease is associated with inflammation and increased mortality.</w:t>
      </w:r>
      <w:r w:rsidRPr="00CC7E17">
        <w:rPr>
          <w:rFonts w:ascii="Arial" w:eastAsiaTheme="minorEastAsia" w:hAnsi="Arial" w:cs="Arial"/>
          <w:i/>
          <w:iCs/>
          <w:bdr w:val="none" w:sz="0" w:space="0" w:color="auto"/>
        </w:rPr>
        <w:t xml:space="preserve"> The American Journal of Clinical Nutrition, 86</w:t>
      </w:r>
      <w:r w:rsidRPr="00CC7E17">
        <w:rPr>
          <w:rFonts w:ascii="Arial" w:eastAsiaTheme="minorEastAsia" w:hAnsi="Arial" w:cs="Arial"/>
          <w:bdr w:val="none" w:sz="0" w:space="0" w:color="auto"/>
        </w:rPr>
        <w:t>(3), 633-638.</w:t>
      </w:r>
    </w:p>
    <w:p w14:paraId="39B4708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Honzik, T., Tesarova, M., Mayr, J. A., Hansikova, H., Jesina, P., Bodamer, O., et al. (2010). Mitochondrial encephalocardio-myopathy with early neonatal onset due to TMEM70 mutation.</w:t>
      </w:r>
      <w:r w:rsidRPr="00CC7E17">
        <w:rPr>
          <w:rFonts w:ascii="Arial" w:eastAsiaTheme="minorEastAsia" w:hAnsi="Arial" w:cs="Arial"/>
          <w:i/>
          <w:iCs/>
          <w:bdr w:val="none" w:sz="0" w:space="0" w:color="auto"/>
        </w:rPr>
        <w:t xml:space="preserve"> Archives of Disease in Childhood, 95</w:t>
      </w:r>
      <w:r w:rsidRPr="00CC7E17">
        <w:rPr>
          <w:rFonts w:ascii="Arial" w:eastAsiaTheme="minorEastAsia" w:hAnsi="Arial" w:cs="Arial"/>
          <w:bdr w:val="none" w:sz="0" w:space="0" w:color="auto"/>
        </w:rPr>
        <w:t>(4), 296-301. doi:10.1136/adc.2009.168096; 10.1136/adc.2009.168096</w:t>
      </w:r>
    </w:p>
    <w:p w14:paraId="5A4ECE3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Hovde, O., Kempski-Monstad, I., Smastuen, M. C., Solberg, I. C., Henriksen, M., Jahnsen, J., et al. (2014). Mortality and causes of death in crohn's disease: Results from 20 years of follow-up in the IBSEN study.</w:t>
      </w:r>
      <w:r w:rsidRPr="00CC7E17">
        <w:rPr>
          <w:rFonts w:ascii="Arial" w:eastAsiaTheme="minorEastAsia" w:hAnsi="Arial" w:cs="Arial"/>
          <w:i/>
          <w:iCs/>
          <w:bdr w:val="none" w:sz="0" w:space="0" w:color="auto"/>
        </w:rPr>
        <w:t xml:space="preserve"> Gut, 63</w:t>
      </w:r>
      <w:r w:rsidRPr="00CC7E17">
        <w:rPr>
          <w:rFonts w:ascii="Arial" w:eastAsiaTheme="minorEastAsia" w:hAnsi="Arial" w:cs="Arial"/>
          <w:bdr w:val="none" w:sz="0" w:space="0" w:color="auto"/>
        </w:rPr>
        <w:t>(5), 771-775. doi:10.1136/gutjnl-2013-304766; 10.1136/gutjnl-2013-304766</w:t>
      </w:r>
    </w:p>
    <w:p w14:paraId="1C4979D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Hu, C. C., Ho, J. D., &amp; Lin, H. C. (2010). Neovascular age-related macular degeneration and the risk of stroke: A 5-year population-based follow-up study.</w:t>
      </w:r>
      <w:r w:rsidRPr="00CC7E17">
        <w:rPr>
          <w:rFonts w:ascii="Arial" w:eastAsiaTheme="minorEastAsia" w:hAnsi="Arial" w:cs="Arial"/>
          <w:i/>
          <w:iCs/>
          <w:bdr w:val="none" w:sz="0" w:space="0" w:color="auto"/>
        </w:rPr>
        <w:t xml:space="preserve"> Stroke; a Journal of Cerebral Circulation, 41</w:t>
      </w:r>
      <w:r w:rsidRPr="00CC7E17">
        <w:rPr>
          <w:rFonts w:ascii="Arial" w:eastAsiaTheme="minorEastAsia" w:hAnsi="Arial" w:cs="Arial"/>
          <w:bdr w:val="none" w:sz="0" w:space="0" w:color="auto"/>
        </w:rPr>
        <w:t>(4), 613-617. doi:10.1161/STROKEAHA.109.571000; 10.1161/STROKEAHA.109.571000</w:t>
      </w:r>
    </w:p>
    <w:p w14:paraId="49D3AB2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Imazio, M., Brucato, A., Maestroni, S., Cumetti, D., Belli, R., Trinchero, R., et al. (2011). Risk of constrictive pericarditis after acute pericarditis.</w:t>
      </w:r>
      <w:r w:rsidRPr="00CC7E17">
        <w:rPr>
          <w:rFonts w:ascii="Arial" w:eastAsiaTheme="minorEastAsia" w:hAnsi="Arial" w:cs="Arial"/>
          <w:i/>
          <w:iCs/>
          <w:bdr w:val="none" w:sz="0" w:space="0" w:color="auto"/>
        </w:rPr>
        <w:t xml:space="preserve"> Circulation, 124</w:t>
      </w:r>
      <w:r w:rsidRPr="00CC7E17">
        <w:rPr>
          <w:rFonts w:ascii="Arial" w:eastAsiaTheme="minorEastAsia" w:hAnsi="Arial" w:cs="Arial"/>
          <w:bdr w:val="none" w:sz="0" w:space="0" w:color="auto"/>
        </w:rPr>
        <w:t>(11), 1270-1275. doi:10.1161/CIRCULATIONAHA.111.018580; 10.1161/CIRCULATIONAHA.111.018580</w:t>
      </w:r>
    </w:p>
    <w:p w14:paraId="585A020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Immonen, K., Savolainen, A., Kautiainen, H., &amp; Hakala, M. (2008). Longterm outcome of amyloidosis associated with juvenile idiopathic arthritis.</w:t>
      </w:r>
      <w:r w:rsidRPr="00CC7E17">
        <w:rPr>
          <w:rFonts w:ascii="Arial" w:eastAsiaTheme="minorEastAsia" w:hAnsi="Arial" w:cs="Arial"/>
          <w:i/>
          <w:iCs/>
          <w:bdr w:val="none" w:sz="0" w:space="0" w:color="auto"/>
        </w:rPr>
        <w:t xml:space="preserve"> The Journal of Rheumatology, 35</w:t>
      </w:r>
      <w:r w:rsidRPr="00CC7E17">
        <w:rPr>
          <w:rFonts w:ascii="Arial" w:eastAsiaTheme="minorEastAsia" w:hAnsi="Arial" w:cs="Arial"/>
          <w:bdr w:val="none" w:sz="0" w:space="0" w:color="auto"/>
        </w:rPr>
        <w:t>(5), 907-912.</w:t>
      </w:r>
    </w:p>
    <w:p w14:paraId="100BF6D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Irving, C. A., &amp; Chaudhari, M. P. (2012). Cardiovascular abnormalities in down's syndrome: Spectrum, management and survival over 22 years.</w:t>
      </w:r>
      <w:r w:rsidRPr="00CC7E17">
        <w:rPr>
          <w:rFonts w:ascii="Arial" w:eastAsiaTheme="minorEastAsia" w:hAnsi="Arial" w:cs="Arial"/>
          <w:i/>
          <w:iCs/>
          <w:bdr w:val="none" w:sz="0" w:space="0" w:color="auto"/>
        </w:rPr>
        <w:t xml:space="preserve"> Archives of Disease in Childhood, 97</w:t>
      </w:r>
      <w:r w:rsidRPr="00CC7E17">
        <w:rPr>
          <w:rFonts w:ascii="Arial" w:eastAsiaTheme="minorEastAsia" w:hAnsi="Arial" w:cs="Arial"/>
          <w:bdr w:val="none" w:sz="0" w:space="0" w:color="auto"/>
        </w:rPr>
        <w:t>(4), 326-330. doi:10.1136/adc.2010.210534; 10.1136/adc.2010.210534</w:t>
      </w:r>
    </w:p>
    <w:p w14:paraId="3608A5F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Isayama, T., Lee, S. K., Mori, R., Kusuda, S., Fujimura, M., Ye, X. Y., et al. (2012). Comparison of mortality and morbidity of very low birth weight infants between canada and japan.</w:t>
      </w:r>
      <w:r w:rsidRPr="00CC7E17">
        <w:rPr>
          <w:rFonts w:ascii="Arial" w:eastAsiaTheme="minorEastAsia" w:hAnsi="Arial" w:cs="Arial"/>
          <w:i/>
          <w:iCs/>
          <w:bdr w:val="none" w:sz="0" w:space="0" w:color="auto"/>
        </w:rPr>
        <w:t xml:space="preserve"> Pediatrics, 130</w:t>
      </w:r>
      <w:r w:rsidRPr="00CC7E17">
        <w:rPr>
          <w:rFonts w:ascii="Arial" w:eastAsiaTheme="minorEastAsia" w:hAnsi="Arial" w:cs="Arial"/>
          <w:bdr w:val="none" w:sz="0" w:space="0" w:color="auto"/>
        </w:rPr>
        <w:t>(4), e957-65. doi:10.1542/peds.2012-0336; 10.1542/peds.2012-0336</w:t>
      </w:r>
    </w:p>
    <w:p w14:paraId="04D2C54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Ishii, N., Kono, Y., Yonemoto, N., Kusuda, S., Fujimura, M., &amp; Neonatal Research Network, J. (2013). Outcomes of infants born at 22 and 23 weeks' gestation.</w:t>
      </w:r>
      <w:r w:rsidRPr="00CC7E17">
        <w:rPr>
          <w:rFonts w:ascii="Arial" w:eastAsiaTheme="minorEastAsia" w:hAnsi="Arial" w:cs="Arial"/>
          <w:i/>
          <w:iCs/>
          <w:bdr w:val="none" w:sz="0" w:space="0" w:color="auto"/>
        </w:rPr>
        <w:t xml:space="preserve"> Pediatrics, 132</w:t>
      </w:r>
      <w:r w:rsidRPr="00CC7E17">
        <w:rPr>
          <w:rFonts w:ascii="Arial" w:eastAsiaTheme="minorEastAsia" w:hAnsi="Arial" w:cs="Arial"/>
          <w:bdr w:val="none" w:sz="0" w:space="0" w:color="auto"/>
        </w:rPr>
        <w:t>(1), 62-71. doi:10.1542/peds.2012-2857; 10.1542/peds.2012-2857</w:t>
      </w:r>
    </w:p>
    <w:p w14:paraId="24E5F2A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Ito, Y., Miyauchi, A., Inoue, H., Fukushima, M., Kihara, M., Higashiyama, T., et al. (2010). An observational trial for papillary thyroid microcarcinoma in japanese patients.</w:t>
      </w:r>
      <w:r w:rsidRPr="00CC7E17">
        <w:rPr>
          <w:rFonts w:ascii="Arial" w:eastAsiaTheme="minorEastAsia" w:hAnsi="Arial" w:cs="Arial"/>
          <w:i/>
          <w:iCs/>
          <w:bdr w:val="none" w:sz="0" w:space="0" w:color="auto"/>
        </w:rPr>
        <w:t xml:space="preserve"> World Journal of Surgery, 34</w:t>
      </w:r>
      <w:r w:rsidRPr="00CC7E17">
        <w:rPr>
          <w:rFonts w:ascii="Arial" w:eastAsiaTheme="minorEastAsia" w:hAnsi="Arial" w:cs="Arial"/>
          <w:bdr w:val="none" w:sz="0" w:space="0" w:color="auto"/>
        </w:rPr>
        <w:t>(1), 28-35. doi:10.1007/s00268-009-0303-0; 10.1007/s00268-009-0303-0</w:t>
      </w:r>
    </w:p>
    <w:p w14:paraId="249AD8A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Jabre, P., Jouven, X., Adnet, F., Thabut, G., Bielinski, S. J., Weston, S. A., et al. (2011). Atrial fibrillation and death after myocardial infarction: A community study.</w:t>
      </w:r>
      <w:r w:rsidRPr="00CC7E17">
        <w:rPr>
          <w:rFonts w:ascii="Arial" w:eastAsiaTheme="minorEastAsia" w:hAnsi="Arial" w:cs="Arial"/>
          <w:i/>
          <w:iCs/>
          <w:bdr w:val="none" w:sz="0" w:space="0" w:color="auto"/>
        </w:rPr>
        <w:t xml:space="preserve"> Circulation, 123</w:t>
      </w:r>
      <w:r w:rsidRPr="00CC7E17">
        <w:rPr>
          <w:rFonts w:ascii="Arial" w:eastAsiaTheme="minorEastAsia" w:hAnsi="Arial" w:cs="Arial"/>
          <w:bdr w:val="none" w:sz="0" w:space="0" w:color="auto"/>
        </w:rPr>
        <w:t>(19), 2094-2100. doi:10.1161/CIRCULATIONAHA.110.990192; 10.1161/CIRCULATIONAHA.110.990192</w:t>
      </w:r>
    </w:p>
    <w:p w14:paraId="6376F67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Jais, X., Olsson, K. M., Barbera, J. A., Blanco, I., Torbicki, A., Peacock, A., et al. (2012). Pregnancy outcomes in pulmonary arterial hypertension in the modern management era.</w:t>
      </w:r>
      <w:r w:rsidRPr="00CC7E17">
        <w:rPr>
          <w:rFonts w:ascii="Arial" w:eastAsiaTheme="minorEastAsia" w:hAnsi="Arial" w:cs="Arial"/>
          <w:i/>
          <w:iCs/>
          <w:bdr w:val="none" w:sz="0" w:space="0" w:color="auto"/>
        </w:rPr>
        <w:t xml:space="preserve"> The European Respiratory Journal, 40</w:t>
      </w:r>
      <w:r w:rsidRPr="00CC7E17">
        <w:rPr>
          <w:rFonts w:ascii="Arial" w:eastAsiaTheme="minorEastAsia" w:hAnsi="Arial" w:cs="Arial"/>
          <w:bdr w:val="none" w:sz="0" w:space="0" w:color="auto"/>
        </w:rPr>
        <w:t>(4), 881-885. doi:10.1183/09031936.00141211</w:t>
      </w:r>
    </w:p>
    <w:p w14:paraId="65D9B44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Jamieson, D. J., Honein, M. A., Rasmussen, S. A., Williams, J. L., Swerdlow, D. L., Biggerstaff, M. S., et al. (2009). H1N1 2009 influenza virus infection during pregnancy in the USA.</w:t>
      </w:r>
      <w:r w:rsidRPr="00CC7E17">
        <w:rPr>
          <w:rFonts w:ascii="Arial" w:eastAsiaTheme="minorEastAsia" w:hAnsi="Arial" w:cs="Arial"/>
          <w:i/>
          <w:iCs/>
          <w:bdr w:val="none" w:sz="0" w:space="0" w:color="auto"/>
        </w:rPr>
        <w:t xml:space="preserve"> Lancet, 374</w:t>
      </w:r>
      <w:r w:rsidRPr="00CC7E17">
        <w:rPr>
          <w:rFonts w:ascii="Arial" w:eastAsiaTheme="minorEastAsia" w:hAnsi="Arial" w:cs="Arial"/>
          <w:bdr w:val="none" w:sz="0" w:space="0" w:color="auto"/>
        </w:rPr>
        <w:t>(9688), 451-458. doi:10.1016/S0140-6736(09)61304-0; 10.1016/S0140-6736(09)61304-0</w:t>
      </w:r>
    </w:p>
    <w:p w14:paraId="6BE5F67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Jess, T., Simonsen, J., Jorgensen, K. T., Pedersen, B. V., Nielsen, N. M., &amp; Frisch, M. (2012). Decreasing risk of colorectal cancer in patients with inflammatory bowel disease over 30 years.</w:t>
      </w:r>
      <w:r w:rsidRPr="00CC7E17">
        <w:rPr>
          <w:rFonts w:ascii="Arial" w:eastAsiaTheme="minorEastAsia" w:hAnsi="Arial" w:cs="Arial"/>
          <w:i/>
          <w:iCs/>
          <w:bdr w:val="none" w:sz="0" w:space="0" w:color="auto"/>
        </w:rPr>
        <w:t xml:space="preserve"> Gastroenterology, 143</w:t>
      </w:r>
      <w:r w:rsidRPr="00CC7E17">
        <w:rPr>
          <w:rFonts w:ascii="Arial" w:eastAsiaTheme="minorEastAsia" w:hAnsi="Arial" w:cs="Arial"/>
          <w:bdr w:val="none" w:sz="0" w:space="0" w:color="auto"/>
        </w:rPr>
        <w:t>(2), 375-81.e1; quiz e13-4. doi:10.1053/j.gastro.2012.04.016; 10.1053/j.gastro.2012.04.016</w:t>
      </w:r>
    </w:p>
    <w:p w14:paraId="702CF19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Jiang, Y., Osgood, N., Lim, H. J., Stang, M. R., &amp; Dyck, R. (2014). Differential mortality and the excess burden of end-stage renal disease among first nations people with diabetes mellitus: A competing-risks analysis.</w:t>
      </w:r>
      <w:r w:rsidRPr="00CC7E17">
        <w:rPr>
          <w:rFonts w:ascii="Arial" w:eastAsiaTheme="minorEastAsia" w:hAnsi="Arial" w:cs="Arial"/>
          <w:i/>
          <w:iCs/>
          <w:bdr w:val="none" w:sz="0" w:space="0" w:color="auto"/>
        </w:rPr>
        <w:t xml:space="preserve"> CMAJ : Canadian Medical Association Journal = Journal De l'Association Medicale Canadienne, 186</w:t>
      </w:r>
      <w:r w:rsidRPr="00CC7E17">
        <w:rPr>
          <w:rFonts w:ascii="Arial" w:eastAsiaTheme="minorEastAsia" w:hAnsi="Arial" w:cs="Arial"/>
          <w:bdr w:val="none" w:sz="0" w:space="0" w:color="auto"/>
        </w:rPr>
        <w:t>(2), 103-109. doi:10.1503/cmaj.130721; 10.1503/cmaj.130721</w:t>
      </w:r>
    </w:p>
    <w:p w14:paraId="073C4CA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Jimenez, D., Aujesky, D., Diaz, G., Monreal, M., Otero, R., Marti, D., et al. (2010). Prognostic significance of deep vein thrombosis in patients presenting with acute symptomatic pulmonary embolism.</w:t>
      </w:r>
      <w:r w:rsidRPr="00CC7E17">
        <w:rPr>
          <w:rFonts w:ascii="Arial" w:eastAsiaTheme="minorEastAsia" w:hAnsi="Arial" w:cs="Arial"/>
          <w:i/>
          <w:iCs/>
          <w:bdr w:val="none" w:sz="0" w:space="0" w:color="auto"/>
        </w:rPr>
        <w:t xml:space="preserve"> American Journal of Respiratory and Critical Care Medicine, 181</w:t>
      </w:r>
      <w:r w:rsidRPr="00CC7E17">
        <w:rPr>
          <w:rFonts w:ascii="Arial" w:eastAsiaTheme="minorEastAsia" w:hAnsi="Arial" w:cs="Arial"/>
          <w:bdr w:val="none" w:sz="0" w:space="0" w:color="auto"/>
        </w:rPr>
        <w:t>(9), 983-991. doi:10.1164/rccm.200908-1204OC; 10.1164/rccm.200908-1204OC</w:t>
      </w:r>
    </w:p>
    <w:p w14:paraId="2F564C3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Jones, S. B., Sen, S., Lakshminarayan, K., &amp; Rosamond, W. D. (2013). Poststroke outcomes vary by pathogenic stroke subtype in the atherosclerosis risk in communities study.</w:t>
      </w:r>
      <w:r w:rsidRPr="00CC7E17">
        <w:rPr>
          <w:rFonts w:ascii="Arial" w:eastAsiaTheme="minorEastAsia" w:hAnsi="Arial" w:cs="Arial"/>
          <w:i/>
          <w:iCs/>
          <w:bdr w:val="none" w:sz="0" w:space="0" w:color="auto"/>
        </w:rPr>
        <w:t xml:space="preserve"> Stroke; a Journal of Cerebral Circulation, 44</w:t>
      </w:r>
      <w:r w:rsidRPr="00CC7E17">
        <w:rPr>
          <w:rFonts w:ascii="Arial" w:eastAsiaTheme="minorEastAsia" w:hAnsi="Arial" w:cs="Arial"/>
          <w:bdr w:val="none" w:sz="0" w:space="0" w:color="auto"/>
        </w:rPr>
        <w:t>(8), 2307-2310. doi:10.1161/STROKEAHA.113.000830; 10.1161/STROKEAHA.113.000830</w:t>
      </w:r>
    </w:p>
    <w:p w14:paraId="1CB6726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Kamath-Rayne, B. D., DeFranco, E. A., Chung, E., &amp; Chen, A. (2013). Subtypes of preterm birth and the risk of postneonatal death.</w:t>
      </w:r>
      <w:r w:rsidRPr="00CC7E17">
        <w:rPr>
          <w:rFonts w:ascii="Arial" w:eastAsiaTheme="minorEastAsia" w:hAnsi="Arial" w:cs="Arial"/>
          <w:i/>
          <w:iCs/>
          <w:bdr w:val="none" w:sz="0" w:space="0" w:color="auto"/>
        </w:rPr>
        <w:t xml:space="preserve"> The Journal of Pediatrics, 162</w:t>
      </w:r>
      <w:r w:rsidRPr="00CC7E17">
        <w:rPr>
          <w:rFonts w:ascii="Arial" w:eastAsiaTheme="minorEastAsia" w:hAnsi="Arial" w:cs="Arial"/>
          <w:bdr w:val="none" w:sz="0" w:space="0" w:color="auto"/>
        </w:rPr>
        <w:t>(1), 28-34.e2. doi:10.1016/j.jpeds.2012.06.051; 10.1016/j.jpeds.2012.06.051</w:t>
      </w:r>
    </w:p>
    <w:p w14:paraId="1E4FE1D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Kang, J. H., Sheu, J. J., Kao, S., &amp; Lin, H. C. (2011). Increased risk of multiple sclerosis following herpes zoster: A nationwide, population-based study.</w:t>
      </w:r>
      <w:r w:rsidRPr="00CC7E17">
        <w:rPr>
          <w:rFonts w:ascii="Arial" w:eastAsiaTheme="minorEastAsia" w:hAnsi="Arial" w:cs="Arial"/>
          <w:i/>
          <w:iCs/>
          <w:bdr w:val="none" w:sz="0" w:space="0" w:color="auto"/>
        </w:rPr>
        <w:t xml:space="preserve"> The Journal of Infectious Diseases, 204</w:t>
      </w:r>
      <w:r w:rsidRPr="00CC7E17">
        <w:rPr>
          <w:rFonts w:ascii="Arial" w:eastAsiaTheme="minorEastAsia" w:hAnsi="Arial" w:cs="Arial"/>
          <w:bdr w:val="none" w:sz="0" w:space="0" w:color="auto"/>
        </w:rPr>
        <w:t>(2), 188-192. doi:10.1093/infdis/jir239; 10.1093/infdis/jir239</w:t>
      </w:r>
    </w:p>
    <w:p w14:paraId="7998AC3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Kantor, P. F., Abraham, J. R., Dipchand, A. I., Benson, L. N., &amp; Redington, A. N. (2010). The impact of changing medical therapy on transplantation-free survival in pediatric dilated cardiomyopathy.</w:t>
      </w:r>
      <w:r w:rsidRPr="00CC7E17">
        <w:rPr>
          <w:rFonts w:ascii="Arial" w:eastAsiaTheme="minorEastAsia" w:hAnsi="Arial" w:cs="Arial"/>
          <w:i/>
          <w:iCs/>
          <w:bdr w:val="none" w:sz="0" w:space="0" w:color="auto"/>
        </w:rPr>
        <w:t xml:space="preserve"> Journal of the American College of Cardiology, 55</w:t>
      </w:r>
      <w:r w:rsidRPr="00CC7E17">
        <w:rPr>
          <w:rFonts w:ascii="Arial" w:eastAsiaTheme="minorEastAsia" w:hAnsi="Arial" w:cs="Arial"/>
          <w:bdr w:val="none" w:sz="0" w:space="0" w:color="auto"/>
        </w:rPr>
        <w:t>(13), 1377-1384. doi:10.1016/j.jacc.2009.11.059; 10.1016/j.jacc.2009.11.059</w:t>
      </w:r>
    </w:p>
    <w:p w14:paraId="71134DA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Kapusta, L., Eveleigh, R. M., Poulino, S. E., Rijlaarsdam, M. E., du Marchie Sarvaas, G. J., Strengers, J. L., et al. (2007). Ebstein's anomaly: Factors associated with death in childhood and adolescence: A multi-centre, long-term study.</w:t>
      </w:r>
      <w:r w:rsidRPr="00CC7E17">
        <w:rPr>
          <w:rFonts w:ascii="Arial" w:eastAsiaTheme="minorEastAsia" w:hAnsi="Arial" w:cs="Arial"/>
          <w:i/>
          <w:iCs/>
          <w:bdr w:val="none" w:sz="0" w:space="0" w:color="auto"/>
        </w:rPr>
        <w:t xml:space="preserve"> European Heart Journal, 28</w:t>
      </w:r>
      <w:r w:rsidRPr="00CC7E17">
        <w:rPr>
          <w:rFonts w:ascii="Arial" w:eastAsiaTheme="minorEastAsia" w:hAnsi="Arial" w:cs="Arial"/>
          <w:bdr w:val="none" w:sz="0" w:space="0" w:color="auto"/>
        </w:rPr>
        <w:t>(21), 2661-2666. doi:10.1093/eurheartj/ehm398</w:t>
      </w:r>
    </w:p>
    <w:p w14:paraId="0C982A1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Kaw, R., Hernandez, A. V., Masood, I., Gillinov, A. M., Saliba, W., &amp; Blackstone, E. H. (2011). Short- and long-term mortality associated with new-onset atrial fibrillation after coronary artery bypass grafting: A systematic review and meta-analysis.</w:t>
      </w:r>
      <w:r w:rsidRPr="00CC7E17">
        <w:rPr>
          <w:rFonts w:ascii="Arial" w:eastAsiaTheme="minorEastAsia" w:hAnsi="Arial" w:cs="Arial"/>
          <w:i/>
          <w:iCs/>
          <w:bdr w:val="none" w:sz="0" w:space="0" w:color="auto"/>
        </w:rPr>
        <w:t xml:space="preserve"> The Journal of Thoracic and Cardiovascular Surgery, 141</w:t>
      </w:r>
      <w:r w:rsidRPr="00CC7E17">
        <w:rPr>
          <w:rFonts w:ascii="Arial" w:eastAsiaTheme="minorEastAsia" w:hAnsi="Arial" w:cs="Arial"/>
          <w:bdr w:val="none" w:sz="0" w:space="0" w:color="auto"/>
        </w:rPr>
        <w:t>(5), 1305-1312. doi:10.1016/j.jtcvs.2010.10.040; 10.1016/j.jtcvs.2010.10.040</w:t>
      </w:r>
    </w:p>
    <w:p w14:paraId="44935D0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Kelly, R. S., Walker, P., Kitchener, H., &amp; Moss, S. M. (2012). Incidence of cervical intraepithelial neoplasia grade 2 or worse in colposcopy-negative/human papillomavirus-positive women with low-grade cytological abnormalities.</w:t>
      </w:r>
      <w:r w:rsidRPr="00CC7E17">
        <w:rPr>
          <w:rFonts w:ascii="Arial" w:eastAsiaTheme="minorEastAsia" w:hAnsi="Arial" w:cs="Arial"/>
          <w:i/>
          <w:iCs/>
          <w:bdr w:val="none" w:sz="0" w:space="0" w:color="auto"/>
        </w:rPr>
        <w:t xml:space="preserve"> BJOG : An International Journal of Obstetrics and Gynaecology, 119</w:t>
      </w:r>
      <w:r w:rsidRPr="00CC7E17">
        <w:rPr>
          <w:rFonts w:ascii="Arial" w:eastAsiaTheme="minorEastAsia" w:hAnsi="Arial" w:cs="Arial"/>
          <w:bdr w:val="none" w:sz="0" w:space="0" w:color="auto"/>
        </w:rPr>
        <w:t>(1), 20-25. doi:10.1111/j.1471-0528.2011.02970.x; 10.1111/j.1471-0528.2011.02970.x</w:t>
      </w:r>
    </w:p>
    <w:p w14:paraId="64653AA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Kenet, G., Kirkham, F., Niederstadt, T., Heinecke, A., Saunders, D., Stoll, M., et al. (2007). Risk factors for recurrent venous thromboembolism in the european collaborative paediatric database on cerebral venous thrombosis: A multicentre cohort study.</w:t>
      </w:r>
      <w:r w:rsidRPr="00CC7E17">
        <w:rPr>
          <w:rFonts w:ascii="Arial" w:eastAsiaTheme="minorEastAsia" w:hAnsi="Arial" w:cs="Arial"/>
          <w:i/>
          <w:iCs/>
          <w:bdr w:val="none" w:sz="0" w:space="0" w:color="auto"/>
        </w:rPr>
        <w:t xml:space="preserve"> The Lancet.Neurology, 6</w:t>
      </w:r>
      <w:r w:rsidRPr="00CC7E17">
        <w:rPr>
          <w:rFonts w:ascii="Arial" w:eastAsiaTheme="minorEastAsia" w:hAnsi="Arial" w:cs="Arial"/>
          <w:bdr w:val="none" w:sz="0" w:space="0" w:color="auto"/>
        </w:rPr>
        <w:t>(7), 595-603. doi:10.1016/S1474-4422(07)70131-X</w:t>
      </w:r>
    </w:p>
    <w:p w14:paraId="1A88C3D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Kho, L. K., Lawn, N. D., Dunne, J. W., &amp; Linto, J. (2006). First seizure presentation: Do multiple seizures within 24 hours predict recurrence?</w:t>
      </w:r>
      <w:r w:rsidRPr="00CC7E17">
        <w:rPr>
          <w:rFonts w:ascii="Arial" w:eastAsiaTheme="minorEastAsia" w:hAnsi="Arial" w:cs="Arial"/>
          <w:i/>
          <w:iCs/>
          <w:bdr w:val="none" w:sz="0" w:space="0" w:color="auto"/>
        </w:rPr>
        <w:t xml:space="preserve"> Neurology, 67</w:t>
      </w:r>
      <w:r w:rsidRPr="00CC7E17">
        <w:rPr>
          <w:rFonts w:ascii="Arial" w:eastAsiaTheme="minorEastAsia" w:hAnsi="Arial" w:cs="Arial"/>
          <w:bdr w:val="none" w:sz="0" w:space="0" w:color="auto"/>
        </w:rPr>
        <w:t>(6), 1047-1049. doi:10.1212/01.wnl.0000237555.12146.66</w:t>
      </w:r>
    </w:p>
    <w:p w14:paraId="0BCE8D9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Kisely, S., Smith, M., Lawrence, D., &amp; Maaten, S. (2005). Mortality in individuals who have had psychiatric treatment: Population-based study in nova scotia.</w:t>
      </w:r>
      <w:r w:rsidRPr="00CC7E17">
        <w:rPr>
          <w:rFonts w:ascii="Arial" w:eastAsiaTheme="minorEastAsia" w:hAnsi="Arial" w:cs="Arial"/>
          <w:i/>
          <w:iCs/>
          <w:bdr w:val="none" w:sz="0" w:space="0" w:color="auto"/>
        </w:rPr>
        <w:t xml:space="preserve"> The British Journal of Psychiatry : The Journal of Mental Science, 187</w:t>
      </w:r>
      <w:r w:rsidRPr="00CC7E17">
        <w:rPr>
          <w:rFonts w:ascii="Arial" w:eastAsiaTheme="minorEastAsia" w:hAnsi="Arial" w:cs="Arial"/>
          <w:bdr w:val="none" w:sz="0" w:space="0" w:color="auto"/>
        </w:rPr>
        <w:t>, 552-558. doi:10.1192/bjp.187.6.552</w:t>
      </w:r>
    </w:p>
    <w:p w14:paraId="0E19A17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Knoop, T., Vikse, B. E., Svarstad, E., Leh, S., Reisaeter, A. V., &amp; Bjorneklett, R. (2013). Mortality in patients with IgA nephropathy.</w:t>
      </w:r>
      <w:r w:rsidRPr="00CC7E17">
        <w:rPr>
          <w:rFonts w:ascii="Arial" w:eastAsiaTheme="minorEastAsia" w:hAnsi="Arial" w:cs="Arial"/>
          <w:i/>
          <w:iCs/>
          <w:bdr w:val="none" w:sz="0" w:space="0" w:color="auto"/>
        </w:rPr>
        <w:t xml:space="preserve"> American Journal of Kidney Diseases : The Official Journal of the National Kidney Foundation, 62</w:t>
      </w:r>
      <w:r w:rsidRPr="00CC7E17">
        <w:rPr>
          <w:rFonts w:ascii="Arial" w:eastAsiaTheme="minorEastAsia" w:hAnsi="Arial" w:cs="Arial"/>
          <w:bdr w:val="none" w:sz="0" w:space="0" w:color="auto"/>
        </w:rPr>
        <w:t>(5), 883-890. doi:10.1053/j.ajkd.2013.04.019; 10.1053/j.ajkd.2013.04.019</w:t>
      </w:r>
    </w:p>
    <w:p w14:paraId="0853DEA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Kraft, R., Herndon, D. N., Al-Mousawi, A. M., Williams, F. N., Finnerty, C. C., &amp; Jeschke, M. G. (2012). Burn size and survival probability in paediatric patients in modern burn care: A prospective observational cohort study.</w:t>
      </w:r>
      <w:r w:rsidRPr="00CC7E17">
        <w:rPr>
          <w:rFonts w:ascii="Arial" w:eastAsiaTheme="minorEastAsia" w:hAnsi="Arial" w:cs="Arial"/>
          <w:i/>
          <w:iCs/>
          <w:bdr w:val="none" w:sz="0" w:space="0" w:color="auto"/>
        </w:rPr>
        <w:t xml:space="preserve"> Lancet, 379</w:t>
      </w:r>
      <w:r w:rsidRPr="00CC7E17">
        <w:rPr>
          <w:rFonts w:ascii="Arial" w:eastAsiaTheme="minorEastAsia" w:hAnsi="Arial" w:cs="Arial"/>
          <w:bdr w:val="none" w:sz="0" w:space="0" w:color="auto"/>
        </w:rPr>
        <w:t>(9820), 1013-1021. doi:10.1016/S0140-6736(11)61345-7; 10.1016/S0140-6736(11)61345-7</w:t>
      </w:r>
    </w:p>
    <w:p w14:paraId="149225C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Kremers, H. M., Crowson, C. S., Therneau, T. M., Roger, V. L., &amp; Gabriel, S. E. (2008). High ten-year risk of cardiovascular disease in newly diagnosed rheumatoid arthritis patients: A population-based cohort study.</w:t>
      </w:r>
      <w:r w:rsidRPr="00CC7E17">
        <w:rPr>
          <w:rFonts w:ascii="Arial" w:eastAsiaTheme="minorEastAsia" w:hAnsi="Arial" w:cs="Arial"/>
          <w:i/>
          <w:iCs/>
          <w:bdr w:val="none" w:sz="0" w:space="0" w:color="auto"/>
        </w:rPr>
        <w:t xml:space="preserve"> Arthritis and Rheumatism, 58</w:t>
      </w:r>
      <w:r w:rsidRPr="00CC7E17">
        <w:rPr>
          <w:rFonts w:ascii="Arial" w:eastAsiaTheme="minorEastAsia" w:hAnsi="Arial" w:cs="Arial"/>
          <w:bdr w:val="none" w:sz="0" w:space="0" w:color="auto"/>
        </w:rPr>
        <w:t>(8), 2268-2274. doi:10.1002/art.23650; 10.1002/art.23650</w:t>
      </w:r>
    </w:p>
    <w:p w14:paraId="45C127F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Kucik, J. E., Shin, M., Siffel, C., Marengo, L., Correa, A., &amp; Congenital Anomaly Multistate Prevalence and Survival Collaborative. (2013). Trends in survival among children with down syndrome in 10 regions of the united states.</w:t>
      </w:r>
      <w:r w:rsidRPr="00CC7E17">
        <w:rPr>
          <w:rFonts w:ascii="Arial" w:eastAsiaTheme="minorEastAsia" w:hAnsi="Arial" w:cs="Arial"/>
          <w:i/>
          <w:iCs/>
          <w:bdr w:val="none" w:sz="0" w:space="0" w:color="auto"/>
        </w:rPr>
        <w:t xml:space="preserve"> Pediatrics, 131</w:t>
      </w:r>
      <w:r w:rsidRPr="00CC7E17">
        <w:rPr>
          <w:rFonts w:ascii="Arial" w:eastAsiaTheme="minorEastAsia" w:hAnsi="Arial" w:cs="Arial"/>
          <w:bdr w:val="none" w:sz="0" w:space="0" w:color="auto"/>
        </w:rPr>
        <w:t>(1), e27-36. doi:10.1542/peds.2012-1616; 10.1542/peds.2012-1616</w:t>
      </w:r>
    </w:p>
    <w:p w14:paraId="1E26867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Kumar, A., Zarychanski, R., Pinto, R., Cook, D. J., Marshall, J., Lacroix, J., et al. (2009). Critically ill patients with 2009 influenza A(H1N1) infection in canada.</w:t>
      </w:r>
      <w:r w:rsidRPr="00CC7E17">
        <w:rPr>
          <w:rFonts w:ascii="Arial" w:eastAsiaTheme="minorEastAsia" w:hAnsi="Arial" w:cs="Arial"/>
          <w:i/>
          <w:iCs/>
          <w:bdr w:val="none" w:sz="0" w:space="0" w:color="auto"/>
        </w:rPr>
        <w:t xml:space="preserve"> JAMA : The Journal of the American Medical Association, 302</w:t>
      </w:r>
      <w:r w:rsidRPr="00CC7E17">
        <w:rPr>
          <w:rFonts w:ascii="Arial" w:eastAsiaTheme="minorEastAsia" w:hAnsi="Arial" w:cs="Arial"/>
          <w:bdr w:val="none" w:sz="0" w:space="0" w:color="auto"/>
        </w:rPr>
        <w:t>(17), 1872-1879. doi:10.1001/jama.2009.1496; 10.1001/jama.2009.1496</w:t>
      </w:r>
    </w:p>
    <w:p w14:paraId="47027B3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Kyser, K. L., Morriss, F. H.,Jr, Bell, E. F., Klein, J. M., &amp; Dagle, J. M. (2012). Improving survival of extremely preterm infants born between 22 and 25 weeks of gestation.</w:t>
      </w:r>
      <w:r w:rsidRPr="00CC7E17">
        <w:rPr>
          <w:rFonts w:ascii="Arial" w:eastAsiaTheme="minorEastAsia" w:hAnsi="Arial" w:cs="Arial"/>
          <w:i/>
          <w:iCs/>
          <w:bdr w:val="none" w:sz="0" w:space="0" w:color="auto"/>
        </w:rPr>
        <w:t xml:space="preserve"> Obstetrics and Gynecology, 119</w:t>
      </w:r>
      <w:r w:rsidRPr="00CC7E17">
        <w:rPr>
          <w:rFonts w:ascii="Arial" w:eastAsiaTheme="minorEastAsia" w:hAnsi="Arial" w:cs="Arial"/>
          <w:bdr w:val="none" w:sz="0" w:space="0" w:color="auto"/>
        </w:rPr>
        <w:t>(4), 795-800. doi:10.1097/AOG.0b013e31824b1a03; 10.1097/AOG.0b013e31824b1a03</w:t>
      </w:r>
    </w:p>
    <w:p w14:paraId="453DFF5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Lachiewicz, A. M., Berwick, M., Wiggins, C. L., &amp; Thomas, N. E. (2008). Survival differences between patients with scalp or neck melanoma and those with melanoma of other sites in the surveillance, epidemiology, and end results (SEER) program.</w:t>
      </w:r>
      <w:r w:rsidRPr="00CC7E17">
        <w:rPr>
          <w:rFonts w:ascii="Arial" w:eastAsiaTheme="minorEastAsia" w:hAnsi="Arial" w:cs="Arial"/>
          <w:i/>
          <w:iCs/>
          <w:bdr w:val="none" w:sz="0" w:space="0" w:color="auto"/>
        </w:rPr>
        <w:t xml:space="preserve"> Archives of Dermatology, 144</w:t>
      </w:r>
      <w:r w:rsidRPr="00CC7E17">
        <w:rPr>
          <w:rFonts w:ascii="Arial" w:eastAsiaTheme="minorEastAsia" w:hAnsi="Arial" w:cs="Arial"/>
          <w:bdr w:val="none" w:sz="0" w:space="0" w:color="auto"/>
        </w:rPr>
        <w:t>(4), 515-521. doi:10.1001/archderm.144.4.515; 10.1001/archderm.144.4.515</w:t>
      </w:r>
    </w:p>
    <w:p w14:paraId="7678967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Lahra, M. M., Beeby, P. J., &amp; Jeffery, H. E. (2009). Intrauterine inflammation, neonatal sepsis, and chronic lung disease: A 13-year hospital cohort study.</w:t>
      </w:r>
      <w:r w:rsidRPr="00CC7E17">
        <w:rPr>
          <w:rFonts w:ascii="Arial" w:eastAsiaTheme="minorEastAsia" w:hAnsi="Arial" w:cs="Arial"/>
          <w:i/>
          <w:iCs/>
          <w:bdr w:val="none" w:sz="0" w:space="0" w:color="auto"/>
        </w:rPr>
        <w:t xml:space="preserve"> Pediatrics, 123</w:t>
      </w:r>
      <w:r w:rsidRPr="00CC7E17">
        <w:rPr>
          <w:rFonts w:ascii="Arial" w:eastAsiaTheme="minorEastAsia" w:hAnsi="Arial" w:cs="Arial"/>
          <w:bdr w:val="none" w:sz="0" w:space="0" w:color="auto"/>
        </w:rPr>
        <w:t>(5), 1314-1319. doi:10.1542/peds.2008-0656; 10.1542/peds.2008-0656</w:t>
      </w:r>
    </w:p>
    <w:p w14:paraId="0B30935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Lahra, M. M., Beeby, P. J., &amp; Jeffery, H. E. (2009). Maternal versus fetal inflammation and respiratory distress syndrome: A 10-year hospital cohort study.</w:t>
      </w:r>
      <w:r w:rsidRPr="00CC7E17">
        <w:rPr>
          <w:rFonts w:ascii="Arial" w:eastAsiaTheme="minorEastAsia" w:hAnsi="Arial" w:cs="Arial"/>
          <w:i/>
          <w:iCs/>
          <w:bdr w:val="none" w:sz="0" w:space="0" w:color="auto"/>
        </w:rPr>
        <w:t xml:space="preserve"> Archives of Disease in Childhood.Fetal and Neonatal Edition, 94</w:t>
      </w:r>
      <w:r w:rsidRPr="00CC7E17">
        <w:rPr>
          <w:rFonts w:ascii="Arial" w:eastAsiaTheme="minorEastAsia" w:hAnsi="Arial" w:cs="Arial"/>
          <w:bdr w:val="none" w:sz="0" w:space="0" w:color="auto"/>
        </w:rPr>
        <w:t>(1), F13-6. doi:10.1136/adc.2007.135889; 10.1136/adc.2007.135889</w:t>
      </w:r>
    </w:p>
    <w:p w14:paraId="619066A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Lang, J. L., Minei, J. P., Modrall, J. G., Clagett, G. P., &amp; Valentine, R. J. (2010). The limitations of thoracic endovascular aortic repair in altering the natural history of blunt aortic injury.</w:t>
      </w:r>
      <w:r w:rsidRPr="00CC7E17">
        <w:rPr>
          <w:rFonts w:ascii="Arial" w:eastAsiaTheme="minorEastAsia" w:hAnsi="Arial" w:cs="Arial"/>
          <w:i/>
          <w:iCs/>
          <w:bdr w:val="none" w:sz="0" w:space="0" w:color="auto"/>
        </w:rPr>
        <w:t xml:space="preserve"> Journal of Vascular Surgery, 52</w:t>
      </w:r>
      <w:r w:rsidRPr="00CC7E17">
        <w:rPr>
          <w:rFonts w:ascii="Arial" w:eastAsiaTheme="minorEastAsia" w:hAnsi="Arial" w:cs="Arial"/>
          <w:bdr w:val="none" w:sz="0" w:space="0" w:color="auto"/>
        </w:rPr>
        <w:t>(2), 290-7; discussion 297. doi:10.1016/j.jvs.2010.03.013; 10.1016/j.jvs.2010.03.013</w:t>
      </w:r>
    </w:p>
    <w:p w14:paraId="7BBF523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Langer-Gould, A., Zhang, J. L., Chung, J., Yeung, Y., Waubant, E., &amp; Yao, J. (2011). Incidence of acquired CNS demyelinating syndromes in a multiethnic cohort of children.</w:t>
      </w:r>
      <w:r w:rsidRPr="00CC7E17">
        <w:rPr>
          <w:rFonts w:ascii="Arial" w:eastAsiaTheme="minorEastAsia" w:hAnsi="Arial" w:cs="Arial"/>
          <w:i/>
          <w:iCs/>
          <w:bdr w:val="none" w:sz="0" w:space="0" w:color="auto"/>
        </w:rPr>
        <w:t xml:space="preserve"> Neurology, 77</w:t>
      </w:r>
      <w:r w:rsidRPr="00CC7E17">
        <w:rPr>
          <w:rFonts w:ascii="Arial" w:eastAsiaTheme="minorEastAsia" w:hAnsi="Arial" w:cs="Arial"/>
          <w:bdr w:val="none" w:sz="0" w:space="0" w:color="auto"/>
        </w:rPr>
        <w:t>(12), 1143-1148. doi:10.1212/WNL.0b013e31822facdd; 10.1212/WNL.0b013e31822facdd</w:t>
      </w:r>
    </w:p>
    <w:p w14:paraId="75C2B6C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Le Rhun, E., Richard, F., &amp; Pasquier, F. (2005). Natural history of primary progressive aphasia.</w:t>
      </w:r>
      <w:r w:rsidRPr="00CC7E17">
        <w:rPr>
          <w:rFonts w:ascii="Arial" w:eastAsiaTheme="minorEastAsia" w:hAnsi="Arial" w:cs="Arial"/>
          <w:i/>
          <w:iCs/>
          <w:bdr w:val="none" w:sz="0" w:space="0" w:color="auto"/>
        </w:rPr>
        <w:t xml:space="preserve"> Neurology, 65</w:t>
      </w:r>
      <w:r w:rsidRPr="00CC7E17">
        <w:rPr>
          <w:rFonts w:ascii="Arial" w:eastAsiaTheme="minorEastAsia" w:hAnsi="Arial" w:cs="Arial"/>
          <w:bdr w:val="none" w:sz="0" w:space="0" w:color="auto"/>
        </w:rPr>
        <w:t>(6), 887-891. doi:10.1212/01.wnl.0000175982.57472.84</w:t>
      </w:r>
    </w:p>
    <w:p w14:paraId="49EA577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Leavey, A., Zwaigenbaum, L., Heavner, K., &amp; Burstyn, I. (2013). Gestational age at birth and risk of autism spectrum disorders in alberta, canada.</w:t>
      </w:r>
      <w:r w:rsidRPr="00CC7E17">
        <w:rPr>
          <w:rFonts w:ascii="Arial" w:eastAsiaTheme="minorEastAsia" w:hAnsi="Arial" w:cs="Arial"/>
          <w:i/>
          <w:iCs/>
          <w:bdr w:val="none" w:sz="0" w:space="0" w:color="auto"/>
        </w:rPr>
        <w:t xml:space="preserve"> The Journal of Pediatrics, 162</w:t>
      </w:r>
      <w:r w:rsidRPr="00CC7E17">
        <w:rPr>
          <w:rFonts w:ascii="Arial" w:eastAsiaTheme="minorEastAsia" w:hAnsi="Arial" w:cs="Arial"/>
          <w:bdr w:val="none" w:sz="0" w:space="0" w:color="auto"/>
        </w:rPr>
        <w:t>(2), 361-368. doi:10.1016/j.jpeds.2012.07.040; 10.1016/j.jpeds.2012.07.040</w:t>
      </w:r>
    </w:p>
    <w:p w14:paraId="3E2B51F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Lee, J., Bhatia, N. N., Hoang, B. H., Ziogas, A., &amp; Zell, J. A. (2012). Analysis of prognostic factors for patients with chordoma with use of the california cancer registry.</w:t>
      </w:r>
      <w:r w:rsidRPr="00CC7E17">
        <w:rPr>
          <w:rFonts w:ascii="Arial" w:eastAsiaTheme="minorEastAsia" w:hAnsi="Arial" w:cs="Arial"/>
          <w:i/>
          <w:iCs/>
          <w:bdr w:val="none" w:sz="0" w:space="0" w:color="auto"/>
        </w:rPr>
        <w:t xml:space="preserve"> The Journal of Bone and Joint Surgery.American Volume, 94</w:t>
      </w:r>
      <w:r w:rsidRPr="00CC7E17">
        <w:rPr>
          <w:rFonts w:ascii="Arial" w:eastAsiaTheme="minorEastAsia" w:hAnsi="Arial" w:cs="Arial"/>
          <w:bdr w:val="none" w:sz="0" w:space="0" w:color="auto"/>
        </w:rPr>
        <w:t>(4), 356-363. doi:10.2106/JBJS.J.01784; 10.2106/JBJS.J.01784</w:t>
      </w:r>
    </w:p>
    <w:p w14:paraId="1EF45EB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Lemant, J., Boisson, V., Winer, A., Thibault, L., Andre, H., Tixier, F., et al. (2008). Serious acute chikungunya virus infection requiring intensive care during the reunion island outbreak in 2005-2006.</w:t>
      </w:r>
      <w:r w:rsidRPr="00CC7E17">
        <w:rPr>
          <w:rFonts w:ascii="Arial" w:eastAsiaTheme="minorEastAsia" w:hAnsi="Arial" w:cs="Arial"/>
          <w:i/>
          <w:iCs/>
          <w:bdr w:val="none" w:sz="0" w:space="0" w:color="auto"/>
        </w:rPr>
        <w:t xml:space="preserve"> Critical Care Medicine, 36</w:t>
      </w:r>
      <w:r w:rsidRPr="00CC7E17">
        <w:rPr>
          <w:rFonts w:ascii="Arial" w:eastAsiaTheme="minorEastAsia" w:hAnsi="Arial" w:cs="Arial"/>
          <w:bdr w:val="none" w:sz="0" w:space="0" w:color="auto"/>
        </w:rPr>
        <w:t>(9), 2536-2541. doi:10.1097/CCM.0b013e318183f2d2; 10.1097/CCM.0b013e318183f2d2</w:t>
      </w:r>
    </w:p>
    <w:p w14:paraId="1FE2D1E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Lewi, L., Jani, J., Blickstein, I., Huber, A., Gucciardo, L., Van Mieghem, T., et al. (2008). The outcome of monochorionic diamniotic twin gestations in the era of invasive fetal therapy: A prospective cohort study.</w:t>
      </w:r>
      <w:r w:rsidRPr="00CC7E17">
        <w:rPr>
          <w:rFonts w:ascii="Arial" w:eastAsiaTheme="minorEastAsia" w:hAnsi="Arial" w:cs="Arial"/>
          <w:i/>
          <w:iCs/>
          <w:bdr w:val="none" w:sz="0" w:space="0" w:color="auto"/>
        </w:rPr>
        <w:t xml:space="preserve"> American Journal of Obstetrics and Gynecology, 199</w:t>
      </w:r>
      <w:r w:rsidRPr="00CC7E17">
        <w:rPr>
          <w:rFonts w:ascii="Arial" w:eastAsiaTheme="minorEastAsia" w:hAnsi="Arial" w:cs="Arial"/>
          <w:bdr w:val="none" w:sz="0" w:space="0" w:color="auto"/>
        </w:rPr>
        <w:t>(5), 514.e1-514.e8. doi:10.1016/j.ajog.2008.03.050; 10.1016/j.ajog.2008.03.050</w:t>
      </w:r>
    </w:p>
    <w:p w14:paraId="5B9C281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 Z., Lacson, E.,Jr, Lowrie, E. G., Ofsthun, N. J., Kuhlmann, M. K., Lazarus, J. M., et al. (2006). The epidemiology of systolic blood pressure and death risk in hemodialysis patients.</w:t>
      </w:r>
      <w:r w:rsidRPr="00CC7E17">
        <w:rPr>
          <w:rFonts w:ascii="Arial" w:eastAsiaTheme="minorEastAsia" w:hAnsi="Arial" w:cs="Arial"/>
          <w:i/>
          <w:iCs/>
          <w:bdr w:val="none" w:sz="0" w:space="0" w:color="auto"/>
        </w:rPr>
        <w:t xml:space="preserve"> American Journal of Kidney Diseases : The Official Journal of the National Kidney Foundation, 48</w:t>
      </w:r>
      <w:r w:rsidRPr="00CC7E17">
        <w:rPr>
          <w:rFonts w:ascii="Arial" w:eastAsiaTheme="minorEastAsia" w:hAnsi="Arial" w:cs="Arial"/>
          <w:bdr w:val="none" w:sz="0" w:space="0" w:color="auto"/>
        </w:rPr>
        <w:t>(4), 606-615. doi:10.1053/j.ajkd.2006.07.005</w:t>
      </w:r>
    </w:p>
    <w:p w14:paraId="10BB070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Libster, R., Bugna, J., Coviello, S., Hijano, D. R., Dunaiewsky, M., Reynoso, N., et al. (2010). Pediatric hospitalizations associated with 2009 pandemic influenza A (H1N1) in argentina.</w:t>
      </w:r>
      <w:r w:rsidRPr="00CC7E17">
        <w:rPr>
          <w:rFonts w:ascii="Arial" w:eastAsiaTheme="minorEastAsia" w:hAnsi="Arial" w:cs="Arial"/>
          <w:i/>
          <w:iCs/>
          <w:bdr w:val="none" w:sz="0" w:space="0" w:color="auto"/>
        </w:rPr>
        <w:t xml:space="preserve"> The New England Journal of Medicine, 362</w:t>
      </w:r>
      <w:r w:rsidRPr="00CC7E17">
        <w:rPr>
          <w:rFonts w:ascii="Arial" w:eastAsiaTheme="minorEastAsia" w:hAnsi="Arial" w:cs="Arial"/>
          <w:bdr w:val="none" w:sz="0" w:space="0" w:color="auto"/>
        </w:rPr>
        <w:t>(1), 45-55. doi:10.1056/NEJMoa0907673; 10.1056/NEJMoa0907673</w:t>
      </w:r>
    </w:p>
    <w:p w14:paraId="72083C2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Liem, J. J., Kozyrskyj, A. L., Huq, S. I., &amp; Becker, A. B. (2007). The risk of developing food allergy in premature or low-birth-weight children.</w:t>
      </w:r>
      <w:r w:rsidRPr="00CC7E17">
        <w:rPr>
          <w:rFonts w:ascii="Arial" w:eastAsiaTheme="minorEastAsia" w:hAnsi="Arial" w:cs="Arial"/>
          <w:i/>
          <w:iCs/>
          <w:bdr w:val="none" w:sz="0" w:space="0" w:color="auto"/>
        </w:rPr>
        <w:t xml:space="preserve"> The Journal of Allergy and Clinical Immunology, 119</w:t>
      </w:r>
      <w:r w:rsidRPr="00CC7E17">
        <w:rPr>
          <w:rFonts w:ascii="Arial" w:eastAsiaTheme="minorEastAsia" w:hAnsi="Arial" w:cs="Arial"/>
          <w:bdr w:val="none" w:sz="0" w:space="0" w:color="auto"/>
        </w:rPr>
        <w:t>(5), 1203-1209. doi:10.1016/j.jaci.2006.12.671</w:t>
      </w:r>
    </w:p>
    <w:p w14:paraId="40F8840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Lima, J. B., Ribeiro, G. S., Cordeiro, S. M., Gouveia, E. L., Salgado, K., Spratt, B. G., et al. (2010). Poor clinical outcome for meningitis caused by haemophilus influenzae serotype A strains containing the IS1016-bexA deletion.</w:t>
      </w:r>
      <w:r w:rsidRPr="00CC7E17">
        <w:rPr>
          <w:rFonts w:ascii="Arial" w:eastAsiaTheme="minorEastAsia" w:hAnsi="Arial" w:cs="Arial"/>
          <w:i/>
          <w:iCs/>
          <w:bdr w:val="none" w:sz="0" w:space="0" w:color="auto"/>
        </w:rPr>
        <w:t xml:space="preserve"> The Journal of Infectious Diseases, 202</w:t>
      </w:r>
      <w:r w:rsidRPr="00CC7E17">
        <w:rPr>
          <w:rFonts w:ascii="Arial" w:eastAsiaTheme="minorEastAsia" w:hAnsi="Arial" w:cs="Arial"/>
          <w:bdr w:val="none" w:sz="0" w:space="0" w:color="auto"/>
        </w:rPr>
        <w:t>(10), 1577-1584. doi:10.1086/656778; 10.1086/656778</w:t>
      </w:r>
    </w:p>
    <w:p w14:paraId="18ECDA2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Lin, H. C., Chao, P. Z., &amp; Lee, H. C. (2008). Sudden sensorineural hearing loss increases the risk of stroke: A 5-year follow-up study.</w:t>
      </w:r>
      <w:r w:rsidRPr="00CC7E17">
        <w:rPr>
          <w:rFonts w:ascii="Arial" w:eastAsiaTheme="minorEastAsia" w:hAnsi="Arial" w:cs="Arial"/>
          <w:i/>
          <w:iCs/>
          <w:bdr w:val="none" w:sz="0" w:space="0" w:color="auto"/>
        </w:rPr>
        <w:t xml:space="preserve"> Stroke; a Journal of Cerebral Circulation, 39</w:t>
      </w:r>
      <w:r w:rsidRPr="00CC7E17">
        <w:rPr>
          <w:rFonts w:ascii="Arial" w:eastAsiaTheme="minorEastAsia" w:hAnsi="Arial" w:cs="Arial"/>
          <w:bdr w:val="none" w:sz="0" w:space="0" w:color="auto"/>
        </w:rPr>
        <w:t>(10), 2744-2748. doi:10.1161/STROKEAHA.108.519090; 10.1161/STROKEAHA.108.519090</w:t>
      </w:r>
    </w:p>
    <w:p w14:paraId="5178ED9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Lindhardsen, J., Ahlehoff, O., Gislason, G. H., Madsen, O. R., Olesen, J. B., Torp-Pedersen, C., et al. (2011). The risk of myocardial infarction in rheumatoid arthritis and diabetes mellitus: A danish nationwide cohort study.</w:t>
      </w:r>
      <w:r w:rsidRPr="00CC7E17">
        <w:rPr>
          <w:rFonts w:ascii="Arial" w:eastAsiaTheme="minorEastAsia" w:hAnsi="Arial" w:cs="Arial"/>
          <w:i/>
          <w:iCs/>
          <w:bdr w:val="none" w:sz="0" w:space="0" w:color="auto"/>
        </w:rPr>
        <w:t xml:space="preserve"> Annals of the Rheumatic Diseases, 70</w:t>
      </w:r>
      <w:r w:rsidRPr="00CC7E17">
        <w:rPr>
          <w:rFonts w:ascii="Arial" w:eastAsiaTheme="minorEastAsia" w:hAnsi="Arial" w:cs="Arial"/>
          <w:bdr w:val="none" w:sz="0" w:space="0" w:color="auto"/>
        </w:rPr>
        <w:t>(6), 929-934. doi:10.1136/ard.2010.143396; 10.1136/ard.2010.143396</w:t>
      </w:r>
    </w:p>
    <w:p w14:paraId="273EBBC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Ling, Y., Johnson, M. K., Kiely, D. G., Condliffe, R., Elliot, C. A., Gibbs, J. S., et al. (2012). Changing demographics, epidemiology, and survival of incident pulmonary arterial hypertension: Results from the pulmonary hypertension registry of the united kingdom and ireland.</w:t>
      </w:r>
      <w:r w:rsidRPr="00CC7E17">
        <w:rPr>
          <w:rFonts w:ascii="Arial" w:eastAsiaTheme="minorEastAsia" w:hAnsi="Arial" w:cs="Arial"/>
          <w:i/>
          <w:iCs/>
          <w:bdr w:val="none" w:sz="0" w:space="0" w:color="auto"/>
        </w:rPr>
        <w:t xml:space="preserve"> American Journal of Respiratory and Critical Care Medicine, 186</w:t>
      </w:r>
      <w:r w:rsidRPr="00CC7E17">
        <w:rPr>
          <w:rFonts w:ascii="Arial" w:eastAsiaTheme="minorEastAsia" w:hAnsi="Arial" w:cs="Arial"/>
          <w:bdr w:val="none" w:sz="0" w:space="0" w:color="auto"/>
        </w:rPr>
        <w:t>(8), 790-796. doi:10.1164/rccm.201203-0383OC; 10.1164/rccm.201203-0383OC</w:t>
      </w:r>
    </w:p>
    <w:p w14:paraId="2CB59A0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Lionaki, S., Hogan, S. L., Jennette, C. E., Hu, Y., Hamra, J. B., Jennette, J. C., et al. (2009). The clinical course of ANCA small-vessel vasculitis on chronic dialysis.</w:t>
      </w:r>
      <w:r w:rsidRPr="00CC7E17">
        <w:rPr>
          <w:rFonts w:ascii="Arial" w:eastAsiaTheme="minorEastAsia" w:hAnsi="Arial" w:cs="Arial"/>
          <w:i/>
          <w:iCs/>
          <w:bdr w:val="none" w:sz="0" w:space="0" w:color="auto"/>
        </w:rPr>
        <w:t xml:space="preserve"> Kidney International, 76</w:t>
      </w:r>
      <w:r w:rsidRPr="00CC7E17">
        <w:rPr>
          <w:rFonts w:ascii="Arial" w:eastAsiaTheme="minorEastAsia" w:hAnsi="Arial" w:cs="Arial"/>
          <w:bdr w:val="none" w:sz="0" w:space="0" w:color="auto"/>
        </w:rPr>
        <w:t>(6), 644-651. doi:10.1038/ki.2009.218; 10.1038/ki.2009.218</w:t>
      </w:r>
    </w:p>
    <w:p w14:paraId="4DE3D4B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Locatelli, A., Ghidini, A., Assi, F., Andreani, M., Malguzzi, S., &amp; Paterlini, G. (2008). Which factors affect the occurrence of severe cerebral lesions in preterm neonates who are born with intrauterine infection?</w:t>
      </w:r>
      <w:r w:rsidRPr="00CC7E17">
        <w:rPr>
          <w:rFonts w:ascii="Arial" w:eastAsiaTheme="minorEastAsia" w:hAnsi="Arial" w:cs="Arial"/>
          <w:i/>
          <w:iCs/>
          <w:bdr w:val="none" w:sz="0" w:space="0" w:color="auto"/>
        </w:rPr>
        <w:t xml:space="preserve"> American Journal of Obstetrics and Gynecology, 199</w:t>
      </w:r>
      <w:r w:rsidRPr="00CC7E17">
        <w:rPr>
          <w:rFonts w:ascii="Arial" w:eastAsiaTheme="minorEastAsia" w:hAnsi="Arial" w:cs="Arial"/>
          <w:bdr w:val="none" w:sz="0" w:space="0" w:color="auto"/>
        </w:rPr>
        <w:t>(4), 404.e1-404.e5. doi:10.1016/j.ajog.2008.06.059; 10.1016/j.ajog.2008.06.059</w:t>
      </w:r>
    </w:p>
    <w:p w14:paraId="386545B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Lopriore, E., Aziz, M. I., Nagel, H. T., Blom, N. A., Rozendaal, L., Kanhai, H. H., et al. (2009). Long-term neurodevelopmental outcome after fetal arrhythmia.</w:t>
      </w:r>
      <w:r w:rsidRPr="00CC7E17">
        <w:rPr>
          <w:rFonts w:ascii="Arial" w:eastAsiaTheme="minorEastAsia" w:hAnsi="Arial" w:cs="Arial"/>
          <w:i/>
          <w:iCs/>
          <w:bdr w:val="none" w:sz="0" w:space="0" w:color="auto"/>
        </w:rPr>
        <w:t xml:space="preserve"> American Journal of Obstetrics and Gynecology, 201</w:t>
      </w:r>
      <w:r w:rsidRPr="00CC7E17">
        <w:rPr>
          <w:rFonts w:ascii="Arial" w:eastAsiaTheme="minorEastAsia" w:hAnsi="Arial" w:cs="Arial"/>
          <w:bdr w:val="none" w:sz="0" w:space="0" w:color="auto"/>
        </w:rPr>
        <w:t>(1), 46.e1-46.e5. doi:10.1016/j.ajog.2009.02.002; 10.1016/j.ajog.2009.02.002</w:t>
      </w:r>
    </w:p>
    <w:p w14:paraId="202FEB9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Lorenzi, A. R., Clarke, A. M., Wooldridge, T., Waldmann, H., Hale, G., Symmons, D., et al. (2008). Morbidity and mortality in rheumatoid arthritis patients with prolonged therapy-induced lymphopenia: Twelve-year outcomes.</w:t>
      </w:r>
      <w:r w:rsidRPr="00CC7E17">
        <w:rPr>
          <w:rFonts w:ascii="Arial" w:eastAsiaTheme="minorEastAsia" w:hAnsi="Arial" w:cs="Arial"/>
          <w:i/>
          <w:iCs/>
          <w:bdr w:val="none" w:sz="0" w:space="0" w:color="auto"/>
        </w:rPr>
        <w:t xml:space="preserve"> Arthritis and Rheumatism, 58</w:t>
      </w:r>
      <w:r w:rsidRPr="00CC7E17">
        <w:rPr>
          <w:rFonts w:ascii="Arial" w:eastAsiaTheme="minorEastAsia" w:hAnsi="Arial" w:cs="Arial"/>
          <w:bdr w:val="none" w:sz="0" w:space="0" w:color="auto"/>
        </w:rPr>
        <w:t>(2), 370-375. doi:10.1002/art.23122; 10.1002/art.23122</w:t>
      </w:r>
    </w:p>
    <w:p w14:paraId="696D306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Louie, J. K., Acosta, M., Jamieson, D. J., Honein, M. A., &amp; California Pandemic (H1N1) Working Group. (2010). Severe 2009 H1N1 influenza in pregnant and postpartum women in california.</w:t>
      </w:r>
      <w:r w:rsidRPr="00CC7E17">
        <w:rPr>
          <w:rFonts w:ascii="Arial" w:eastAsiaTheme="minorEastAsia" w:hAnsi="Arial" w:cs="Arial"/>
          <w:i/>
          <w:iCs/>
          <w:bdr w:val="none" w:sz="0" w:space="0" w:color="auto"/>
        </w:rPr>
        <w:t xml:space="preserve"> The New England Journal of Medicine, 362</w:t>
      </w:r>
      <w:r w:rsidRPr="00CC7E17">
        <w:rPr>
          <w:rFonts w:ascii="Arial" w:eastAsiaTheme="minorEastAsia" w:hAnsi="Arial" w:cs="Arial"/>
          <w:bdr w:val="none" w:sz="0" w:space="0" w:color="auto"/>
        </w:rPr>
        <w:t>(1), 27-35. doi:10.1056/NEJMoa0910444; 10.1056/NEJMoa0910444</w:t>
      </w:r>
    </w:p>
    <w:p w14:paraId="1CE7D77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Lu, C. L., Shen, H. N., Chen, H. F., &amp; Li, C. Y. (2014). Epidemiology of childhood type 1 diabetes in taiwan, 2003 to 2008.</w:t>
      </w:r>
      <w:r w:rsidRPr="00CC7E17">
        <w:rPr>
          <w:rFonts w:ascii="Arial" w:eastAsiaTheme="minorEastAsia" w:hAnsi="Arial" w:cs="Arial"/>
          <w:i/>
          <w:iCs/>
          <w:bdr w:val="none" w:sz="0" w:space="0" w:color="auto"/>
        </w:rPr>
        <w:t xml:space="preserve"> Diabetic Medicine : A Journal of the British Diabetic Association, 31</w:t>
      </w:r>
      <w:r w:rsidRPr="00CC7E17">
        <w:rPr>
          <w:rFonts w:ascii="Arial" w:eastAsiaTheme="minorEastAsia" w:hAnsi="Arial" w:cs="Arial"/>
          <w:bdr w:val="none" w:sz="0" w:space="0" w:color="auto"/>
        </w:rPr>
        <w:t>(6), 666-673. doi:10.1111/dme.12407; 10.1111/dme.12407</w:t>
      </w:r>
    </w:p>
    <w:p w14:paraId="05427CA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Luaute, J., Maucort-Boulch, D., Tell, L., Quelard, F., Sarraf, T., Iwaz, J., et al. (2010). Long-term outcomes of chronic minimally conscious and vegetative states.</w:t>
      </w:r>
      <w:r w:rsidRPr="00CC7E17">
        <w:rPr>
          <w:rFonts w:ascii="Arial" w:eastAsiaTheme="minorEastAsia" w:hAnsi="Arial" w:cs="Arial"/>
          <w:i/>
          <w:iCs/>
          <w:bdr w:val="none" w:sz="0" w:space="0" w:color="auto"/>
        </w:rPr>
        <w:t xml:space="preserve"> Neurology, 75</w:t>
      </w:r>
      <w:r w:rsidRPr="00CC7E17">
        <w:rPr>
          <w:rFonts w:ascii="Arial" w:eastAsiaTheme="minorEastAsia" w:hAnsi="Arial" w:cs="Arial"/>
          <w:bdr w:val="none" w:sz="0" w:space="0" w:color="auto"/>
        </w:rPr>
        <w:t>(3), 246-252. doi:10.1212/WNL.0b013e3181e8e8df; 10.1212/WNL.0b013e3181e8e8df</w:t>
      </w:r>
    </w:p>
    <w:p w14:paraId="62B3D20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Ludvigsson, J. F., Montgomery, S. M., Ekbom, A., Brandt, L., &amp; Granath, F. (2009). Small-intestinal histopathology and mortality risk in celiac disease.</w:t>
      </w:r>
      <w:r w:rsidRPr="00CC7E17">
        <w:rPr>
          <w:rFonts w:ascii="Arial" w:eastAsiaTheme="minorEastAsia" w:hAnsi="Arial" w:cs="Arial"/>
          <w:i/>
          <w:iCs/>
          <w:bdr w:val="none" w:sz="0" w:space="0" w:color="auto"/>
        </w:rPr>
        <w:t xml:space="preserve"> JAMA : The Journal of the American Medical Association, 302</w:t>
      </w:r>
      <w:r w:rsidRPr="00CC7E17">
        <w:rPr>
          <w:rFonts w:ascii="Arial" w:eastAsiaTheme="minorEastAsia" w:hAnsi="Arial" w:cs="Arial"/>
          <w:bdr w:val="none" w:sz="0" w:space="0" w:color="auto"/>
        </w:rPr>
        <w:t>(11), 1171-1178. doi:10.1001/jama.2009.1320; 10.1001/jama.2009.1320</w:t>
      </w:r>
    </w:p>
    <w:p w14:paraId="278D307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Lyerly, G. W., Sui, X., Lavie, C. J., Church, T. S., Hand, G. A., &amp; Blair, S. N. (2009). The association between cardiorespiratory fitness and risk of all-cause mortality among women with impaired fasting glucose or undiagnosed diabetes mellitus.</w:t>
      </w:r>
      <w:r w:rsidRPr="00CC7E17">
        <w:rPr>
          <w:rFonts w:ascii="Arial" w:eastAsiaTheme="minorEastAsia" w:hAnsi="Arial" w:cs="Arial"/>
          <w:i/>
          <w:iCs/>
          <w:bdr w:val="none" w:sz="0" w:space="0" w:color="auto"/>
        </w:rPr>
        <w:t xml:space="preserve"> Mayo Clinic Proceedings, 84</w:t>
      </w:r>
      <w:r w:rsidRPr="00CC7E17">
        <w:rPr>
          <w:rFonts w:ascii="Arial" w:eastAsiaTheme="minorEastAsia" w:hAnsi="Arial" w:cs="Arial"/>
          <w:bdr w:val="none" w:sz="0" w:space="0" w:color="auto"/>
        </w:rPr>
        <w:t>(9), 780-786. doi:10.1016/S0025-6196(11)60487-4; 10.1016/S0025-6196(11)60487-4</w:t>
      </w:r>
    </w:p>
    <w:p w14:paraId="6E88D12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Malin, G., Tonks, A. M., Morris, R. K., Gardosi, J., &amp; Kilby, M. D. (2012). Congenital lower urinary tract obstruction: A population-based epidemiological study.</w:t>
      </w:r>
      <w:r w:rsidRPr="00CC7E17">
        <w:rPr>
          <w:rFonts w:ascii="Arial" w:eastAsiaTheme="minorEastAsia" w:hAnsi="Arial" w:cs="Arial"/>
          <w:i/>
          <w:iCs/>
          <w:bdr w:val="none" w:sz="0" w:space="0" w:color="auto"/>
        </w:rPr>
        <w:t xml:space="preserve"> BJOG : An International Journal of Obstetrics and Gynaecology, 119</w:t>
      </w:r>
      <w:r w:rsidRPr="00CC7E17">
        <w:rPr>
          <w:rFonts w:ascii="Arial" w:eastAsiaTheme="minorEastAsia" w:hAnsi="Arial" w:cs="Arial"/>
          <w:bdr w:val="none" w:sz="0" w:space="0" w:color="auto"/>
        </w:rPr>
        <w:t>(12), 1455-1464. doi:10.1111/j.1471-0528.2012.03476.x; 10.1111/j.1471-0528.2012.03476.x</w:t>
      </w:r>
    </w:p>
    <w:p w14:paraId="11CC4DB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Malone, F. D., Ball, R. H., Nyberg, D. A., Comstock, C. H., Saade, G. R., Berkowitz, R. L., et al. (2005). First-trimester septated cystic hygroma: Prevalence, natural history, and pediatric outcome.</w:t>
      </w:r>
      <w:r w:rsidRPr="00CC7E17">
        <w:rPr>
          <w:rFonts w:ascii="Arial" w:eastAsiaTheme="minorEastAsia" w:hAnsi="Arial" w:cs="Arial"/>
          <w:i/>
          <w:iCs/>
          <w:bdr w:val="none" w:sz="0" w:space="0" w:color="auto"/>
        </w:rPr>
        <w:t xml:space="preserve"> Obstetrics and Gynecology, 106</w:t>
      </w:r>
      <w:r w:rsidRPr="00CC7E17">
        <w:rPr>
          <w:rFonts w:ascii="Arial" w:eastAsiaTheme="minorEastAsia" w:hAnsi="Arial" w:cs="Arial"/>
          <w:bdr w:val="none" w:sz="0" w:space="0" w:color="auto"/>
        </w:rPr>
        <w:t>(2), 288-294. doi:10.1097/01.AOG.0000173318.54978.1f</w:t>
      </w:r>
    </w:p>
    <w:p w14:paraId="65CE0DD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Man, A., Zhu, Y., Zhang, Y., Dubreuil, M., Rho, Y. H., Peloquin, C., et al. (2013). The risk of cardiovascular disease in systemic sclerosis: A population-based cohort study.</w:t>
      </w:r>
      <w:r w:rsidRPr="00CC7E17">
        <w:rPr>
          <w:rFonts w:ascii="Arial" w:eastAsiaTheme="minorEastAsia" w:hAnsi="Arial" w:cs="Arial"/>
          <w:i/>
          <w:iCs/>
          <w:bdr w:val="none" w:sz="0" w:space="0" w:color="auto"/>
        </w:rPr>
        <w:t xml:space="preserve"> Annals of the Rheumatic Diseases, 72</w:t>
      </w:r>
      <w:r w:rsidRPr="00CC7E17">
        <w:rPr>
          <w:rFonts w:ascii="Arial" w:eastAsiaTheme="minorEastAsia" w:hAnsi="Arial" w:cs="Arial"/>
          <w:bdr w:val="none" w:sz="0" w:space="0" w:color="auto"/>
        </w:rPr>
        <w:t>(7), 1188-1193. doi:10.1136/annrheumdis-2012-202007; 10.1136/annrheumdis-2012-202007</w:t>
      </w:r>
    </w:p>
    <w:p w14:paraId="2CF6D3D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Martinelli, I., Bucciarelli, P., Passamonti, S. M., Battaglioli, T., Previtali, E., &amp; Mannucci, P. M. (2010). Long-term evaluation of the risk of recurrence after cerebral sinus-venous thrombosis.</w:t>
      </w:r>
      <w:r w:rsidRPr="00CC7E17">
        <w:rPr>
          <w:rFonts w:ascii="Arial" w:eastAsiaTheme="minorEastAsia" w:hAnsi="Arial" w:cs="Arial"/>
          <w:i/>
          <w:iCs/>
          <w:bdr w:val="none" w:sz="0" w:space="0" w:color="auto"/>
        </w:rPr>
        <w:t xml:space="preserve"> Circulation, 121</w:t>
      </w:r>
      <w:r w:rsidRPr="00CC7E17">
        <w:rPr>
          <w:rFonts w:ascii="Arial" w:eastAsiaTheme="minorEastAsia" w:hAnsi="Arial" w:cs="Arial"/>
          <w:bdr w:val="none" w:sz="0" w:space="0" w:color="auto"/>
        </w:rPr>
        <w:t>(25), 2740-2746. doi:10.1161/CIRCULATIONAHA.109.927046; 10.1161/CIRCULATIONAHA.109.927046</w:t>
      </w:r>
    </w:p>
    <w:p w14:paraId="1428CE6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Masci, P. G., Francone, M., Desmet, W., Ganame, J., Todiere, G., Donato, R., et al. (2010). Right ventricular ischemic injury in patients with acute ST-segment elevation myocardial infarction: Characterization with cardiovascular magnetic resonance.</w:t>
      </w:r>
      <w:r w:rsidRPr="00CC7E17">
        <w:rPr>
          <w:rFonts w:ascii="Arial" w:eastAsiaTheme="minorEastAsia" w:hAnsi="Arial" w:cs="Arial"/>
          <w:i/>
          <w:iCs/>
          <w:bdr w:val="none" w:sz="0" w:space="0" w:color="auto"/>
        </w:rPr>
        <w:t xml:space="preserve"> Circulation, 122</w:t>
      </w:r>
      <w:r w:rsidRPr="00CC7E17">
        <w:rPr>
          <w:rFonts w:ascii="Arial" w:eastAsiaTheme="minorEastAsia" w:hAnsi="Arial" w:cs="Arial"/>
          <w:bdr w:val="none" w:sz="0" w:space="0" w:color="auto"/>
        </w:rPr>
        <w:t>(14), 1405-1412. doi:10.1161/CIRCULATIONAHA.110.940254; 10.1161/CIRCULATIONAHA.110.940254</w:t>
      </w:r>
    </w:p>
    <w:p w14:paraId="7C83C25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Meisinger, C., Heier, M., von Scheidt, W., Kirchberger, I., Hormann, A., &amp; Kuch, B. (2010). Gender-specific short and long-term mortality in diabetic versus nondiabetic patients with incident acute myocardial infarction in the reperfusion era (the MONICA/KORA myocardial infarction registry).</w:t>
      </w:r>
      <w:r w:rsidRPr="00CC7E17">
        <w:rPr>
          <w:rFonts w:ascii="Arial" w:eastAsiaTheme="minorEastAsia" w:hAnsi="Arial" w:cs="Arial"/>
          <w:i/>
          <w:iCs/>
          <w:bdr w:val="none" w:sz="0" w:space="0" w:color="auto"/>
        </w:rPr>
        <w:t xml:space="preserve"> The American Journal of Cardiology, 106</w:t>
      </w:r>
      <w:r w:rsidRPr="00CC7E17">
        <w:rPr>
          <w:rFonts w:ascii="Arial" w:eastAsiaTheme="minorEastAsia" w:hAnsi="Arial" w:cs="Arial"/>
          <w:bdr w:val="none" w:sz="0" w:space="0" w:color="auto"/>
        </w:rPr>
        <w:t>(12), 1680-1684. doi:10.1016/j.amjcard.2010.08.009; 10.1016/j.amjcard.2010.08.009</w:t>
      </w:r>
    </w:p>
    <w:p w14:paraId="65C4BF1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Melduni, R. M., Suri, R. M., Seward, J. B., Bailey, K. R., Ammash, N. M., Oh, J. K., et al. (2011). Diastolic dysfunction in patients undergoing cardiac surgery: A pathophysiological mechanism underlying the initiation of new-onset post-operative atrial fibrillation.</w:t>
      </w:r>
      <w:r w:rsidRPr="00CC7E17">
        <w:rPr>
          <w:rFonts w:ascii="Arial" w:eastAsiaTheme="minorEastAsia" w:hAnsi="Arial" w:cs="Arial"/>
          <w:i/>
          <w:iCs/>
          <w:bdr w:val="none" w:sz="0" w:space="0" w:color="auto"/>
        </w:rPr>
        <w:t xml:space="preserve"> Journal of the American College of Cardiology, 58</w:t>
      </w:r>
      <w:r w:rsidRPr="00CC7E17">
        <w:rPr>
          <w:rFonts w:ascii="Arial" w:eastAsiaTheme="minorEastAsia" w:hAnsi="Arial" w:cs="Arial"/>
          <w:bdr w:val="none" w:sz="0" w:space="0" w:color="auto"/>
        </w:rPr>
        <w:t>(9), 953-961. doi:10.1016/j.jacc.2011.05.021; 10.1016/j.jacc.2011.05.021</w:t>
      </w:r>
    </w:p>
    <w:p w14:paraId="47E44DB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Meneveau, N., Ider, O., Seronde, M. F., Chopard, R., Davani, S., Bernard, Y., et al. (2013). Long-term prognostic value of residual pulmonary vascular obstruction at discharge in patients with intermediate- to high-risk pulmonary embolism.</w:t>
      </w:r>
      <w:r w:rsidRPr="00CC7E17">
        <w:rPr>
          <w:rFonts w:ascii="Arial" w:eastAsiaTheme="minorEastAsia" w:hAnsi="Arial" w:cs="Arial"/>
          <w:i/>
          <w:iCs/>
          <w:bdr w:val="none" w:sz="0" w:space="0" w:color="auto"/>
        </w:rPr>
        <w:t xml:space="preserve"> European Heart Journal, 34</w:t>
      </w:r>
      <w:r w:rsidRPr="00CC7E17">
        <w:rPr>
          <w:rFonts w:ascii="Arial" w:eastAsiaTheme="minorEastAsia" w:hAnsi="Arial" w:cs="Arial"/>
          <w:bdr w:val="none" w:sz="0" w:space="0" w:color="auto"/>
        </w:rPr>
        <w:t>(9), 693-701. doi:10.1093/eurheartj/ehs365; 10.1093/eurheartj/ehs365</w:t>
      </w:r>
    </w:p>
    <w:p w14:paraId="1C87512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Menon, S. C., Keenan, H. T., Weng, H. Y., Lambert, L. M., Burch, P. T., Edwards, R., et al. (2012). Outcome and resource utilization of infants born with hypoplastic left heart syndrome in the intermountain west.</w:t>
      </w:r>
      <w:r w:rsidRPr="00CC7E17">
        <w:rPr>
          <w:rFonts w:ascii="Arial" w:eastAsiaTheme="minorEastAsia" w:hAnsi="Arial" w:cs="Arial"/>
          <w:i/>
          <w:iCs/>
          <w:bdr w:val="none" w:sz="0" w:space="0" w:color="auto"/>
        </w:rPr>
        <w:t xml:space="preserve"> The American Journal of Cardiology, 110</w:t>
      </w:r>
      <w:r w:rsidRPr="00CC7E17">
        <w:rPr>
          <w:rFonts w:ascii="Arial" w:eastAsiaTheme="minorEastAsia" w:hAnsi="Arial" w:cs="Arial"/>
          <w:bdr w:val="none" w:sz="0" w:space="0" w:color="auto"/>
        </w:rPr>
        <w:t>(5), 720-727. doi:10.1016/j.amjcard.2012.04.050; 10.1016/j.amjcard.2012.04.050</w:t>
      </w:r>
    </w:p>
    <w:p w14:paraId="0E4245C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Miao, H., Verkooijen, H. M., Chia, K. S., Bouchardy, C., Pukkala, E., Laronningen, S., et al. (2011). Incidence and outcome of male breast cancer: An international population-based study.</w:t>
      </w:r>
      <w:r w:rsidRPr="00CC7E17">
        <w:rPr>
          <w:rFonts w:ascii="Arial" w:eastAsiaTheme="minorEastAsia" w:hAnsi="Arial" w:cs="Arial"/>
          <w:i/>
          <w:iCs/>
          <w:bdr w:val="none" w:sz="0" w:space="0" w:color="auto"/>
        </w:rPr>
        <w:t xml:space="preserve"> Journal of Clinical Oncology : Official Journal of the American Society of Clinical Oncology, 29</w:t>
      </w:r>
      <w:r w:rsidRPr="00CC7E17">
        <w:rPr>
          <w:rFonts w:ascii="Arial" w:eastAsiaTheme="minorEastAsia" w:hAnsi="Arial" w:cs="Arial"/>
          <w:bdr w:val="none" w:sz="0" w:space="0" w:color="auto"/>
        </w:rPr>
        <w:t>(33), 4381-4386. doi:10.1200/JCO.2011.36.8902; 10.1200/JCO.2011.36.8902</w:t>
      </w:r>
    </w:p>
    <w:p w14:paraId="1F7BA4A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Miller, A., Siffel, C., Lu, C., Riehle-Colarusso, T., Frias, J. L., &amp; Correa, A. (2010). Long-term survival of infants with atrioventricular septal defects.</w:t>
      </w:r>
      <w:r w:rsidRPr="00CC7E17">
        <w:rPr>
          <w:rFonts w:ascii="Arial" w:eastAsiaTheme="minorEastAsia" w:hAnsi="Arial" w:cs="Arial"/>
          <w:i/>
          <w:iCs/>
          <w:bdr w:val="none" w:sz="0" w:space="0" w:color="auto"/>
        </w:rPr>
        <w:t xml:space="preserve"> The Journal of Pediatrics, 156</w:t>
      </w:r>
      <w:r w:rsidRPr="00CC7E17">
        <w:rPr>
          <w:rFonts w:ascii="Arial" w:eastAsiaTheme="minorEastAsia" w:hAnsi="Arial" w:cs="Arial"/>
          <w:bdr w:val="none" w:sz="0" w:space="0" w:color="auto"/>
        </w:rPr>
        <w:t>(6), 994-1000. doi:10.1016/j.jpeds.2009.12.013; 10.1016/j.jpeds.2009.12.013</w:t>
      </w:r>
    </w:p>
    <w:p w14:paraId="65679D5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Miranda, B., Ferro, J. M., Canhao, P., Stam, J., Bousser, M. G., Barinagarrementeria, F., et al. (2010). Venous thromboembolic events after cerebral vein thrombosis.</w:t>
      </w:r>
      <w:r w:rsidRPr="00CC7E17">
        <w:rPr>
          <w:rFonts w:ascii="Arial" w:eastAsiaTheme="minorEastAsia" w:hAnsi="Arial" w:cs="Arial"/>
          <w:i/>
          <w:iCs/>
          <w:bdr w:val="none" w:sz="0" w:space="0" w:color="auto"/>
        </w:rPr>
        <w:t xml:space="preserve"> Stroke; a Journal of Cerebral Circulation, 41</w:t>
      </w:r>
      <w:r w:rsidRPr="00CC7E17">
        <w:rPr>
          <w:rFonts w:ascii="Arial" w:eastAsiaTheme="minorEastAsia" w:hAnsi="Arial" w:cs="Arial"/>
          <w:bdr w:val="none" w:sz="0" w:space="0" w:color="auto"/>
        </w:rPr>
        <w:t>(9), 1901-1906. doi:10.1161/STROKEAHA.110.581223; 10.1161/STROKEAHA.110.581223</w:t>
      </w:r>
    </w:p>
    <w:p w14:paraId="530AE45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Miyasaka, Y., Barnes, M. E., Bailey, K. R., Cha, S. S., Gersh, B. J., Seward, J. B., et al. (2007). Mortality trends in patients diagnosed with first atrial fibrillation: A 21-year community-based study.</w:t>
      </w:r>
      <w:r w:rsidRPr="00CC7E17">
        <w:rPr>
          <w:rFonts w:ascii="Arial" w:eastAsiaTheme="minorEastAsia" w:hAnsi="Arial" w:cs="Arial"/>
          <w:i/>
          <w:iCs/>
          <w:bdr w:val="none" w:sz="0" w:space="0" w:color="auto"/>
        </w:rPr>
        <w:t xml:space="preserve"> Journal of the American College of Cardiology, 49</w:t>
      </w:r>
      <w:r w:rsidRPr="00CC7E17">
        <w:rPr>
          <w:rFonts w:ascii="Arial" w:eastAsiaTheme="minorEastAsia" w:hAnsi="Arial" w:cs="Arial"/>
          <w:bdr w:val="none" w:sz="0" w:space="0" w:color="auto"/>
        </w:rPr>
        <w:t>(9), 986-992. doi:10.1016/j.jacc.2006.10.062</w:t>
      </w:r>
    </w:p>
    <w:p w14:paraId="63E60AF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Mohammad, A. J., &amp; Segelmark, M. (2014). A population-based study showing better renal prognosis for proteinase 3 antineutrophil cytoplasmic antibody (ANCA)-associated nephritis versus myeloperoxidase ANCA-associated nephritis.</w:t>
      </w:r>
      <w:r w:rsidRPr="00CC7E17">
        <w:rPr>
          <w:rFonts w:ascii="Arial" w:eastAsiaTheme="minorEastAsia" w:hAnsi="Arial" w:cs="Arial"/>
          <w:i/>
          <w:iCs/>
          <w:bdr w:val="none" w:sz="0" w:space="0" w:color="auto"/>
        </w:rPr>
        <w:t xml:space="preserve"> The Journal of Rheumatology, 41</w:t>
      </w:r>
      <w:r w:rsidRPr="00CC7E17">
        <w:rPr>
          <w:rFonts w:ascii="Arial" w:eastAsiaTheme="minorEastAsia" w:hAnsi="Arial" w:cs="Arial"/>
          <w:bdr w:val="none" w:sz="0" w:space="0" w:color="auto"/>
        </w:rPr>
        <w:t>(7), 1366-1373. doi:10.3899/jrheum.131038; 10.3899/jrheum.131038</w:t>
      </w:r>
    </w:p>
    <w:p w14:paraId="0B3F4BC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Mok, M. Y., Wong, S. S., Chan, T. M., Fong, D. Y., Wong, W. S., &amp; Lau, C. S. (2007). Non-tuberculous mycobacterial infection in patients with systemic lupus erythematosus.</w:t>
      </w:r>
      <w:r w:rsidRPr="00CC7E17">
        <w:rPr>
          <w:rFonts w:ascii="Arial" w:eastAsiaTheme="minorEastAsia" w:hAnsi="Arial" w:cs="Arial"/>
          <w:i/>
          <w:iCs/>
          <w:bdr w:val="none" w:sz="0" w:space="0" w:color="auto"/>
        </w:rPr>
        <w:t xml:space="preserve"> Rheumatology (Oxford, England), 46</w:t>
      </w:r>
      <w:r w:rsidRPr="00CC7E17">
        <w:rPr>
          <w:rFonts w:ascii="Arial" w:eastAsiaTheme="minorEastAsia" w:hAnsi="Arial" w:cs="Arial"/>
          <w:bdr w:val="none" w:sz="0" w:space="0" w:color="auto"/>
        </w:rPr>
        <w:t>(2), 280-284. doi:10.1093/rheumatology/kel206</w:t>
      </w:r>
    </w:p>
    <w:p w14:paraId="164B8F1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Moller, J. E., Pellikka, P. A., Bernheim, A. M., Schaff, H. V., Rubin, J., &amp; Connolly, H. M. (2005). Prognosis of carcinoid heart disease: Analysis of 200 cases over two decades.</w:t>
      </w:r>
      <w:r w:rsidRPr="00CC7E17">
        <w:rPr>
          <w:rFonts w:ascii="Arial" w:eastAsiaTheme="minorEastAsia" w:hAnsi="Arial" w:cs="Arial"/>
          <w:i/>
          <w:iCs/>
          <w:bdr w:val="none" w:sz="0" w:space="0" w:color="auto"/>
        </w:rPr>
        <w:t xml:space="preserve"> Circulation, 112</w:t>
      </w:r>
      <w:r w:rsidRPr="00CC7E17">
        <w:rPr>
          <w:rFonts w:ascii="Arial" w:eastAsiaTheme="minorEastAsia" w:hAnsi="Arial" w:cs="Arial"/>
          <w:bdr w:val="none" w:sz="0" w:space="0" w:color="auto"/>
        </w:rPr>
        <w:t>(21), 3320-3327. doi:10.1161/CIRCULATIONAHA.105.553750</w:t>
      </w:r>
    </w:p>
    <w:p w14:paraId="6BBCAE0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Montesinos, P., Gonzalez, J. D., Gonzalez, J., Rayon, C., de Lisa, E., Amigo, M. L., et al. (2010). Therapy-related myeloid neoplasms in patients with acute promyelocytic leukemia treated with all-trans-retinoic acid and anthracycline-based chemotherapy.</w:t>
      </w:r>
      <w:r w:rsidRPr="00CC7E17">
        <w:rPr>
          <w:rFonts w:ascii="Arial" w:eastAsiaTheme="minorEastAsia" w:hAnsi="Arial" w:cs="Arial"/>
          <w:i/>
          <w:iCs/>
          <w:bdr w:val="none" w:sz="0" w:space="0" w:color="auto"/>
        </w:rPr>
        <w:t xml:space="preserve"> Journal of Clinical Oncology : Official Journal of the American Society of Clinical Oncology, 28</w:t>
      </w:r>
      <w:r w:rsidRPr="00CC7E17">
        <w:rPr>
          <w:rFonts w:ascii="Arial" w:eastAsiaTheme="minorEastAsia" w:hAnsi="Arial" w:cs="Arial"/>
          <w:bdr w:val="none" w:sz="0" w:space="0" w:color="auto"/>
        </w:rPr>
        <w:t>(24), 3872-3879. doi:10.1200/JCO.2010.29.2268; 10.1200/JCO.2010.29.2268</w:t>
      </w:r>
    </w:p>
    <w:p w14:paraId="406E4D5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Murphy, V. E., Gibson, P., Talbot, P. I., &amp; Clifton, V. L. (2005). Severe asthma exacerbations during pregnancy.</w:t>
      </w:r>
      <w:r w:rsidRPr="00CC7E17">
        <w:rPr>
          <w:rFonts w:ascii="Arial" w:eastAsiaTheme="minorEastAsia" w:hAnsi="Arial" w:cs="Arial"/>
          <w:i/>
          <w:iCs/>
          <w:bdr w:val="none" w:sz="0" w:space="0" w:color="auto"/>
        </w:rPr>
        <w:t xml:space="preserve"> Obstetrics and Gynecology, 106</w:t>
      </w:r>
      <w:r w:rsidRPr="00CC7E17">
        <w:rPr>
          <w:rFonts w:ascii="Arial" w:eastAsiaTheme="minorEastAsia" w:hAnsi="Arial" w:cs="Arial"/>
          <w:bdr w:val="none" w:sz="0" w:space="0" w:color="auto"/>
        </w:rPr>
        <w:t>(5 Pt 1), 1046-1054. doi:10.1097/01.AOG.0000185281.21716.02</w:t>
      </w:r>
    </w:p>
    <w:p w14:paraId="6299DEF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Myasoedova, E., Crowson, C. S., Nicola, P. J., Maradit-Kremers, H., Davis, J. M.,3rd, Roger, V. L., et al. (2011). The influence of rheumatoid arthritis disease characteristics on heart failure.</w:t>
      </w:r>
      <w:r w:rsidRPr="00CC7E17">
        <w:rPr>
          <w:rFonts w:ascii="Arial" w:eastAsiaTheme="minorEastAsia" w:hAnsi="Arial" w:cs="Arial"/>
          <w:i/>
          <w:iCs/>
          <w:bdr w:val="none" w:sz="0" w:space="0" w:color="auto"/>
        </w:rPr>
        <w:t xml:space="preserve"> The Journal of Rheumatology, 38</w:t>
      </w:r>
      <w:r w:rsidRPr="00CC7E17">
        <w:rPr>
          <w:rFonts w:ascii="Arial" w:eastAsiaTheme="minorEastAsia" w:hAnsi="Arial" w:cs="Arial"/>
          <w:bdr w:val="none" w:sz="0" w:space="0" w:color="auto"/>
        </w:rPr>
        <w:t>(8), 1601-1606. doi:10.3899/jrheum.100979; 10.3899/jrheum.100979</w:t>
      </w:r>
    </w:p>
    <w:p w14:paraId="440C8EB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Nagel, H. T., de Haan, T. R., Vandenbussche, F. P., Oepkes, D., &amp; Walther, F. J. (2007). Long-term outcome after fetal transfusion for hydrops associated with parvovirus B19 infection.</w:t>
      </w:r>
      <w:r w:rsidRPr="00CC7E17">
        <w:rPr>
          <w:rFonts w:ascii="Arial" w:eastAsiaTheme="minorEastAsia" w:hAnsi="Arial" w:cs="Arial"/>
          <w:i/>
          <w:iCs/>
          <w:bdr w:val="none" w:sz="0" w:space="0" w:color="auto"/>
        </w:rPr>
        <w:t xml:space="preserve"> Obstetrics and Gynecology, 109</w:t>
      </w:r>
      <w:r w:rsidRPr="00CC7E17">
        <w:rPr>
          <w:rFonts w:ascii="Arial" w:eastAsiaTheme="minorEastAsia" w:hAnsi="Arial" w:cs="Arial"/>
          <w:bdr w:val="none" w:sz="0" w:space="0" w:color="auto"/>
        </w:rPr>
        <w:t>(1), 42-47. doi:10.1097/01.AOG.0000249611.67873.94</w:t>
      </w:r>
    </w:p>
    <w:p w14:paraId="30CADCA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Naz, S. M., Farragher, T. M., Bunn, D. K., Symmons, D. P., &amp; Bruce, I. N. (2008). The influence of age at symptom onset and length of followup on mortality in patients with recent-onset inflammatory polyarthritis.</w:t>
      </w:r>
      <w:r w:rsidRPr="00CC7E17">
        <w:rPr>
          <w:rFonts w:ascii="Arial" w:eastAsiaTheme="minorEastAsia" w:hAnsi="Arial" w:cs="Arial"/>
          <w:i/>
          <w:iCs/>
          <w:bdr w:val="none" w:sz="0" w:space="0" w:color="auto"/>
        </w:rPr>
        <w:t xml:space="preserve"> Arthritis and Rheumatism, 58</w:t>
      </w:r>
      <w:r w:rsidRPr="00CC7E17">
        <w:rPr>
          <w:rFonts w:ascii="Arial" w:eastAsiaTheme="minorEastAsia" w:hAnsi="Arial" w:cs="Arial"/>
          <w:bdr w:val="none" w:sz="0" w:space="0" w:color="auto"/>
        </w:rPr>
        <w:t>(4), 985-989. doi:10.1002/art.23402; 10.1002/art.23402</w:t>
      </w:r>
    </w:p>
    <w:p w14:paraId="718040B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Nembhard, W. N., Salemi, J. L., Ethen, M. K., Fixler, D. E., Dimaggio, A., &amp; Canfield, M. A. (2011). Racial/Ethnic disparities in risk of early childhood mortality among children with congenital heart defects.</w:t>
      </w:r>
      <w:r w:rsidRPr="00CC7E17">
        <w:rPr>
          <w:rFonts w:ascii="Arial" w:eastAsiaTheme="minorEastAsia" w:hAnsi="Arial" w:cs="Arial"/>
          <w:i/>
          <w:iCs/>
          <w:bdr w:val="none" w:sz="0" w:space="0" w:color="auto"/>
        </w:rPr>
        <w:t xml:space="preserve"> Pediatrics, 127</w:t>
      </w:r>
      <w:r w:rsidRPr="00CC7E17">
        <w:rPr>
          <w:rFonts w:ascii="Arial" w:eastAsiaTheme="minorEastAsia" w:hAnsi="Arial" w:cs="Arial"/>
          <w:bdr w:val="none" w:sz="0" w:space="0" w:color="auto"/>
        </w:rPr>
        <w:t>(5), e1128-38. doi:10.1542/peds.2010-2702; 10.1542/peds.2010-2702</w:t>
      </w:r>
    </w:p>
    <w:p w14:paraId="603FC05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Newman, T. B., Liljestrand, P., Jeremy, R. J., Ferriero, D. M., Wu, Y. W., Hudes, E. S., et al. (2006). Outcomes among newborns with total serum bilirubin levels of 25 mg per deciliter or more.</w:t>
      </w:r>
      <w:r w:rsidRPr="00CC7E17">
        <w:rPr>
          <w:rFonts w:ascii="Arial" w:eastAsiaTheme="minorEastAsia" w:hAnsi="Arial" w:cs="Arial"/>
          <w:i/>
          <w:iCs/>
          <w:bdr w:val="none" w:sz="0" w:space="0" w:color="auto"/>
        </w:rPr>
        <w:t xml:space="preserve"> The New England Journal of Medicine, 354</w:t>
      </w:r>
      <w:r w:rsidRPr="00CC7E17">
        <w:rPr>
          <w:rFonts w:ascii="Arial" w:eastAsiaTheme="minorEastAsia" w:hAnsi="Arial" w:cs="Arial"/>
          <w:bdr w:val="none" w:sz="0" w:space="0" w:color="auto"/>
        </w:rPr>
        <w:t>(18), 1889-1900. doi:10.1056/NEJMoa054244</w:t>
      </w:r>
    </w:p>
    <w:p w14:paraId="08C1A57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Newsome, B. B., McClellan, W. M., Allison, J. J., Eggers, P. W., Chen, S. C., Collins, A. J., et al. (2008). Racial differences in the competing risks of mortality and ESRD after acute myocardial infarction.</w:t>
      </w:r>
      <w:r w:rsidRPr="00CC7E17">
        <w:rPr>
          <w:rFonts w:ascii="Arial" w:eastAsiaTheme="minorEastAsia" w:hAnsi="Arial" w:cs="Arial"/>
          <w:i/>
          <w:iCs/>
          <w:bdr w:val="none" w:sz="0" w:space="0" w:color="auto"/>
        </w:rPr>
        <w:t xml:space="preserve"> American Journal of Kidney Diseases : The Official Journal of the National Kidney Foundation, 52</w:t>
      </w:r>
      <w:r w:rsidRPr="00CC7E17">
        <w:rPr>
          <w:rFonts w:ascii="Arial" w:eastAsiaTheme="minorEastAsia" w:hAnsi="Arial" w:cs="Arial"/>
          <w:bdr w:val="none" w:sz="0" w:space="0" w:color="auto"/>
        </w:rPr>
        <w:t>(2), 251-261. doi:10.1053/j.ajkd.2008.03.019; 10.1053/j.ajkd.2008.03.019</w:t>
      </w:r>
    </w:p>
    <w:p w14:paraId="07F4948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Noori, S., McCoy, M., Anderson, M. P., Ramji, F., &amp; Seri, I. (2014). Changes in cardiac function and cerebral blood flow in relation to peri/intraventricular hemorrhage in extremely preterm infants.</w:t>
      </w:r>
      <w:r w:rsidRPr="00CC7E17">
        <w:rPr>
          <w:rFonts w:ascii="Arial" w:eastAsiaTheme="minorEastAsia" w:hAnsi="Arial" w:cs="Arial"/>
          <w:i/>
          <w:iCs/>
          <w:bdr w:val="none" w:sz="0" w:space="0" w:color="auto"/>
        </w:rPr>
        <w:t xml:space="preserve"> The Journal of Pediatrics, 164</w:t>
      </w:r>
      <w:r w:rsidRPr="00CC7E17">
        <w:rPr>
          <w:rFonts w:ascii="Arial" w:eastAsiaTheme="minorEastAsia" w:hAnsi="Arial" w:cs="Arial"/>
          <w:bdr w:val="none" w:sz="0" w:space="0" w:color="auto"/>
        </w:rPr>
        <w:t>(2), 264-70.e1-3. doi:10.1016/j.jpeds.2013.09.045; 10.1016/j.jpeds.2013.09.045</w:t>
      </w:r>
    </w:p>
    <w:p w14:paraId="4CF1D20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Oakeshott, P., Hunt, G. M., Poulton, A., &amp; Reid, F. (2012). Open spina bifida: Birth findings predict long-term outcome.</w:t>
      </w:r>
      <w:r w:rsidRPr="00CC7E17">
        <w:rPr>
          <w:rFonts w:ascii="Arial" w:eastAsiaTheme="minorEastAsia" w:hAnsi="Arial" w:cs="Arial"/>
          <w:i/>
          <w:iCs/>
          <w:bdr w:val="none" w:sz="0" w:space="0" w:color="auto"/>
        </w:rPr>
        <w:t xml:space="preserve"> Archives of Disease in Childhood, 97</w:t>
      </w:r>
      <w:r w:rsidRPr="00CC7E17">
        <w:rPr>
          <w:rFonts w:ascii="Arial" w:eastAsiaTheme="minorEastAsia" w:hAnsi="Arial" w:cs="Arial"/>
          <w:bdr w:val="none" w:sz="0" w:space="0" w:color="auto"/>
        </w:rPr>
        <w:t>(5), 474-476. doi:10.1136/archdischild-2011-300624; 10.1136/archdischild-2011-300624</w:t>
      </w:r>
    </w:p>
    <w:p w14:paraId="74136D7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Obeyesekere, M. N., Leong-Sit, P., Massel, D., Manlucu, J., Modi, S., Krahn, A. D., et al. (2012). Risk of arrhythmia and sudden death in patients with asymptomatic preexcitation: A meta-analysis.</w:t>
      </w:r>
      <w:r w:rsidRPr="00CC7E17">
        <w:rPr>
          <w:rFonts w:ascii="Arial" w:eastAsiaTheme="minorEastAsia" w:hAnsi="Arial" w:cs="Arial"/>
          <w:i/>
          <w:iCs/>
          <w:bdr w:val="none" w:sz="0" w:space="0" w:color="auto"/>
        </w:rPr>
        <w:t xml:space="preserve"> Circulation, 125</w:t>
      </w:r>
      <w:r w:rsidRPr="00CC7E17">
        <w:rPr>
          <w:rFonts w:ascii="Arial" w:eastAsiaTheme="minorEastAsia" w:hAnsi="Arial" w:cs="Arial"/>
          <w:bdr w:val="none" w:sz="0" w:space="0" w:color="auto"/>
        </w:rPr>
        <w:t>(19), 2308-2315. doi:10.1161/CIRCULATIONAHA.111.055350; 10.1161/CIRCULATIONAHA.111.055350</w:t>
      </w:r>
    </w:p>
    <w:p w14:paraId="285AA7E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Ogino, S., Shima, K., Baba, Y., Nosho, K., Irahara, N., Kure, S., et al. (2009). Colorectal cancer expression of peroxisome proliferator-activated receptor gamma (PPARG, PPARgamma) is associated with good prognosis.</w:t>
      </w:r>
      <w:r w:rsidRPr="00CC7E17">
        <w:rPr>
          <w:rFonts w:ascii="Arial" w:eastAsiaTheme="minorEastAsia" w:hAnsi="Arial" w:cs="Arial"/>
          <w:i/>
          <w:iCs/>
          <w:bdr w:val="none" w:sz="0" w:space="0" w:color="auto"/>
        </w:rPr>
        <w:t xml:space="preserve"> Gastroenterology, 136</w:t>
      </w:r>
      <w:r w:rsidRPr="00CC7E17">
        <w:rPr>
          <w:rFonts w:ascii="Arial" w:eastAsiaTheme="minorEastAsia" w:hAnsi="Arial" w:cs="Arial"/>
          <w:bdr w:val="none" w:sz="0" w:space="0" w:color="auto"/>
        </w:rPr>
        <w:t>(4), 1242-1250. doi:10.1053/j.gastro.2008.12.048; 10.1053/j.gastro.2008.12.048</w:t>
      </w:r>
    </w:p>
    <w:p w14:paraId="38E700C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O'Leary, D. R., Kuhn, S., Kniss, K. L., Hinckley, A. F., Rasmussen, S. A., Pape, W. J., et al. (2006). Birth outcomes following west nile virus infection of pregnant women in the united states: 2003-2004.</w:t>
      </w:r>
      <w:r w:rsidRPr="00CC7E17">
        <w:rPr>
          <w:rFonts w:ascii="Arial" w:eastAsiaTheme="minorEastAsia" w:hAnsi="Arial" w:cs="Arial"/>
          <w:i/>
          <w:iCs/>
          <w:bdr w:val="none" w:sz="0" w:space="0" w:color="auto"/>
        </w:rPr>
        <w:t xml:space="preserve"> Pediatrics, 117</w:t>
      </w:r>
      <w:r w:rsidRPr="00CC7E17">
        <w:rPr>
          <w:rFonts w:ascii="Arial" w:eastAsiaTheme="minorEastAsia" w:hAnsi="Arial" w:cs="Arial"/>
          <w:bdr w:val="none" w:sz="0" w:space="0" w:color="auto"/>
        </w:rPr>
        <w:t>(3), e537-45. doi:10.1542/peds.2005-2024</w:t>
      </w:r>
    </w:p>
    <w:p w14:paraId="1115F2A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Ortibus, E., Lopriore, E., Deprest, J., Vandenbussche, F. P., Walther, F. J., Diemert, A., et al. (2009). The pregnancy and long-term neurodevelopmental outcome of monochorionic diamniotic twin gestations: A multicenter prospective cohort study from the first trimester onward.</w:t>
      </w:r>
      <w:r w:rsidRPr="00CC7E17">
        <w:rPr>
          <w:rFonts w:ascii="Arial" w:eastAsiaTheme="minorEastAsia" w:hAnsi="Arial" w:cs="Arial"/>
          <w:i/>
          <w:iCs/>
          <w:bdr w:val="none" w:sz="0" w:space="0" w:color="auto"/>
        </w:rPr>
        <w:t xml:space="preserve"> American Journal of Obstetrics and Gynecology, 200</w:t>
      </w:r>
      <w:r w:rsidRPr="00CC7E17">
        <w:rPr>
          <w:rFonts w:ascii="Arial" w:eastAsiaTheme="minorEastAsia" w:hAnsi="Arial" w:cs="Arial"/>
          <w:bdr w:val="none" w:sz="0" w:space="0" w:color="auto"/>
        </w:rPr>
        <w:t>(5), 494.e1-494.e8. doi:10.1016/j.ajog.2009.01.048; 10.1016/j.ajog.2009.01.048</w:t>
      </w:r>
    </w:p>
    <w:p w14:paraId="120A4C5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Oster, M. E., Kim, C. H., Kusano, A. S., Cragan, J. D., Dressler, P., Hales, A. R., et al. (2014). A population-based study of the association of prenatal diagnosis with survival rate for infants with congenital heart defects.</w:t>
      </w:r>
      <w:r w:rsidRPr="00CC7E17">
        <w:rPr>
          <w:rFonts w:ascii="Arial" w:eastAsiaTheme="minorEastAsia" w:hAnsi="Arial" w:cs="Arial"/>
          <w:i/>
          <w:iCs/>
          <w:bdr w:val="none" w:sz="0" w:space="0" w:color="auto"/>
        </w:rPr>
        <w:t xml:space="preserve"> The American Journal of Cardiology, 113</w:t>
      </w:r>
      <w:r w:rsidRPr="00CC7E17">
        <w:rPr>
          <w:rFonts w:ascii="Arial" w:eastAsiaTheme="minorEastAsia" w:hAnsi="Arial" w:cs="Arial"/>
          <w:bdr w:val="none" w:sz="0" w:space="0" w:color="auto"/>
        </w:rPr>
        <w:t>(6), 1036-1040. doi:10.1016/j.amjcard.2013.11.066; 10.1016/j.amjcard.2013.11.066</w:t>
      </w:r>
    </w:p>
    <w:p w14:paraId="301F08A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Oster, M. E., Lee, K. A., Honein, M. A., Riehle-Colarusso, T., Shin, M., &amp; Correa, A. (2013). Temporal trends in survival among infants with critical congenital heart defects.</w:t>
      </w:r>
      <w:r w:rsidRPr="00CC7E17">
        <w:rPr>
          <w:rFonts w:ascii="Arial" w:eastAsiaTheme="minorEastAsia" w:hAnsi="Arial" w:cs="Arial"/>
          <w:i/>
          <w:iCs/>
          <w:bdr w:val="none" w:sz="0" w:space="0" w:color="auto"/>
        </w:rPr>
        <w:t xml:space="preserve"> Pediatrics, 131</w:t>
      </w:r>
      <w:r w:rsidRPr="00CC7E17">
        <w:rPr>
          <w:rFonts w:ascii="Arial" w:eastAsiaTheme="minorEastAsia" w:hAnsi="Arial" w:cs="Arial"/>
          <w:bdr w:val="none" w:sz="0" w:space="0" w:color="auto"/>
        </w:rPr>
        <w:t>(5), e1502-8. doi:10.1542/peds.2012-3435; 10.1542/peds.2012-3435</w:t>
      </w:r>
    </w:p>
    <w:p w14:paraId="319CF71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Patra, K., Wilson-Costello, D., Taylor, H. G., Mercuri-Minich, N., &amp; Hack, M. (2006). Grades I-II intraventricular hemorrhage in extremely low birth weight infants: Effects on neurodevelopment.</w:t>
      </w:r>
      <w:r w:rsidRPr="00CC7E17">
        <w:rPr>
          <w:rFonts w:ascii="Arial" w:eastAsiaTheme="minorEastAsia" w:hAnsi="Arial" w:cs="Arial"/>
          <w:i/>
          <w:iCs/>
          <w:bdr w:val="none" w:sz="0" w:space="0" w:color="auto"/>
        </w:rPr>
        <w:t xml:space="preserve"> The Journal of Pediatrics, 149</w:t>
      </w:r>
      <w:r w:rsidRPr="00CC7E17">
        <w:rPr>
          <w:rFonts w:ascii="Arial" w:eastAsiaTheme="minorEastAsia" w:hAnsi="Arial" w:cs="Arial"/>
          <w:bdr w:val="none" w:sz="0" w:space="0" w:color="auto"/>
        </w:rPr>
        <w:t>(2), 169-173. doi:10.1016/j.jpeds.2006.04.002</w:t>
      </w:r>
    </w:p>
    <w:p w14:paraId="6DBF2AA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Paul, S. L., Sturm, J. W., Dewey, H. M., Donnan, G. A., Macdonell, R. A., &amp; Thrift, A. G. (2005). Long-term outcome in the north east melbourne stroke incidence study: Predictors of quality of life at 5 years after stroke.</w:t>
      </w:r>
      <w:r w:rsidRPr="00CC7E17">
        <w:rPr>
          <w:rFonts w:ascii="Arial" w:eastAsiaTheme="minorEastAsia" w:hAnsi="Arial" w:cs="Arial"/>
          <w:i/>
          <w:iCs/>
          <w:bdr w:val="none" w:sz="0" w:space="0" w:color="auto"/>
        </w:rPr>
        <w:t xml:space="preserve"> Stroke; a Journal of Cerebral Circulation, 36</w:t>
      </w:r>
      <w:r w:rsidRPr="00CC7E17">
        <w:rPr>
          <w:rFonts w:ascii="Arial" w:eastAsiaTheme="minorEastAsia" w:hAnsi="Arial" w:cs="Arial"/>
          <w:bdr w:val="none" w:sz="0" w:space="0" w:color="auto"/>
        </w:rPr>
        <w:t>(10), 2082-2086. doi:10.1161/01.STR.0000183621.32045.31</w:t>
      </w:r>
    </w:p>
    <w:p w14:paraId="59D5377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Payne, A. H., Hintz, S. R., Hibbs, A. M., Walsh, M. C., Vohr, B. R., Bann, C. M., et al. (2013). Neurodevelopmental outcomes of extremely low-gestational-age neonates with low-grade periventricular-intraventricular hemorrhage.</w:t>
      </w:r>
      <w:r w:rsidRPr="00CC7E17">
        <w:rPr>
          <w:rFonts w:ascii="Arial" w:eastAsiaTheme="minorEastAsia" w:hAnsi="Arial" w:cs="Arial"/>
          <w:i/>
          <w:iCs/>
          <w:bdr w:val="none" w:sz="0" w:space="0" w:color="auto"/>
        </w:rPr>
        <w:t xml:space="preserve"> JAMA Pediatrics, 167</w:t>
      </w:r>
      <w:r w:rsidRPr="00CC7E17">
        <w:rPr>
          <w:rFonts w:ascii="Arial" w:eastAsiaTheme="minorEastAsia" w:hAnsi="Arial" w:cs="Arial"/>
          <w:bdr w:val="none" w:sz="0" w:space="0" w:color="auto"/>
        </w:rPr>
        <w:t>(5), 451-459. doi:10.1001/jamapediatrics.2013.866; 10.1001/jamapediatrics.2013.866</w:t>
      </w:r>
    </w:p>
    <w:p w14:paraId="63BCC8F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Pelliccia, A., Di Paolo, F. M., Quattrini, F. M., Basso, C., Culasso, F., Popoli, G., et al. (2008). Outcomes in athletes with marked ECG repolarization abnormalities.</w:t>
      </w:r>
      <w:r w:rsidRPr="00CC7E17">
        <w:rPr>
          <w:rFonts w:ascii="Arial" w:eastAsiaTheme="minorEastAsia" w:hAnsi="Arial" w:cs="Arial"/>
          <w:i/>
          <w:iCs/>
          <w:bdr w:val="none" w:sz="0" w:space="0" w:color="auto"/>
        </w:rPr>
        <w:t xml:space="preserve"> The New England Journal of Medicine, 358</w:t>
      </w:r>
      <w:r w:rsidRPr="00CC7E17">
        <w:rPr>
          <w:rFonts w:ascii="Arial" w:eastAsiaTheme="minorEastAsia" w:hAnsi="Arial" w:cs="Arial"/>
          <w:bdr w:val="none" w:sz="0" w:space="0" w:color="auto"/>
        </w:rPr>
        <w:t>(2), 152-161. doi:10.1056/NEJMoa060781; 10.1056/NEJMoa060781</w:t>
      </w:r>
    </w:p>
    <w:p w14:paraId="5C774AB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Peyrin-Biroulet, L., Harmsen, W. S., Tremaine, W. J., Zinsmeister, A. R., Sandborn, W. J., &amp; Loftus, E. V.,Jr. (2012). Surgery in a population-based cohort of crohn's disease from olmsted county, minnesota (1970-2004).</w:t>
      </w:r>
      <w:r w:rsidRPr="00CC7E17">
        <w:rPr>
          <w:rFonts w:ascii="Arial" w:eastAsiaTheme="minorEastAsia" w:hAnsi="Arial" w:cs="Arial"/>
          <w:i/>
          <w:iCs/>
          <w:bdr w:val="none" w:sz="0" w:space="0" w:color="auto"/>
        </w:rPr>
        <w:t xml:space="preserve"> The American Journal of Gastroenterology, 107</w:t>
      </w:r>
      <w:r w:rsidRPr="00CC7E17">
        <w:rPr>
          <w:rFonts w:ascii="Arial" w:eastAsiaTheme="minorEastAsia" w:hAnsi="Arial" w:cs="Arial"/>
          <w:bdr w:val="none" w:sz="0" w:space="0" w:color="auto"/>
        </w:rPr>
        <w:t>(11), 1693-1701. doi:10.1038/ajg.2012.298; 10.1038/ajg.2012.298</w:t>
      </w:r>
    </w:p>
    <w:p w14:paraId="6779CF7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Pezzini, A., Grassi, M., Del Zotto, E., Lodigiani, C., Ferrazzi, P., Spalloni, A., et al. (2009). Common genetic markers and prediction of recurrent events after ischemic stroke in young adults.</w:t>
      </w:r>
      <w:r w:rsidRPr="00CC7E17">
        <w:rPr>
          <w:rFonts w:ascii="Arial" w:eastAsiaTheme="minorEastAsia" w:hAnsi="Arial" w:cs="Arial"/>
          <w:i/>
          <w:iCs/>
          <w:bdr w:val="none" w:sz="0" w:space="0" w:color="auto"/>
        </w:rPr>
        <w:t xml:space="preserve"> Neurology, 73</w:t>
      </w:r>
      <w:r w:rsidRPr="00CC7E17">
        <w:rPr>
          <w:rFonts w:ascii="Arial" w:eastAsiaTheme="minorEastAsia" w:hAnsi="Arial" w:cs="Arial"/>
          <w:bdr w:val="none" w:sz="0" w:space="0" w:color="auto"/>
        </w:rPr>
        <w:t>(9), 717-723. doi:10.1212/WNL.0b013e3181b59aaf; 10.1212/WNL.0b013e3181b59aaf</w:t>
      </w:r>
    </w:p>
    <w:p w14:paraId="47187CD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Pisani, F., Cerminara, C., Fusco, C., &amp; Sisti, L. (2007). Neonatal status epilepticus vs recurrent neonatal seizures: Clinical findings and outcome.</w:t>
      </w:r>
      <w:r w:rsidRPr="00CC7E17">
        <w:rPr>
          <w:rFonts w:ascii="Arial" w:eastAsiaTheme="minorEastAsia" w:hAnsi="Arial" w:cs="Arial"/>
          <w:i/>
          <w:iCs/>
          <w:bdr w:val="none" w:sz="0" w:space="0" w:color="auto"/>
        </w:rPr>
        <w:t xml:space="preserve"> Neurology, 69</w:t>
      </w:r>
      <w:r w:rsidRPr="00CC7E17">
        <w:rPr>
          <w:rFonts w:ascii="Arial" w:eastAsiaTheme="minorEastAsia" w:hAnsi="Arial" w:cs="Arial"/>
          <w:bdr w:val="none" w:sz="0" w:space="0" w:color="auto"/>
        </w:rPr>
        <w:t>(23), 2177-2185. doi:10.1212/01.wnl.0000295674.34193.9e</w:t>
      </w:r>
    </w:p>
    <w:p w14:paraId="117A2CE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Prasad, V., Kendrick, D., Sayal, K., Thomas, S. L., &amp; West, J. (2014). Injury among children and young adults with epilepsy.</w:t>
      </w:r>
      <w:r w:rsidRPr="00CC7E17">
        <w:rPr>
          <w:rFonts w:ascii="Arial" w:eastAsiaTheme="minorEastAsia" w:hAnsi="Arial" w:cs="Arial"/>
          <w:i/>
          <w:iCs/>
          <w:bdr w:val="none" w:sz="0" w:space="0" w:color="auto"/>
        </w:rPr>
        <w:t xml:space="preserve"> Pediatrics, </w:t>
      </w:r>
      <w:r w:rsidRPr="00CC7E17">
        <w:rPr>
          <w:rFonts w:ascii="Arial" w:eastAsiaTheme="minorEastAsia" w:hAnsi="Arial" w:cs="Arial"/>
          <w:bdr w:val="none" w:sz="0" w:space="0" w:color="auto"/>
        </w:rPr>
        <w:t>doi:10.1542/peds.2013-2554</w:t>
      </w:r>
    </w:p>
    <w:p w14:paraId="171A84B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Putaala, J., Haapaniemi, E., Metso, A. J., Metso, T. M., Artto, V., Kaste, M., et al. (2010). Recurrent ischemic events in young adults after first-ever ischemic stroke.</w:t>
      </w:r>
      <w:r w:rsidRPr="00CC7E17">
        <w:rPr>
          <w:rFonts w:ascii="Arial" w:eastAsiaTheme="minorEastAsia" w:hAnsi="Arial" w:cs="Arial"/>
          <w:i/>
          <w:iCs/>
          <w:bdr w:val="none" w:sz="0" w:space="0" w:color="auto"/>
        </w:rPr>
        <w:t xml:space="preserve"> Annals of Neurology, 68</w:t>
      </w:r>
      <w:r w:rsidRPr="00CC7E17">
        <w:rPr>
          <w:rFonts w:ascii="Arial" w:eastAsiaTheme="minorEastAsia" w:hAnsi="Arial" w:cs="Arial"/>
          <w:bdr w:val="none" w:sz="0" w:space="0" w:color="auto"/>
        </w:rPr>
        <w:t>(5), 661-671. doi:10.1002/ana.22091; 10.1002/ana.22091</w:t>
      </w:r>
    </w:p>
    <w:p w14:paraId="6F62740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Qiu, X., Lee, S. K., Tan, K., Piedboeuf, B., Canning, R., &amp; Canadian Neonatal Network. (2008). Comparison of singleton and multiple-birth outcomes of infants born at or before 32 weeks of gestation.</w:t>
      </w:r>
      <w:r w:rsidRPr="00CC7E17">
        <w:rPr>
          <w:rFonts w:ascii="Arial" w:eastAsiaTheme="minorEastAsia" w:hAnsi="Arial" w:cs="Arial"/>
          <w:i/>
          <w:iCs/>
          <w:bdr w:val="none" w:sz="0" w:space="0" w:color="auto"/>
        </w:rPr>
        <w:t xml:space="preserve"> Obstetrics and Gynecology, 111</w:t>
      </w:r>
      <w:r w:rsidRPr="00CC7E17">
        <w:rPr>
          <w:rFonts w:ascii="Arial" w:eastAsiaTheme="minorEastAsia" w:hAnsi="Arial" w:cs="Arial"/>
          <w:bdr w:val="none" w:sz="0" w:space="0" w:color="auto"/>
        </w:rPr>
        <w:t>(2 Pt 1), 365-371. doi:10.1097/AOG.0b013e318162688f; 10.1097/AOG.0b013e318162688f</w:t>
      </w:r>
    </w:p>
    <w:p w14:paraId="2F0989E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Rakieh, C., Nam, J. L., Hunt, L., Hensor, E. M., Das, S., Bissell, L. A., et al. (2014). Predicting the development of clinical arthritis in anti-CCP positive individuals with non-specific musculoskeletal symptoms: A prospective observational cohort study.</w:t>
      </w:r>
      <w:r w:rsidRPr="00CC7E17">
        <w:rPr>
          <w:rFonts w:ascii="Arial" w:eastAsiaTheme="minorEastAsia" w:hAnsi="Arial" w:cs="Arial"/>
          <w:i/>
          <w:iCs/>
          <w:bdr w:val="none" w:sz="0" w:space="0" w:color="auto"/>
        </w:rPr>
        <w:t xml:space="preserve"> Annals of the Rheumatic Diseases, </w:t>
      </w:r>
      <w:r w:rsidRPr="00CC7E17">
        <w:rPr>
          <w:rFonts w:ascii="Arial" w:eastAsiaTheme="minorEastAsia" w:hAnsi="Arial" w:cs="Arial"/>
          <w:bdr w:val="none" w:sz="0" w:space="0" w:color="auto"/>
        </w:rPr>
        <w:t>doi:10.1136/annrheumdis-2014-205227; 10.1136/annrheumdis-2014-205227</w:t>
      </w:r>
    </w:p>
    <w:p w14:paraId="1BFB611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Ramenghi, L. A., Fumagalli, M., Groppo, M., Consonni, D., Gatti, L., Bertazzi, P. A., et al. (2011). Germinal matrix hemorrhage: Intraventricular hemorrhage in very-low-birth-weight infants: The independent role of inherited thrombophilia.</w:t>
      </w:r>
      <w:r w:rsidRPr="00CC7E17">
        <w:rPr>
          <w:rFonts w:ascii="Arial" w:eastAsiaTheme="minorEastAsia" w:hAnsi="Arial" w:cs="Arial"/>
          <w:i/>
          <w:iCs/>
          <w:bdr w:val="none" w:sz="0" w:space="0" w:color="auto"/>
        </w:rPr>
        <w:t xml:space="preserve"> Stroke; a Journal of Cerebral Circulation, 42</w:t>
      </w:r>
      <w:r w:rsidRPr="00CC7E17">
        <w:rPr>
          <w:rFonts w:ascii="Arial" w:eastAsiaTheme="minorEastAsia" w:hAnsi="Arial" w:cs="Arial"/>
          <w:bdr w:val="none" w:sz="0" w:space="0" w:color="auto"/>
        </w:rPr>
        <w:t>(7), 1889-1893. doi:10.1161/STROKEAHA.110.590455; 10.1161/STROKEAHA.110.590455</w:t>
      </w:r>
    </w:p>
    <w:p w14:paraId="15C7AB5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Rao, P. S., Schaubel, D. E., Jia, X., Li, S., Port, F. K., &amp; Saran, R. (2007). Survival on dialysis post-kidney transplant failure: Results from the scientific registry of transplant recipients.</w:t>
      </w:r>
      <w:r w:rsidRPr="00CC7E17">
        <w:rPr>
          <w:rFonts w:ascii="Arial" w:eastAsiaTheme="minorEastAsia" w:hAnsi="Arial" w:cs="Arial"/>
          <w:i/>
          <w:iCs/>
          <w:bdr w:val="none" w:sz="0" w:space="0" w:color="auto"/>
        </w:rPr>
        <w:t xml:space="preserve"> American Journal of Kidney Diseases : The Official Journal of the National Kidney Foundation, 49</w:t>
      </w:r>
      <w:r w:rsidRPr="00CC7E17">
        <w:rPr>
          <w:rFonts w:ascii="Arial" w:eastAsiaTheme="minorEastAsia" w:hAnsi="Arial" w:cs="Arial"/>
          <w:bdr w:val="none" w:sz="0" w:space="0" w:color="auto"/>
        </w:rPr>
        <w:t>(2), 294-300. doi:10.1053/j.ajkd.2006.11.022</w:t>
      </w:r>
    </w:p>
    <w:p w14:paraId="2804B3C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Rapezzi, C., Merlini, G., Quarta, C. C., Riva, L., Longhi, S., Leone, O., et al. (2009). Systemic cardiac amyloidoses: Disease profiles and clinical courses of the 3 main types.</w:t>
      </w:r>
      <w:r w:rsidRPr="00CC7E17">
        <w:rPr>
          <w:rFonts w:ascii="Arial" w:eastAsiaTheme="minorEastAsia" w:hAnsi="Arial" w:cs="Arial"/>
          <w:i/>
          <w:iCs/>
          <w:bdr w:val="none" w:sz="0" w:space="0" w:color="auto"/>
        </w:rPr>
        <w:t xml:space="preserve"> Circulation, 120</w:t>
      </w:r>
      <w:r w:rsidRPr="00CC7E17">
        <w:rPr>
          <w:rFonts w:ascii="Arial" w:eastAsiaTheme="minorEastAsia" w:hAnsi="Arial" w:cs="Arial"/>
          <w:bdr w:val="none" w:sz="0" w:space="0" w:color="auto"/>
        </w:rPr>
        <w:t>(13), 1203-1212. doi:10.1161/CIRCULATIONAHA.108.843334; 10.1161/CIRCULATIONAHA.108.843334</w:t>
      </w:r>
    </w:p>
    <w:p w14:paraId="577168E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Rasiah, S. V., Ewer, A. K., Miller, P., Wright, J. G., Barron, D. J., Brawn, W. J., et al. (2008). Antenatal perspective of hypoplastic left heart syndrome: 5 years on.</w:t>
      </w:r>
      <w:r w:rsidRPr="00CC7E17">
        <w:rPr>
          <w:rFonts w:ascii="Arial" w:eastAsiaTheme="minorEastAsia" w:hAnsi="Arial" w:cs="Arial"/>
          <w:i/>
          <w:iCs/>
          <w:bdr w:val="none" w:sz="0" w:space="0" w:color="auto"/>
        </w:rPr>
        <w:t xml:space="preserve"> Archives of Disease in Childhood.Fetal and Neonatal Edition, 93</w:t>
      </w:r>
      <w:r w:rsidRPr="00CC7E17">
        <w:rPr>
          <w:rFonts w:ascii="Arial" w:eastAsiaTheme="minorEastAsia" w:hAnsi="Arial" w:cs="Arial"/>
          <w:bdr w:val="none" w:sz="0" w:space="0" w:color="auto"/>
        </w:rPr>
        <w:t>(3), F192-7. doi:10.1136/adc.2006.112482</w:t>
      </w:r>
    </w:p>
    <w:p w14:paraId="34D1513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Rattihalli, R. R., Lamming, C. R., Dorling, J., Manktelow, B. N., Bohin, S., Field, D. J., et al. (2011). Neonatal intensive care outcomes and resource utilisation of infants born &lt;26 weeks in the former trent region: 2001-2003 compared with 1991-1993.</w:t>
      </w:r>
      <w:r w:rsidRPr="00CC7E17">
        <w:rPr>
          <w:rFonts w:ascii="Arial" w:eastAsiaTheme="minorEastAsia" w:hAnsi="Arial" w:cs="Arial"/>
          <w:i/>
          <w:iCs/>
          <w:bdr w:val="none" w:sz="0" w:space="0" w:color="auto"/>
        </w:rPr>
        <w:t xml:space="preserve"> Archives of Disease in Childhood.Fetal and Neonatal Edition, 96</w:t>
      </w:r>
      <w:r w:rsidRPr="00CC7E17">
        <w:rPr>
          <w:rFonts w:ascii="Arial" w:eastAsiaTheme="minorEastAsia" w:hAnsi="Arial" w:cs="Arial"/>
          <w:bdr w:val="none" w:sz="0" w:space="0" w:color="auto"/>
        </w:rPr>
        <w:t>(5), F329-34. doi:10.1136/adc.2010.192559; 10.1136/adc.2010.192559</w:t>
      </w:r>
    </w:p>
    <w:p w14:paraId="5D2462E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Ravelli, A., Trail, L., Ferrari, C., Ruperto, N., Pistorio, A., Pilkington, C., et al. (2010). Long-term outcome and prognostic factors of juvenile dermatomyositis: A multinational, multicenter study of 490 patients.</w:t>
      </w:r>
      <w:r w:rsidRPr="00CC7E17">
        <w:rPr>
          <w:rFonts w:ascii="Arial" w:eastAsiaTheme="minorEastAsia" w:hAnsi="Arial" w:cs="Arial"/>
          <w:i/>
          <w:iCs/>
          <w:bdr w:val="none" w:sz="0" w:space="0" w:color="auto"/>
        </w:rPr>
        <w:t xml:space="preserve"> Arthritis Care &amp; Research, 62</w:t>
      </w:r>
      <w:r w:rsidRPr="00CC7E17">
        <w:rPr>
          <w:rFonts w:ascii="Arial" w:eastAsiaTheme="minorEastAsia" w:hAnsi="Arial" w:cs="Arial"/>
          <w:bdr w:val="none" w:sz="0" w:space="0" w:color="auto"/>
        </w:rPr>
        <w:t>(1), 63-72. doi:10.1002/acr.20015; 10.1002/acr.20015</w:t>
      </w:r>
    </w:p>
    <w:p w14:paraId="57F3D25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Ray, J. G., Schull, M. J., Kingdom, J. C., &amp; Vermeulen, M. J. (2012). Heart failure and dysrhythmias after maternal placental syndromes: HAD MPS study.</w:t>
      </w:r>
      <w:r w:rsidRPr="00CC7E17">
        <w:rPr>
          <w:rFonts w:ascii="Arial" w:eastAsiaTheme="minorEastAsia" w:hAnsi="Arial" w:cs="Arial"/>
          <w:i/>
          <w:iCs/>
          <w:bdr w:val="none" w:sz="0" w:space="0" w:color="auto"/>
        </w:rPr>
        <w:t xml:space="preserve"> Heart (British Cardiac Society), 98</w:t>
      </w:r>
      <w:r w:rsidRPr="00CC7E17">
        <w:rPr>
          <w:rFonts w:ascii="Arial" w:eastAsiaTheme="minorEastAsia" w:hAnsi="Arial" w:cs="Arial"/>
          <w:bdr w:val="none" w:sz="0" w:space="0" w:color="auto"/>
        </w:rPr>
        <w:t>(15), 1136-1141. doi:10.1136/heartjnl-2011-301548; 10.1136/heartjnl-2011-301548</w:t>
      </w:r>
    </w:p>
    <w:p w14:paraId="3FD884C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Retnakaran, R., Austin, P. C., &amp; Shah, B. R. (2011). Effect of subsequent pregnancies on the risk of developing diabetes following a first pregnancy complicated by gestational diabetes: A population-based study.</w:t>
      </w:r>
      <w:r w:rsidRPr="00CC7E17">
        <w:rPr>
          <w:rFonts w:ascii="Arial" w:eastAsiaTheme="minorEastAsia" w:hAnsi="Arial" w:cs="Arial"/>
          <w:i/>
          <w:iCs/>
          <w:bdr w:val="none" w:sz="0" w:space="0" w:color="auto"/>
        </w:rPr>
        <w:t xml:space="preserve"> Diabetic Medicine : A Journal of the British Diabetic Association, 28</w:t>
      </w:r>
      <w:r w:rsidRPr="00CC7E17">
        <w:rPr>
          <w:rFonts w:ascii="Arial" w:eastAsiaTheme="minorEastAsia" w:hAnsi="Arial" w:cs="Arial"/>
          <w:bdr w:val="none" w:sz="0" w:space="0" w:color="auto"/>
        </w:rPr>
        <w:t>(3), 287-292. doi:10.1111/j.1464-5491.2010.03179.x; 10.1111/j.1464-5491.2010.03179.x</w:t>
      </w:r>
    </w:p>
    <w:p w14:paraId="706AC33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Rincon, F., Dhamoon, M., Moon, Y., Paik, M. C., Boden-Albala, B., Homma, S., et al. (2008). Stroke location and association with fatal cardiac outcomes: Northern manhattan study (NOMAS).</w:t>
      </w:r>
      <w:r w:rsidRPr="00CC7E17">
        <w:rPr>
          <w:rFonts w:ascii="Arial" w:eastAsiaTheme="minorEastAsia" w:hAnsi="Arial" w:cs="Arial"/>
          <w:i/>
          <w:iCs/>
          <w:bdr w:val="none" w:sz="0" w:space="0" w:color="auto"/>
        </w:rPr>
        <w:t xml:space="preserve"> Stroke; a Journal of Cerebral Circulation, 39</w:t>
      </w:r>
      <w:r w:rsidRPr="00CC7E17">
        <w:rPr>
          <w:rFonts w:ascii="Arial" w:eastAsiaTheme="minorEastAsia" w:hAnsi="Arial" w:cs="Arial"/>
          <w:bdr w:val="none" w:sz="0" w:space="0" w:color="auto"/>
        </w:rPr>
        <w:t>(9), 2425-2431. doi:10.1161/STROKEAHA.107.506055; 10.1161/STROKEAHA.107.506055</w:t>
      </w:r>
    </w:p>
    <w:p w14:paraId="4ACF4D8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Roberts, G., Anderson, P. J., Doyle, L. W., &amp; Victorian Infant Collaborative Study Group. (2010). The stability of the diagnosis of developmental disability between ages 2 and 8 in a geographic cohort of very preterm children born in 1997.</w:t>
      </w:r>
      <w:r w:rsidRPr="00CC7E17">
        <w:rPr>
          <w:rFonts w:ascii="Arial" w:eastAsiaTheme="minorEastAsia" w:hAnsi="Arial" w:cs="Arial"/>
          <w:i/>
          <w:iCs/>
          <w:bdr w:val="none" w:sz="0" w:space="0" w:color="auto"/>
        </w:rPr>
        <w:t xml:space="preserve"> Archives of Disease in Childhood, 95</w:t>
      </w:r>
      <w:r w:rsidRPr="00CC7E17">
        <w:rPr>
          <w:rFonts w:ascii="Arial" w:eastAsiaTheme="minorEastAsia" w:hAnsi="Arial" w:cs="Arial"/>
          <w:bdr w:val="none" w:sz="0" w:space="0" w:color="auto"/>
        </w:rPr>
        <w:t>(10), 786-790. doi:10.1136/adc.2009.160283; 10.1136/adc.2009.160283</w:t>
      </w:r>
    </w:p>
    <w:p w14:paraId="0DDCF68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Robertson, C. M., Howarth, T. M., Bork, D. L., &amp; Dinu, I. A. (2009). Permanent bilateral sensory and neural hearing loss of children after neonatal intensive care because of extreme prematurity: A thirty-year study.</w:t>
      </w:r>
      <w:r w:rsidRPr="00CC7E17">
        <w:rPr>
          <w:rFonts w:ascii="Arial" w:eastAsiaTheme="minorEastAsia" w:hAnsi="Arial" w:cs="Arial"/>
          <w:i/>
          <w:iCs/>
          <w:bdr w:val="none" w:sz="0" w:space="0" w:color="auto"/>
        </w:rPr>
        <w:t xml:space="preserve"> Pediatrics, 123</w:t>
      </w:r>
      <w:r w:rsidRPr="00CC7E17">
        <w:rPr>
          <w:rFonts w:ascii="Arial" w:eastAsiaTheme="minorEastAsia" w:hAnsi="Arial" w:cs="Arial"/>
          <w:bdr w:val="none" w:sz="0" w:space="0" w:color="auto"/>
        </w:rPr>
        <w:t>(5), e797-807. doi:10.1542/peds.2008-2531; 10.1542/peds.2008-2531</w:t>
      </w:r>
    </w:p>
    <w:p w14:paraId="70EB4AE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Rodondi, N., den Elzen, W. P., Bauer, D. C., Cappola, A. R., Razvi, S., Walsh, J. P., et al. (2010). Subclinical hypothyroidism and the risk of coronary heart disease and mortality.</w:t>
      </w:r>
      <w:r w:rsidRPr="00CC7E17">
        <w:rPr>
          <w:rFonts w:ascii="Arial" w:eastAsiaTheme="minorEastAsia" w:hAnsi="Arial" w:cs="Arial"/>
          <w:i/>
          <w:iCs/>
          <w:bdr w:val="none" w:sz="0" w:space="0" w:color="auto"/>
        </w:rPr>
        <w:t xml:space="preserve"> JAMA : The Journal of the American Medical Association, 304</w:t>
      </w:r>
      <w:r w:rsidRPr="00CC7E17">
        <w:rPr>
          <w:rFonts w:ascii="Arial" w:eastAsiaTheme="minorEastAsia" w:hAnsi="Arial" w:cs="Arial"/>
          <w:bdr w:val="none" w:sz="0" w:space="0" w:color="auto"/>
        </w:rPr>
        <w:t>(12), 1365-1374. doi:10.1001/jama.2010.1361; 10.1001/jama.2010.1361</w:t>
      </w:r>
    </w:p>
    <w:p w14:paraId="0DA544E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Rosenhek, R., Zilberszac, R., Schemper, M., Czerny, M., Mundigler, G., Graf, S., et al. (2010). Natural history of very severe aortic stenosis.</w:t>
      </w:r>
      <w:r w:rsidRPr="00CC7E17">
        <w:rPr>
          <w:rFonts w:ascii="Arial" w:eastAsiaTheme="minorEastAsia" w:hAnsi="Arial" w:cs="Arial"/>
          <w:i/>
          <w:iCs/>
          <w:bdr w:val="none" w:sz="0" w:space="0" w:color="auto"/>
        </w:rPr>
        <w:t xml:space="preserve"> Circulation, 121</w:t>
      </w:r>
      <w:r w:rsidRPr="00CC7E17">
        <w:rPr>
          <w:rFonts w:ascii="Arial" w:eastAsiaTheme="minorEastAsia" w:hAnsi="Arial" w:cs="Arial"/>
          <w:bdr w:val="none" w:sz="0" w:space="0" w:color="auto"/>
        </w:rPr>
        <w:t>(1), 151-156. doi:10.1161/CIRCULATIONAHA.109.894170; 10.1161/CIRCULATIONAHA.109.894170</w:t>
      </w:r>
    </w:p>
    <w:p w14:paraId="18521D2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Ruffatti, A., Del Ross, T., Ciprian, M., Nuzzo, M., Rampudda, M., Bertero, M. T., et al. (2009). Risk factors for a first thrombotic event in antiphospholipid antibody carriers. A multicentre, retrospective follow-up study.</w:t>
      </w:r>
      <w:r w:rsidRPr="00CC7E17">
        <w:rPr>
          <w:rFonts w:ascii="Arial" w:eastAsiaTheme="minorEastAsia" w:hAnsi="Arial" w:cs="Arial"/>
          <w:i/>
          <w:iCs/>
          <w:bdr w:val="none" w:sz="0" w:space="0" w:color="auto"/>
        </w:rPr>
        <w:t xml:space="preserve"> Annals of the Rheumatic Diseases, 68</w:t>
      </w:r>
      <w:r w:rsidRPr="00CC7E17">
        <w:rPr>
          <w:rFonts w:ascii="Arial" w:eastAsiaTheme="minorEastAsia" w:hAnsi="Arial" w:cs="Arial"/>
          <w:bdr w:val="none" w:sz="0" w:space="0" w:color="auto"/>
        </w:rPr>
        <w:t>(3), 397-399. doi:10.1136/ard.2008.096669; 10.1136/ard.2008.096669</w:t>
      </w:r>
    </w:p>
    <w:p w14:paraId="2136227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Rungoe, C., Basit, S., Ranthe, M. F., Wohlfahrt, J., Langholz, E., &amp; Jess, T. (2013). Risk of ischaemic heart disease in patients with inflammatory bowel disease: A nationwide danish cohort study.</w:t>
      </w:r>
      <w:r w:rsidRPr="00CC7E17">
        <w:rPr>
          <w:rFonts w:ascii="Arial" w:eastAsiaTheme="minorEastAsia" w:hAnsi="Arial" w:cs="Arial"/>
          <w:i/>
          <w:iCs/>
          <w:bdr w:val="none" w:sz="0" w:space="0" w:color="auto"/>
        </w:rPr>
        <w:t xml:space="preserve"> Gut, 62</w:t>
      </w:r>
      <w:r w:rsidRPr="00CC7E17">
        <w:rPr>
          <w:rFonts w:ascii="Arial" w:eastAsiaTheme="minorEastAsia" w:hAnsi="Arial" w:cs="Arial"/>
          <w:bdr w:val="none" w:sz="0" w:space="0" w:color="auto"/>
        </w:rPr>
        <w:t>(5), 689-694. doi:10.1136/gutjnl-2012-303285; 10.1136/gutjnl-2012-303285</w:t>
      </w:r>
    </w:p>
    <w:p w14:paraId="34D4DDE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Russell, A. S., Devani, A., &amp; Maksymowych, W. P. (2006). The role of anti-cyclic citrullinated peptide antibodies in predicting progression of palindromic rheumatism to rheumatoid arthritis.</w:t>
      </w:r>
      <w:r w:rsidRPr="00CC7E17">
        <w:rPr>
          <w:rFonts w:ascii="Arial" w:eastAsiaTheme="minorEastAsia" w:hAnsi="Arial" w:cs="Arial"/>
          <w:i/>
          <w:iCs/>
          <w:bdr w:val="none" w:sz="0" w:space="0" w:color="auto"/>
        </w:rPr>
        <w:t xml:space="preserve"> The Journal of Rheumatology, 33</w:t>
      </w:r>
      <w:r w:rsidRPr="00CC7E17">
        <w:rPr>
          <w:rFonts w:ascii="Arial" w:eastAsiaTheme="minorEastAsia" w:hAnsi="Arial" w:cs="Arial"/>
          <w:bdr w:val="none" w:sz="0" w:space="0" w:color="auto"/>
        </w:rPr>
        <w:t>(7), 1240-1242.</w:t>
      </w:r>
    </w:p>
    <w:p w14:paraId="655213B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Ruwald, M. H., Hansen, M. L., Lamberts, M., Hansen, C. M., Vinther, M., Kober, L., et al. (2013). Prognosis among healthy individuals discharged with a primary diagnosis of syncope.</w:t>
      </w:r>
      <w:r w:rsidRPr="00CC7E17">
        <w:rPr>
          <w:rFonts w:ascii="Arial" w:eastAsiaTheme="minorEastAsia" w:hAnsi="Arial" w:cs="Arial"/>
          <w:i/>
          <w:iCs/>
          <w:bdr w:val="none" w:sz="0" w:space="0" w:color="auto"/>
        </w:rPr>
        <w:t xml:space="preserve"> Journal of the American College of Cardiology, 61</w:t>
      </w:r>
      <w:r w:rsidRPr="00CC7E17">
        <w:rPr>
          <w:rFonts w:ascii="Arial" w:eastAsiaTheme="minorEastAsia" w:hAnsi="Arial" w:cs="Arial"/>
          <w:bdr w:val="none" w:sz="0" w:space="0" w:color="auto"/>
        </w:rPr>
        <w:t>(3), 325-332. doi:10.1016/j.jacc.2012.08.1024; 10.1016/j.jacc.2012.08.1024</w:t>
      </w:r>
    </w:p>
    <w:p w14:paraId="18CAB4F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Saadoun, D., Wechsler, B., Resche-Rigon, M., Trad, S., Le Thi Huong, D., Sbai, A., et al. (2009). Cerebral venous thrombosis in behcet's disease.</w:t>
      </w:r>
      <w:r w:rsidRPr="00CC7E17">
        <w:rPr>
          <w:rFonts w:ascii="Arial" w:eastAsiaTheme="minorEastAsia" w:hAnsi="Arial" w:cs="Arial"/>
          <w:i/>
          <w:iCs/>
          <w:bdr w:val="none" w:sz="0" w:space="0" w:color="auto"/>
        </w:rPr>
        <w:t xml:space="preserve"> Arthritis and Rheumatism, 61</w:t>
      </w:r>
      <w:r w:rsidRPr="00CC7E17">
        <w:rPr>
          <w:rFonts w:ascii="Arial" w:eastAsiaTheme="minorEastAsia" w:hAnsi="Arial" w:cs="Arial"/>
          <w:bdr w:val="none" w:sz="0" w:space="0" w:color="auto"/>
        </w:rPr>
        <w:t>(4), 518-526. doi:10.1002/art.24393; 10.1002/art.24393</w:t>
      </w:r>
    </w:p>
    <w:p w14:paraId="338E042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Salzburg, J., Burkhardt, B., Zimmermann, M., Wachowski, O., Woessmann, W., Oschlies, I., et al. (2007). Prevalence, clinical pattern, and outcome of CNS involvement in childhood and adolescent non-hodgkin's lymphoma differ by non-hodgkin's lymphoma subtype: A berlin-frankfurt-munster group report.</w:t>
      </w:r>
      <w:r w:rsidRPr="00CC7E17">
        <w:rPr>
          <w:rFonts w:ascii="Arial" w:eastAsiaTheme="minorEastAsia" w:hAnsi="Arial" w:cs="Arial"/>
          <w:i/>
          <w:iCs/>
          <w:bdr w:val="none" w:sz="0" w:space="0" w:color="auto"/>
        </w:rPr>
        <w:t xml:space="preserve"> Journal of Clinical Oncology : Official Journal of the American Society of Clinical Oncology, 25</w:t>
      </w:r>
      <w:r w:rsidRPr="00CC7E17">
        <w:rPr>
          <w:rFonts w:ascii="Arial" w:eastAsiaTheme="minorEastAsia" w:hAnsi="Arial" w:cs="Arial"/>
          <w:bdr w:val="none" w:sz="0" w:space="0" w:color="auto"/>
        </w:rPr>
        <w:t>(25), 3915-3922. doi:10.1200/JCO.2007.11.0700</w:t>
      </w:r>
    </w:p>
    <w:p w14:paraId="6A425FD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Saurenmann, R. K., Levin, A. V., Feldman, B. M., Laxer, R. M., Schneider, R., &amp; Silverman, E. D. (2010). Risk factors for development of uveitis differ between girls and boys with juvenile idiopathic arthritis.</w:t>
      </w:r>
      <w:r w:rsidRPr="00CC7E17">
        <w:rPr>
          <w:rFonts w:ascii="Arial" w:eastAsiaTheme="minorEastAsia" w:hAnsi="Arial" w:cs="Arial"/>
          <w:i/>
          <w:iCs/>
          <w:bdr w:val="none" w:sz="0" w:space="0" w:color="auto"/>
        </w:rPr>
        <w:t xml:space="preserve"> Arthritis and Rheumatism, 62</w:t>
      </w:r>
      <w:r w:rsidRPr="00CC7E17">
        <w:rPr>
          <w:rFonts w:ascii="Arial" w:eastAsiaTheme="minorEastAsia" w:hAnsi="Arial" w:cs="Arial"/>
          <w:bdr w:val="none" w:sz="0" w:space="0" w:color="auto"/>
        </w:rPr>
        <w:t>(6), 1824-1828. doi:10.1002/art.27416; 10.1002/art.27416</w:t>
      </w:r>
    </w:p>
    <w:p w14:paraId="0F64089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Schaeffner, E. S., Mehta, J., &amp; Winkelmayer, W. C. (2008). Educational level as a determinant of access to and outcomes after kidney transplantation in the united states.</w:t>
      </w:r>
      <w:r w:rsidRPr="00CC7E17">
        <w:rPr>
          <w:rFonts w:ascii="Arial" w:eastAsiaTheme="minorEastAsia" w:hAnsi="Arial" w:cs="Arial"/>
          <w:i/>
          <w:iCs/>
          <w:bdr w:val="none" w:sz="0" w:space="0" w:color="auto"/>
        </w:rPr>
        <w:t xml:space="preserve"> American Journal of Kidney Diseases : The Official Journal of the National Kidney Foundation, 51</w:t>
      </w:r>
      <w:r w:rsidRPr="00CC7E17">
        <w:rPr>
          <w:rFonts w:ascii="Arial" w:eastAsiaTheme="minorEastAsia" w:hAnsi="Arial" w:cs="Arial"/>
          <w:bdr w:val="none" w:sz="0" w:space="0" w:color="auto"/>
        </w:rPr>
        <w:t>(5), 811-818. doi:10.1053/j.ajkd.2008.01.019; 10.1053/j.ajkd.2008.01.019</w:t>
      </w:r>
    </w:p>
    <w:p w14:paraId="0BA9320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Schmidt, W. A., Moll, A., Seifert, A., Schicke, B., Gromnica-Ihle, E., &amp; Krause, A. (2008). Prognosis of large-vessel giant cell arteritis.</w:t>
      </w:r>
      <w:r w:rsidRPr="00CC7E17">
        <w:rPr>
          <w:rFonts w:ascii="Arial" w:eastAsiaTheme="minorEastAsia" w:hAnsi="Arial" w:cs="Arial"/>
          <w:i/>
          <w:iCs/>
          <w:bdr w:val="none" w:sz="0" w:space="0" w:color="auto"/>
        </w:rPr>
        <w:t xml:space="preserve"> Rheumatology (Oxford, England), 47</w:t>
      </w:r>
      <w:r w:rsidRPr="00CC7E17">
        <w:rPr>
          <w:rFonts w:ascii="Arial" w:eastAsiaTheme="minorEastAsia" w:hAnsi="Arial" w:cs="Arial"/>
          <w:bdr w:val="none" w:sz="0" w:space="0" w:color="auto"/>
        </w:rPr>
        <w:t>(9), 1406-1408. doi:10.1093/rheumatology/ken258; 10.1093/rheumatology/ken258</w:t>
      </w:r>
    </w:p>
    <w:p w14:paraId="74F1662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Scotet, V., Dugueperoux, I., Audrezet, M. P., Audebert-Bellanger, S., Muller, M., Blayau, M., et al. (2010). Focus on cystic fibrosis and other disorders evidenced in fetuses with sonographic finding of echogenic bowel: 16-year report from brittany, france.</w:t>
      </w:r>
      <w:r w:rsidRPr="00CC7E17">
        <w:rPr>
          <w:rFonts w:ascii="Arial" w:eastAsiaTheme="minorEastAsia" w:hAnsi="Arial" w:cs="Arial"/>
          <w:i/>
          <w:iCs/>
          <w:bdr w:val="none" w:sz="0" w:space="0" w:color="auto"/>
        </w:rPr>
        <w:t xml:space="preserve"> American Journal of Obstetrics and Gynecology, 203</w:t>
      </w:r>
      <w:r w:rsidRPr="00CC7E17">
        <w:rPr>
          <w:rFonts w:ascii="Arial" w:eastAsiaTheme="minorEastAsia" w:hAnsi="Arial" w:cs="Arial"/>
          <w:bdr w:val="none" w:sz="0" w:space="0" w:color="auto"/>
        </w:rPr>
        <w:t>(6), 592.e1-592.e6. doi:10.1016/j.ajog.2010.08.033; 10.1016/j.ajog.2010.08.033</w:t>
      </w:r>
    </w:p>
    <w:p w14:paraId="6BE99D3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Seaton, S. E., King, S., Manktelow, B. N., Draper, E. S., &amp; Field, D. J. (2013). Babies born at the threshold of viability: Changes in survival and workload over 20 years.</w:t>
      </w:r>
      <w:r w:rsidRPr="00CC7E17">
        <w:rPr>
          <w:rFonts w:ascii="Arial" w:eastAsiaTheme="minorEastAsia" w:hAnsi="Arial" w:cs="Arial"/>
          <w:i/>
          <w:iCs/>
          <w:bdr w:val="none" w:sz="0" w:space="0" w:color="auto"/>
        </w:rPr>
        <w:t xml:space="preserve"> Archives of Disease in Childhood.Fetal and Neonatal Edition, 98</w:t>
      </w:r>
      <w:r w:rsidRPr="00CC7E17">
        <w:rPr>
          <w:rFonts w:ascii="Arial" w:eastAsiaTheme="minorEastAsia" w:hAnsi="Arial" w:cs="Arial"/>
          <w:bdr w:val="none" w:sz="0" w:space="0" w:color="auto"/>
        </w:rPr>
        <w:t>(1), F15-20. doi:10.1136/fetalneonatal-2011-301572; 10.1136/fetalneonatal-2011-301572</w:t>
      </w:r>
    </w:p>
    <w:p w14:paraId="7C4060B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Sechi, L. A., Novello, M., Lapenna, R., Baroselli, S., Nadalini, E., Colussi, G. L., et al. (2006). Long-term renal outcomes in patients with primary aldosteronism.</w:t>
      </w:r>
      <w:r w:rsidRPr="00CC7E17">
        <w:rPr>
          <w:rFonts w:ascii="Arial" w:eastAsiaTheme="minorEastAsia" w:hAnsi="Arial" w:cs="Arial"/>
          <w:i/>
          <w:iCs/>
          <w:bdr w:val="none" w:sz="0" w:space="0" w:color="auto"/>
        </w:rPr>
        <w:t xml:space="preserve"> JAMA : The Journal of the American Medical Association, 295</w:t>
      </w:r>
      <w:r w:rsidRPr="00CC7E17">
        <w:rPr>
          <w:rFonts w:ascii="Arial" w:eastAsiaTheme="minorEastAsia" w:hAnsi="Arial" w:cs="Arial"/>
          <w:bdr w:val="none" w:sz="0" w:space="0" w:color="auto"/>
        </w:rPr>
        <w:t>(22), 2638-2645. doi:10.1001/jama.295.22.2638</w:t>
      </w:r>
    </w:p>
    <w:p w14:paraId="4CCAB5A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Segev, D. L., Muzaale, A. D., Caffo, B. S., Mehta, S. H., Singer, A. L., Taranto, S. E., et al. (2010). Perioperative mortality and long-term survival following live kidney donation.</w:t>
      </w:r>
      <w:r w:rsidRPr="00CC7E17">
        <w:rPr>
          <w:rFonts w:ascii="Arial" w:eastAsiaTheme="minorEastAsia" w:hAnsi="Arial" w:cs="Arial"/>
          <w:i/>
          <w:iCs/>
          <w:bdr w:val="none" w:sz="0" w:space="0" w:color="auto"/>
        </w:rPr>
        <w:t xml:space="preserve"> JAMA : The Journal of the American Medical Association, 303</w:t>
      </w:r>
      <w:r w:rsidRPr="00CC7E17">
        <w:rPr>
          <w:rFonts w:ascii="Arial" w:eastAsiaTheme="minorEastAsia" w:hAnsi="Arial" w:cs="Arial"/>
          <w:bdr w:val="none" w:sz="0" w:space="0" w:color="auto"/>
        </w:rPr>
        <w:t>(10), 959-966. doi:10.1001/jama.2010.237; 10.1001/jama.2010.237</w:t>
      </w:r>
    </w:p>
    <w:p w14:paraId="17A6AC0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Sellmer, A., Bjerre, J. V., Schmidt, M. R., McNamara, P. J., Hjortdal, V. E., Host, B., et al. (2013). Morbidity and mortality in preterm neonates with patent ductus arteriosus on day 3.</w:t>
      </w:r>
      <w:r w:rsidRPr="00CC7E17">
        <w:rPr>
          <w:rFonts w:ascii="Arial" w:eastAsiaTheme="minorEastAsia" w:hAnsi="Arial" w:cs="Arial"/>
          <w:i/>
          <w:iCs/>
          <w:bdr w:val="none" w:sz="0" w:space="0" w:color="auto"/>
        </w:rPr>
        <w:t xml:space="preserve"> Archives of Disease in Childhood.Fetal and Neonatal Edition, 98</w:t>
      </w:r>
      <w:r w:rsidRPr="00CC7E17">
        <w:rPr>
          <w:rFonts w:ascii="Arial" w:eastAsiaTheme="minorEastAsia" w:hAnsi="Arial" w:cs="Arial"/>
          <w:bdr w:val="none" w:sz="0" w:space="0" w:color="auto"/>
        </w:rPr>
        <w:t>(6), F505-10. doi:10.1136/archdischild-2013-303816; 10.1136/archdischild-2013-303816</w:t>
      </w:r>
    </w:p>
    <w:p w14:paraId="7022F19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Serati, M., Uccella, S., Laterza, R. M., Salvatore, S., Beretta, P., Riva, C., et al. (2008). Natural history of cervical intraepithelial neoplasia during pregnancy.</w:t>
      </w:r>
      <w:r w:rsidRPr="00CC7E17">
        <w:rPr>
          <w:rFonts w:ascii="Arial" w:eastAsiaTheme="minorEastAsia" w:hAnsi="Arial" w:cs="Arial"/>
          <w:i/>
          <w:iCs/>
          <w:bdr w:val="none" w:sz="0" w:space="0" w:color="auto"/>
        </w:rPr>
        <w:t xml:space="preserve"> Acta Obstetricia Et Gynecologica Scandinavica, 87</w:t>
      </w:r>
      <w:r w:rsidRPr="00CC7E17">
        <w:rPr>
          <w:rFonts w:ascii="Arial" w:eastAsiaTheme="minorEastAsia" w:hAnsi="Arial" w:cs="Arial"/>
          <w:bdr w:val="none" w:sz="0" w:space="0" w:color="auto"/>
        </w:rPr>
        <w:t>(12), 1296-1300. doi:10.1080/00016340802482986; 10.1080/00016340802482986</w:t>
      </w:r>
    </w:p>
    <w:p w14:paraId="079A442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Serenius, F., Kallen, K., Blennow, M., Ewald, U., Fellman, V., Holmstrom, G., et al. (2013). Neurodevelopmental outcome in extremely preterm infants at 2.5 years after active perinatal care in sweden.</w:t>
      </w:r>
      <w:r w:rsidRPr="00CC7E17">
        <w:rPr>
          <w:rFonts w:ascii="Arial" w:eastAsiaTheme="minorEastAsia" w:hAnsi="Arial" w:cs="Arial"/>
          <w:i/>
          <w:iCs/>
          <w:bdr w:val="none" w:sz="0" w:space="0" w:color="auto"/>
        </w:rPr>
        <w:t xml:space="preserve"> JAMA : The Journal of the American Medical Association, 309</w:t>
      </w:r>
      <w:r w:rsidRPr="00CC7E17">
        <w:rPr>
          <w:rFonts w:ascii="Arial" w:eastAsiaTheme="minorEastAsia" w:hAnsi="Arial" w:cs="Arial"/>
          <w:bdr w:val="none" w:sz="0" w:space="0" w:color="auto"/>
        </w:rPr>
        <w:t>(17), 1810-1820. doi:10.1001/jama.2013.3786; 10.1001/jama.2013.3786</w:t>
      </w:r>
    </w:p>
    <w:p w14:paraId="44349AF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Shah, B. R., Victor, J. C., Chiu, M., Tu, J. V., Anand, S. S., Austin, P. C., et al. (2013). Cardiovascular complications and mortality after diabetes diagnosis for south asian and chinese patients: A population-based cohort study.</w:t>
      </w:r>
      <w:r w:rsidRPr="00CC7E17">
        <w:rPr>
          <w:rFonts w:ascii="Arial" w:eastAsiaTheme="minorEastAsia" w:hAnsi="Arial" w:cs="Arial"/>
          <w:i/>
          <w:iCs/>
          <w:bdr w:val="none" w:sz="0" w:space="0" w:color="auto"/>
        </w:rPr>
        <w:t xml:space="preserve"> Diabetes Care, 36</w:t>
      </w:r>
      <w:r w:rsidRPr="00CC7E17">
        <w:rPr>
          <w:rFonts w:ascii="Arial" w:eastAsiaTheme="minorEastAsia" w:hAnsi="Arial" w:cs="Arial"/>
          <w:bdr w:val="none" w:sz="0" w:space="0" w:color="auto"/>
        </w:rPr>
        <w:t>(9), 2670-2676. doi:10.2337/dc12-2105; 10.2337/dc12-2105</w:t>
      </w:r>
    </w:p>
    <w:p w14:paraId="31294AD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Shane, A. L., Hansen, N. I., Stoll, B. J., Bell, E. F., Sanchez, P. J., Shankaran, S., et al. (2012). Methicillin-resistant and susceptible staphylococcus aureus bacteremia and meningitis in preterm infants.</w:t>
      </w:r>
      <w:r w:rsidRPr="00CC7E17">
        <w:rPr>
          <w:rFonts w:ascii="Arial" w:eastAsiaTheme="minorEastAsia" w:hAnsi="Arial" w:cs="Arial"/>
          <w:i/>
          <w:iCs/>
          <w:bdr w:val="none" w:sz="0" w:space="0" w:color="auto"/>
        </w:rPr>
        <w:t xml:space="preserve"> Pediatrics, 129</w:t>
      </w:r>
      <w:r w:rsidRPr="00CC7E17">
        <w:rPr>
          <w:rFonts w:ascii="Arial" w:eastAsiaTheme="minorEastAsia" w:hAnsi="Arial" w:cs="Arial"/>
          <w:bdr w:val="none" w:sz="0" w:space="0" w:color="auto"/>
        </w:rPr>
        <w:t>(4), e914-22. doi:10.1542/peds.2011-0966; 10.1542/peds.2011-0966</w:t>
      </w:r>
    </w:p>
    <w:p w14:paraId="182A2AC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Sharkey, S. W., Windenburg, D. C., Lesser, J. R., Maron, M. S., Hauser, R. G., Lesser, J. N., et al. (2010). Natural history and expansive clinical profile of stress (tako-tsubo) cardiomyopathy.</w:t>
      </w:r>
      <w:r w:rsidRPr="00CC7E17">
        <w:rPr>
          <w:rFonts w:ascii="Arial" w:eastAsiaTheme="minorEastAsia" w:hAnsi="Arial" w:cs="Arial"/>
          <w:i/>
          <w:iCs/>
          <w:bdr w:val="none" w:sz="0" w:space="0" w:color="auto"/>
        </w:rPr>
        <w:t xml:space="preserve"> Journal of the American College of Cardiology, 55</w:t>
      </w:r>
      <w:r w:rsidRPr="00CC7E17">
        <w:rPr>
          <w:rFonts w:ascii="Arial" w:eastAsiaTheme="minorEastAsia" w:hAnsi="Arial" w:cs="Arial"/>
          <w:bdr w:val="none" w:sz="0" w:space="0" w:color="auto"/>
        </w:rPr>
        <w:t>(4), 333-341. doi:10.1016/j.jacc.2009.08.057; 10.1016/j.jacc.2009.08.057</w:t>
      </w:r>
    </w:p>
    <w:p w14:paraId="24B6C42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Shivashankar, R., Loftus, E. V.,Jr, Tremaine, W. J., Bongartz, T., Harmsen, W. S., Zinsmeister, A. R., et al. (2012). Incidence of spondyloarthropathy in patients with crohn's disease: A population-based study.</w:t>
      </w:r>
      <w:r w:rsidRPr="00CC7E17">
        <w:rPr>
          <w:rFonts w:ascii="Arial" w:eastAsiaTheme="minorEastAsia" w:hAnsi="Arial" w:cs="Arial"/>
          <w:i/>
          <w:iCs/>
          <w:bdr w:val="none" w:sz="0" w:space="0" w:color="auto"/>
        </w:rPr>
        <w:t xml:space="preserve"> The Journal of Rheumatology, 39</w:t>
      </w:r>
      <w:r w:rsidRPr="00CC7E17">
        <w:rPr>
          <w:rFonts w:ascii="Arial" w:eastAsiaTheme="minorEastAsia" w:hAnsi="Arial" w:cs="Arial"/>
          <w:bdr w:val="none" w:sz="0" w:space="0" w:color="auto"/>
        </w:rPr>
        <w:t>(11), 2148-2152. doi:10.3899/jrheum.120321; 10.3899/jrheum.120321</w:t>
      </w:r>
    </w:p>
    <w:p w14:paraId="128F825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Shovlin, C. L., Sodhi, V., McCarthy, A., Lasjaunias, P., Jackson, J. E., &amp; Sheppard, M. N. (2008). Estimates of maternal risks of pregnancy for women with hereditary haemorrhagic telangiectasia (osler-weber-rendu syndrome): Suggested approach for obstetric services.</w:t>
      </w:r>
      <w:r w:rsidRPr="00CC7E17">
        <w:rPr>
          <w:rFonts w:ascii="Arial" w:eastAsiaTheme="minorEastAsia" w:hAnsi="Arial" w:cs="Arial"/>
          <w:i/>
          <w:iCs/>
          <w:bdr w:val="none" w:sz="0" w:space="0" w:color="auto"/>
        </w:rPr>
        <w:t xml:space="preserve"> BJOG : An International Journal of Obstetrics and Gynaecology, 115</w:t>
      </w:r>
      <w:r w:rsidRPr="00CC7E17">
        <w:rPr>
          <w:rFonts w:ascii="Arial" w:eastAsiaTheme="minorEastAsia" w:hAnsi="Arial" w:cs="Arial"/>
          <w:bdr w:val="none" w:sz="0" w:space="0" w:color="auto"/>
        </w:rPr>
        <w:t>(9), 1108-1115. doi:10.1111/j.1471-0528.2008.01786.x; 10.1111/j.1471-0528.2008.01786.x</w:t>
      </w:r>
    </w:p>
    <w:p w14:paraId="2688986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Shu, X., Ji, J., Li, X., Sundquist, J., Sundquist, K., &amp; Hemminki, K. (2010). Cancer risk among patients hospitalized for type 1 diabetes mellitus: A population-based cohort study in sweden.</w:t>
      </w:r>
      <w:r w:rsidRPr="00CC7E17">
        <w:rPr>
          <w:rFonts w:ascii="Arial" w:eastAsiaTheme="minorEastAsia" w:hAnsi="Arial" w:cs="Arial"/>
          <w:i/>
          <w:iCs/>
          <w:bdr w:val="none" w:sz="0" w:space="0" w:color="auto"/>
        </w:rPr>
        <w:t xml:space="preserve"> Diabetic Medicine : A Journal of the British Diabetic Association, 27</w:t>
      </w:r>
      <w:r w:rsidRPr="00CC7E17">
        <w:rPr>
          <w:rFonts w:ascii="Arial" w:eastAsiaTheme="minorEastAsia" w:hAnsi="Arial" w:cs="Arial"/>
          <w:bdr w:val="none" w:sz="0" w:space="0" w:color="auto"/>
        </w:rPr>
        <w:t>(7), 791-797. doi:10.1111/j.1464-5491.2010.03011.x; 10.1111/j.1464-5491.2010.03011.x</w:t>
      </w:r>
    </w:p>
    <w:p w14:paraId="614B7BD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Sillanpaa, M., &amp; Shinnar, S. (2010). Long-term mortality in childhood-onset epilepsy.</w:t>
      </w:r>
      <w:r w:rsidRPr="00CC7E17">
        <w:rPr>
          <w:rFonts w:ascii="Arial" w:eastAsiaTheme="minorEastAsia" w:hAnsi="Arial" w:cs="Arial"/>
          <w:i/>
          <w:iCs/>
          <w:bdr w:val="none" w:sz="0" w:space="0" w:color="auto"/>
        </w:rPr>
        <w:t xml:space="preserve"> The New England Journal of Medicine, 363</w:t>
      </w:r>
      <w:r w:rsidRPr="00CC7E17">
        <w:rPr>
          <w:rFonts w:ascii="Arial" w:eastAsiaTheme="minorEastAsia" w:hAnsi="Arial" w:cs="Arial"/>
          <w:bdr w:val="none" w:sz="0" w:space="0" w:color="auto"/>
        </w:rPr>
        <w:t>(26), 2522-2529. doi:10.1056/NEJMoa0911610; 10.1056/NEJMoa0911610</w:t>
      </w:r>
    </w:p>
    <w:p w14:paraId="27DB9BF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Siston, A. M., Rasmussen, S. A., Honein, M. A., Fry, A. M., Seib, K., Callaghan, W. M., et al. (2010). Pandemic 2009 influenza A(H1N1) virus illness among pregnant women in the united states.</w:t>
      </w:r>
      <w:r w:rsidRPr="00CC7E17">
        <w:rPr>
          <w:rFonts w:ascii="Arial" w:eastAsiaTheme="minorEastAsia" w:hAnsi="Arial" w:cs="Arial"/>
          <w:i/>
          <w:iCs/>
          <w:bdr w:val="none" w:sz="0" w:space="0" w:color="auto"/>
        </w:rPr>
        <w:t xml:space="preserve"> JAMA : The Journal of the American Medical Association, 303</w:t>
      </w:r>
      <w:r w:rsidRPr="00CC7E17">
        <w:rPr>
          <w:rFonts w:ascii="Arial" w:eastAsiaTheme="minorEastAsia" w:hAnsi="Arial" w:cs="Arial"/>
          <w:bdr w:val="none" w:sz="0" w:space="0" w:color="auto"/>
        </w:rPr>
        <w:t>(15), 1517-1525. doi:10.1001/jama.2010.479; 10.1001/jama.2010.479</w:t>
      </w:r>
    </w:p>
    <w:p w14:paraId="2EFAFB9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Sitges-Serra, A., Ruiz, S., Girvent, M., Manjon, H., Duenas, J. P., &amp; Sancho, J. J. (2010). Outcome of protracted hypoparathyroidism after total thyroidectomy.</w:t>
      </w:r>
      <w:r w:rsidRPr="00CC7E17">
        <w:rPr>
          <w:rFonts w:ascii="Arial" w:eastAsiaTheme="minorEastAsia" w:hAnsi="Arial" w:cs="Arial"/>
          <w:i/>
          <w:iCs/>
          <w:bdr w:val="none" w:sz="0" w:space="0" w:color="auto"/>
        </w:rPr>
        <w:t xml:space="preserve"> The British Journal of Surgery, 97</w:t>
      </w:r>
      <w:r w:rsidRPr="00CC7E17">
        <w:rPr>
          <w:rFonts w:ascii="Arial" w:eastAsiaTheme="minorEastAsia" w:hAnsi="Arial" w:cs="Arial"/>
          <w:bdr w:val="none" w:sz="0" w:space="0" w:color="auto"/>
        </w:rPr>
        <w:t>(11), 1687-1695. doi:10.1002/bjs.7219; 10.1002/bjs.7219</w:t>
      </w:r>
    </w:p>
    <w:p w14:paraId="6D91C34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Smith, G. C., Celik, E., To, M., Khouri, O., Nicolaides, K. H., &amp; Fetal Medicine Foundation Second Trimester Screening Group. (2008). Cervical length at mid-pregnancy and the risk of primary cesarean delivery.</w:t>
      </w:r>
      <w:r w:rsidRPr="00CC7E17">
        <w:rPr>
          <w:rFonts w:ascii="Arial" w:eastAsiaTheme="minorEastAsia" w:hAnsi="Arial" w:cs="Arial"/>
          <w:i/>
          <w:iCs/>
          <w:bdr w:val="none" w:sz="0" w:space="0" w:color="auto"/>
        </w:rPr>
        <w:t xml:space="preserve"> The New England Journal of Medicine, 358</w:t>
      </w:r>
      <w:r w:rsidRPr="00CC7E17">
        <w:rPr>
          <w:rFonts w:ascii="Arial" w:eastAsiaTheme="minorEastAsia" w:hAnsi="Arial" w:cs="Arial"/>
          <w:bdr w:val="none" w:sz="0" w:space="0" w:color="auto"/>
        </w:rPr>
        <w:t>(13), 1346-1353. doi:10.1056/NEJMoa0706834; 10.1056/NEJMoa0706834</w:t>
      </w:r>
    </w:p>
    <w:p w14:paraId="0BFDD10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Sogaard, K. K., Erichsen, R., Lund, J. L., Farkas, D. K., &amp; Sorensen, H. T. (2014). Cholangitis and subsequent gastrointestinal cancer risk: A danish population-based cohort study.</w:t>
      </w:r>
      <w:r w:rsidRPr="00CC7E17">
        <w:rPr>
          <w:rFonts w:ascii="Arial" w:eastAsiaTheme="minorEastAsia" w:hAnsi="Arial" w:cs="Arial"/>
          <w:i/>
          <w:iCs/>
          <w:bdr w:val="none" w:sz="0" w:space="0" w:color="auto"/>
        </w:rPr>
        <w:t xml:space="preserve"> Gut, 63</w:t>
      </w:r>
      <w:r w:rsidRPr="00CC7E17">
        <w:rPr>
          <w:rFonts w:ascii="Arial" w:eastAsiaTheme="minorEastAsia" w:hAnsi="Arial" w:cs="Arial"/>
          <w:bdr w:val="none" w:sz="0" w:space="0" w:color="auto"/>
        </w:rPr>
        <w:t>(2), 356-361. doi:10.1136/gutjnl-2013-305039; 10.1136/gutjnl-2013-305039</w:t>
      </w:r>
    </w:p>
    <w:p w14:paraId="234845E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Solomon, D. H., Goodson, N. J., Katz, J. N., Weinblatt, M. E., Avorn, J., Setoguchi, S., et al. (2006). Patterns of cardiovascular risk in rheumatoid arthritis.</w:t>
      </w:r>
      <w:r w:rsidRPr="00CC7E17">
        <w:rPr>
          <w:rFonts w:ascii="Arial" w:eastAsiaTheme="minorEastAsia" w:hAnsi="Arial" w:cs="Arial"/>
          <w:i/>
          <w:iCs/>
          <w:bdr w:val="none" w:sz="0" w:space="0" w:color="auto"/>
        </w:rPr>
        <w:t xml:space="preserve"> Annals of the Rheumatic Diseases, 65</w:t>
      </w:r>
      <w:r w:rsidRPr="00CC7E17">
        <w:rPr>
          <w:rFonts w:ascii="Arial" w:eastAsiaTheme="minorEastAsia" w:hAnsi="Arial" w:cs="Arial"/>
          <w:bdr w:val="none" w:sz="0" w:space="0" w:color="auto"/>
        </w:rPr>
        <w:t>(12), 1608-1612. doi:10.1136/ard.2005.050377</w:t>
      </w:r>
    </w:p>
    <w:p w14:paraId="26AF1C7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Song, J. K., Yim, J. H., Ahn, J. M., Kim, D. H., Kang, J. W., Lee, T. Y., et al. (2009). Outcomes of patients with acute type a aortic intramural hematoma.</w:t>
      </w:r>
      <w:r w:rsidRPr="00CC7E17">
        <w:rPr>
          <w:rFonts w:ascii="Arial" w:eastAsiaTheme="minorEastAsia" w:hAnsi="Arial" w:cs="Arial"/>
          <w:i/>
          <w:iCs/>
          <w:bdr w:val="none" w:sz="0" w:space="0" w:color="auto"/>
        </w:rPr>
        <w:t xml:space="preserve"> Circulation, 120</w:t>
      </w:r>
      <w:r w:rsidRPr="00CC7E17">
        <w:rPr>
          <w:rFonts w:ascii="Arial" w:eastAsiaTheme="minorEastAsia" w:hAnsi="Arial" w:cs="Arial"/>
          <w:bdr w:val="none" w:sz="0" w:space="0" w:color="auto"/>
        </w:rPr>
        <w:t>(21), 2046-2052. doi:10.1161/CIRCULATIONAHA.109.879783; 10.1161/CIRCULATIONAHA.109.879783</w:t>
      </w:r>
    </w:p>
    <w:p w14:paraId="26E2ED4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Stassen, P. M., Derks, R. P., Kallenberg, C. G., &amp; Stegeman, C. A. (2008). Venous thromboembolism in ANCA-associated vasculitis--incidence and risk factors.</w:t>
      </w:r>
      <w:r w:rsidRPr="00CC7E17">
        <w:rPr>
          <w:rFonts w:ascii="Arial" w:eastAsiaTheme="minorEastAsia" w:hAnsi="Arial" w:cs="Arial"/>
          <w:i/>
          <w:iCs/>
          <w:bdr w:val="none" w:sz="0" w:space="0" w:color="auto"/>
        </w:rPr>
        <w:t xml:space="preserve"> Rheumatology (Oxford, England), 47</w:t>
      </w:r>
      <w:r w:rsidRPr="00CC7E17">
        <w:rPr>
          <w:rFonts w:ascii="Arial" w:eastAsiaTheme="minorEastAsia" w:hAnsi="Arial" w:cs="Arial"/>
          <w:bdr w:val="none" w:sz="0" w:space="0" w:color="auto"/>
        </w:rPr>
        <w:t>(4), 530-534. doi:10.1093/rheumatology/ken035; 10.1093/rheumatology/ken035</w:t>
      </w:r>
    </w:p>
    <w:p w14:paraId="6AB46DB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Steinmacher, J., Pohlandt, F., Bode, H., Sander, S., Kron, M., &amp; Franz, A. R. (2008). Neurodevelopmental follow-up of very preterm infants after proactive treatment at a gestational age of &gt; or = 23 weeks.</w:t>
      </w:r>
      <w:r w:rsidRPr="00CC7E17">
        <w:rPr>
          <w:rFonts w:ascii="Arial" w:eastAsiaTheme="minorEastAsia" w:hAnsi="Arial" w:cs="Arial"/>
          <w:i/>
          <w:iCs/>
          <w:bdr w:val="none" w:sz="0" w:space="0" w:color="auto"/>
        </w:rPr>
        <w:t xml:space="preserve"> The Journal of Pediatrics, 152</w:t>
      </w:r>
      <w:r w:rsidRPr="00CC7E17">
        <w:rPr>
          <w:rFonts w:ascii="Arial" w:eastAsiaTheme="minorEastAsia" w:hAnsi="Arial" w:cs="Arial"/>
          <w:bdr w:val="none" w:sz="0" w:space="0" w:color="auto"/>
        </w:rPr>
        <w:t>(6), 771-6, 776.e1-2. doi:10.1016/j.jpeds.2007.11.004; 10.1016/j.jpeds.2007.11.004</w:t>
      </w:r>
    </w:p>
    <w:p w14:paraId="26E0F70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Stevens, T. P., van Wijngaarden, E., Ackerman, K. G., Lally, P. A., Lally, K. P., &amp; Congenital Diaphragmatic Hernia Study Group. (2009). Timing of delivery and survival rates for infants with prenatal diagnoses of congenital diaphragmatic hernia.</w:t>
      </w:r>
      <w:r w:rsidRPr="00CC7E17">
        <w:rPr>
          <w:rFonts w:ascii="Arial" w:eastAsiaTheme="minorEastAsia" w:hAnsi="Arial" w:cs="Arial"/>
          <w:i/>
          <w:iCs/>
          <w:bdr w:val="none" w:sz="0" w:space="0" w:color="auto"/>
        </w:rPr>
        <w:t xml:space="preserve"> Pediatrics, 123</w:t>
      </w:r>
      <w:r w:rsidRPr="00CC7E17">
        <w:rPr>
          <w:rFonts w:ascii="Arial" w:eastAsiaTheme="minorEastAsia" w:hAnsi="Arial" w:cs="Arial"/>
          <w:bdr w:val="none" w:sz="0" w:space="0" w:color="auto"/>
        </w:rPr>
        <w:t>(2), 494-502. doi:10.1542/peds.2008-0528; 10.1542/peds.2008-0528</w:t>
      </w:r>
    </w:p>
    <w:p w14:paraId="1F722F60"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Stevinson, B. G., Hernandez-Nino, J., Rose, G., &amp; Kline, J. A. (2007). Echocardiographic and functional cardiopulmonary problems 6 months after first-time pulmonary embolism in previously healthy patients.</w:t>
      </w:r>
      <w:r w:rsidRPr="00CC7E17">
        <w:rPr>
          <w:rFonts w:ascii="Arial" w:eastAsiaTheme="minorEastAsia" w:hAnsi="Arial" w:cs="Arial"/>
          <w:i/>
          <w:iCs/>
          <w:bdr w:val="none" w:sz="0" w:space="0" w:color="auto"/>
        </w:rPr>
        <w:t xml:space="preserve"> European Heart Journal, 28</w:t>
      </w:r>
      <w:r w:rsidRPr="00CC7E17">
        <w:rPr>
          <w:rFonts w:ascii="Arial" w:eastAsiaTheme="minorEastAsia" w:hAnsi="Arial" w:cs="Arial"/>
          <w:bdr w:val="none" w:sz="0" w:space="0" w:color="auto"/>
        </w:rPr>
        <w:t>(20), 2517-2524. doi:10.1093/eurheartj/ehm295</w:t>
      </w:r>
    </w:p>
    <w:p w14:paraId="7A90293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Stoll, B. J., Hansen, N. I., Sanchez, P. J., Faix, R. G., Poindexter, B. B., Van Meurs, K. P., et al. (2011). Early onset neonatal sepsis: The burden of group B streptococcal and E. coli disease continues.</w:t>
      </w:r>
      <w:r w:rsidRPr="00CC7E17">
        <w:rPr>
          <w:rFonts w:ascii="Arial" w:eastAsiaTheme="minorEastAsia" w:hAnsi="Arial" w:cs="Arial"/>
          <w:i/>
          <w:iCs/>
          <w:bdr w:val="none" w:sz="0" w:space="0" w:color="auto"/>
        </w:rPr>
        <w:t xml:space="preserve"> Pediatrics, 127</w:t>
      </w:r>
      <w:r w:rsidRPr="00CC7E17">
        <w:rPr>
          <w:rFonts w:ascii="Arial" w:eastAsiaTheme="minorEastAsia" w:hAnsi="Arial" w:cs="Arial"/>
          <w:bdr w:val="none" w:sz="0" w:space="0" w:color="auto"/>
        </w:rPr>
        <w:t>(5), 817-826. doi:10.1542/peds.2010-2217; 10.1542/peds.2010-2217</w:t>
      </w:r>
    </w:p>
    <w:p w14:paraId="078973A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Su, V. Y., Liu, C. J., Wang, H. K., Wu, L. A., Chang, S. C., Perng, D. W., et al. (2014). Sleep apnea and risk of pneumonia: A nationwide population-based study.</w:t>
      </w:r>
      <w:r w:rsidRPr="00CC7E17">
        <w:rPr>
          <w:rFonts w:ascii="Arial" w:eastAsiaTheme="minorEastAsia" w:hAnsi="Arial" w:cs="Arial"/>
          <w:i/>
          <w:iCs/>
          <w:bdr w:val="none" w:sz="0" w:space="0" w:color="auto"/>
        </w:rPr>
        <w:t xml:space="preserve"> CMAJ : Canadian Medical Association Journal = Journal De l'Association Medicale Canadienne, 186</w:t>
      </w:r>
      <w:r w:rsidRPr="00CC7E17">
        <w:rPr>
          <w:rFonts w:ascii="Arial" w:eastAsiaTheme="minorEastAsia" w:hAnsi="Arial" w:cs="Arial"/>
          <w:bdr w:val="none" w:sz="0" w:space="0" w:color="auto"/>
        </w:rPr>
        <w:t>(6), 415-421. doi:10.1503/cmaj.131547; 10.1503/cmaj.131547</w:t>
      </w:r>
    </w:p>
    <w:p w14:paraId="3F25A2C2"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Suda, K., Iemura, M., Nishiono, H., Teramachi, Y., Koteda, Y., Kishimoto, S., et al. (2011). Long-term prognosis of patients with kawasaki disease complicated by giant coronary aneurysms: A single-institution experience.</w:t>
      </w:r>
      <w:r w:rsidRPr="00CC7E17">
        <w:rPr>
          <w:rFonts w:ascii="Arial" w:eastAsiaTheme="minorEastAsia" w:hAnsi="Arial" w:cs="Arial"/>
          <w:i/>
          <w:iCs/>
          <w:bdr w:val="none" w:sz="0" w:space="0" w:color="auto"/>
        </w:rPr>
        <w:t xml:space="preserve"> Circulation, 123</w:t>
      </w:r>
      <w:r w:rsidRPr="00CC7E17">
        <w:rPr>
          <w:rFonts w:ascii="Arial" w:eastAsiaTheme="minorEastAsia" w:hAnsi="Arial" w:cs="Arial"/>
          <w:bdr w:val="none" w:sz="0" w:space="0" w:color="auto"/>
        </w:rPr>
        <w:t>(17), 1836-1842. doi:10.1161/CIRCULATIONAHA.110.978213; 10.1161/CIRCULATIONAHA.110.978213</w:t>
      </w:r>
    </w:p>
    <w:p w14:paraId="21E1B9F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Synnes, A. R., Anson, S., Arkesteijn, A., Butt, A., Grunau, R. E., Rogers, M., et al. (2010). School entry age outcomes for infants with birth weight &lt;/= 800 grams.</w:t>
      </w:r>
      <w:r w:rsidRPr="00CC7E17">
        <w:rPr>
          <w:rFonts w:ascii="Arial" w:eastAsiaTheme="minorEastAsia" w:hAnsi="Arial" w:cs="Arial"/>
          <w:i/>
          <w:iCs/>
          <w:bdr w:val="none" w:sz="0" w:space="0" w:color="auto"/>
        </w:rPr>
        <w:t xml:space="preserve"> The Journal of Pediatrics, 157</w:t>
      </w:r>
      <w:r w:rsidRPr="00CC7E17">
        <w:rPr>
          <w:rFonts w:ascii="Arial" w:eastAsiaTheme="minorEastAsia" w:hAnsi="Arial" w:cs="Arial"/>
          <w:bdr w:val="none" w:sz="0" w:space="0" w:color="auto"/>
        </w:rPr>
        <w:t>(6), 989-994.e1. doi:10.1016/j.jpeds.2010.06.016; 10.1016/j.jpeds.2010.06.016</w:t>
      </w:r>
    </w:p>
    <w:p w14:paraId="6BA7986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Tantipalakorn, C., Robertson, G., Marsden, D. E., Gebski, V., &amp; Hacker, N. F. (2009). Outcome and patterns of recurrence for international federation of gynecology and obstetrics (FIGO) stages I and II squamous cell vulvar cancer.</w:t>
      </w:r>
      <w:r w:rsidRPr="00CC7E17">
        <w:rPr>
          <w:rFonts w:ascii="Arial" w:eastAsiaTheme="minorEastAsia" w:hAnsi="Arial" w:cs="Arial"/>
          <w:i/>
          <w:iCs/>
          <w:bdr w:val="none" w:sz="0" w:space="0" w:color="auto"/>
        </w:rPr>
        <w:t xml:space="preserve"> Obstetrics and Gynecology, 113</w:t>
      </w:r>
      <w:r w:rsidRPr="00CC7E17">
        <w:rPr>
          <w:rFonts w:ascii="Arial" w:eastAsiaTheme="minorEastAsia" w:hAnsi="Arial" w:cs="Arial"/>
          <w:bdr w:val="none" w:sz="0" w:space="0" w:color="auto"/>
        </w:rPr>
        <w:t>(4), 895-901. doi:10.1097/AOG.0b013e31819b413f; 10.1097/AOG.0b013e31819b413f</w:t>
      </w:r>
    </w:p>
    <w:p w14:paraId="178FCF8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Tewari, A. K., Gold, H. T., Demers, R. Y., Johnson, C. C., Yadav, R., Wagner, E. H., et al. (2009). Effect of socioeconomic factors on long-term mortality in men with clinically localized prostate cancer.</w:t>
      </w:r>
      <w:r w:rsidRPr="00CC7E17">
        <w:rPr>
          <w:rFonts w:ascii="Arial" w:eastAsiaTheme="minorEastAsia" w:hAnsi="Arial" w:cs="Arial"/>
          <w:i/>
          <w:iCs/>
          <w:bdr w:val="none" w:sz="0" w:space="0" w:color="auto"/>
        </w:rPr>
        <w:t xml:space="preserve"> Urology, 73</w:t>
      </w:r>
      <w:r w:rsidRPr="00CC7E17">
        <w:rPr>
          <w:rFonts w:ascii="Arial" w:eastAsiaTheme="minorEastAsia" w:hAnsi="Arial" w:cs="Arial"/>
          <w:bdr w:val="none" w:sz="0" w:space="0" w:color="auto"/>
        </w:rPr>
        <w:t>(3), 624-630. doi:10.1016/j.urology.2008.09.081; 10.1016/j.urology.2008.09.081</w:t>
      </w:r>
    </w:p>
    <w:p w14:paraId="0318B1BB"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Tham, E. B., Wald, R., McElhinney, D. B., Hirji, A., Goff, D., Del Nido, P. J., et al. (2008). Outcome of fetuses and infants with double inlet single left ventricle.</w:t>
      </w:r>
      <w:r w:rsidRPr="00CC7E17">
        <w:rPr>
          <w:rFonts w:ascii="Arial" w:eastAsiaTheme="minorEastAsia" w:hAnsi="Arial" w:cs="Arial"/>
          <w:i/>
          <w:iCs/>
          <w:bdr w:val="none" w:sz="0" w:space="0" w:color="auto"/>
        </w:rPr>
        <w:t xml:space="preserve"> The American Journal of Cardiology, 101</w:t>
      </w:r>
      <w:r w:rsidRPr="00CC7E17">
        <w:rPr>
          <w:rFonts w:ascii="Arial" w:eastAsiaTheme="minorEastAsia" w:hAnsi="Arial" w:cs="Arial"/>
          <w:bdr w:val="none" w:sz="0" w:space="0" w:color="auto"/>
        </w:rPr>
        <w:t>(11), 1652-1656. doi:10.1016/j.amjcard.2008.01.048; 10.1016/j.amjcard.2008.01.048</w:t>
      </w:r>
    </w:p>
    <w:p w14:paraId="6566FDF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Tischendorf, J. J., Hecker, H., Kruger, M., Manns, M. P., &amp; Meier, P. N. (2007). Characterization, outcome, and prognosis in 273 patients with primary sclerosing cholangitis: A single center study.</w:t>
      </w:r>
      <w:r w:rsidRPr="00CC7E17">
        <w:rPr>
          <w:rFonts w:ascii="Arial" w:eastAsiaTheme="minorEastAsia" w:hAnsi="Arial" w:cs="Arial"/>
          <w:i/>
          <w:iCs/>
          <w:bdr w:val="none" w:sz="0" w:space="0" w:color="auto"/>
        </w:rPr>
        <w:t xml:space="preserve"> The American Journal of Gastroenterology, 102</w:t>
      </w:r>
      <w:r w:rsidRPr="00CC7E17">
        <w:rPr>
          <w:rFonts w:ascii="Arial" w:eastAsiaTheme="minorEastAsia" w:hAnsi="Arial" w:cs="Arial"/>
          <w:bdr w:val="none" w:sz="0" w:space="0" w:color="auto"/>
        </w:rPr>
        <w:t>(1), 107-114. doi:10.1111/j.1572-0241.2006.00872.x</w:t>
      </w:r>
    </w:p>
    <w:p w14:paraId="3B28EA6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Tobias, D. K., Pan, A., Jackson, C. L., O'Reilly, E. J., Ding, E. L., Willett, W. C., et al. (2014). Body-mass index and mortality among adults with incident type 2 diabetes.</w:t>
      </w:r>
      <w:r w:rsidRPr="00CC7E17">
        <w:rPr>
          <w:rFonts w:ascii="Arial" w:eastAsiaTheme="minorEastAsia" w:hAnsi="Arial" w:cs="Arial"/>
          <w:i/>
          <w:iCs/>
          <w:bdr w:val="none" w:sz="0" w:space="0" w:color="auto"/>
        </w:rPr>
        <w:t xml:space="preserve"> The New England Journal of Medicine, 370</w:t>
      </w:r>
      <w:r w:rsidRPr="00CC7E17">
        <w:rPr>
          <w:rFonts w:ascii="Arial" w:eastAsiaTheme="minorEastAsia" w:hAnsi="Arial" w:cs="Arial"/>
          <w:bdr w:val="none" w:sz="0" w:space="0" w:color="auto"/>
        </w:rPr>
        <w:t>(3), 233-244. doi:10.1056/NEJMoa1304501; 10.1056/NEJMoa1304501</w:t>
      </w:r>
    </w:p>
    <w:p w14:paraId="2BB673A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Tong, S., Kaur, A., Walker, S. P., Bryant, V., Onwude, J. L., &amp; Permezel, M. (2008). Miscarriage risk for asymptomatic women after a normal first-trimester prenatal visit.</w:t>
      </w:r>
      <w:r w:rsidRPr="00CC7E17">
        <w:rPr>
          <w:rFonts w:ascii="Arial" w:eastAsiaTheme="minorEastAsia" w:hAnsi="Arial" w:cs="Arial"/>
          <w:i/>
          <w:iCs/>
          <w:bdr w:val="none" w:sz="0" w:space="0" w:color="auto"/>
        </w:rPr>
        <w:t xml:space="preserve"> Obstetrics and Gynecology, 111</w:t>
      </w:r>
      <w:r w:rsidRPr="00CC7E17">
        <w:rPr>
          <w:rFonts w:ascii="Arial" w:eastAsiaTheme="minorEastAsia" w:hAnsi="Arial" w:cs="Arial"/>
          <w:bdr w:val="none" w:sz="0" w:space="0" w:color="auto"/>
        </w:rPr>
        <w:t>(3), 710-714. doi:10.1097/AOG.0b013e318163747c; 10.1097/AOG.0b013e318163747c</w:t>
      </w:r>
    </w:p>
    <w:p w14:paraId="1180750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Trad, S., Amoura, Z., Beigelman, C., Haroche, J., Costedoat, N., Boutin le, T. H., et al. (2006). Pulmonary arterial hypertension is a major mortality factor in diffuse systemic sclerosis, independent of interstitial lung disease.</w:t>
      </w:r>
      <w:r w:rsidRPr="00CC7E17">
        <w:rPr>
          <w:rFonts w:ascii="Arial" w:eastAsiaTheme="minorEastAsia" w:hAnsi="Arial" w:cs="Arial"/>
          <w:i/>
          <w:iCs/>
          <w:bdr w:val="none" w:sz="0" w:space="0" w:color="auto"/>
        </w:rPr>
        <w:t xml:space="preserve"> Arthritis and Rheumatism, 54</w:t>
      </w:r>
      <w:r w:rsidRPr="00CC7E17">
        <w:rPr>
          <w:rFonts w:ascii="Arial" w:eastAsiaTheme="minorEastAsia" w:hAnsi="Arial" w:cs="Arial"/>
          <w:bdr w:val="none" w:sz="0" w:space="0" w:color="auto"/>
        </w:rPr>
        <w:t>(1), 184-191. doi:10.1002/art.21538</w:t>
      </w:r>
    </w:p>
    <w:p w14:paraId="0816B52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Tribouilloy, C., Rusinaru, D., Mahjoub, H., Souliere, V., Levy, F., Peltier, M., et al. (2008). Prognosis of heart failure with preserved ejection fraction: A 5 year prospective population-based study.</w:t>
      </w:r>
      <w:r w:rsidRPr="00CC7E17">
        <w:rPr>
          <w:rFonts w:ascii="Arial" w:eastAsiaTheme="minorEastAsia" w:hAnsi="Arial" w:cs="Arial"/>
          <w:i/>
          <w:iCs/>
          <w:bdr w:val="none" w:sz="0" w:space="0" w:color="auto"/>
        </w:rPr>
        <w:t xml:space="preserve"> European Heart Journal, 29</w:t>
      </w:r>
      <w:r w:rsidRPr="00CC7E17">
        <w:rPr>
          <w:rFonts w:ascii="Arial" w:eastAsiaTheme="minorEastAsia" w:hAnsi="Arial" w:cs="Arial"/>
          <w:bdr w:val="none" w:sz="0" w:space="0" w:color="auto"/>
        </w:rPr>
        <w:t>(3), 339-347. doi:10.1093/eurheartj/ehm554</w:t>
      </w:r>
    </w:p>
    <w:p w14:paraId="6A30A60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Troyanov, S., Roasio, L., Pandes, M., Herzenberg, A. M., &amp; Cattran, D. C. (2006). Renal pathology in idiopathic membranous nephropathy: A new perspective.</w:t>
      </w:r>
      <w:r w:rsidRPr="00CC7E17">
        <w:rPr>
          <w:rFonts w:ascii="Arial" w:eastAsiaTheme="minorEastAsia" w:hAnsi="Arial" w:cs="Arial"/>
          <w:i/>
          <w:iCs/>
          <w:bdr w:val="none" w:sz="0" w:space="0" w:color="auto"/>
        </w:rPr>
        <w:t xml:space="preserve"> Kidney International, 69</w:t>
      </w:r>
      <w:r w:rsidRPr="00CC7E17">
        <w:rPr>
          <w:rFonts w:ascii="Arial" w:eastAsiaTheme="minorEastAsia" w:hAnsi="Arial" w:cs="Arial"/>
          <w:bdr w:val="none" w:sz="0" w:space="0" w:color="auto"/>
        </w:rPr>
        <w:t>(9), 1641-1648. doi:10.1038/sj.ki.5000289</w:t>
      </w:r>
    </w:p>
    <w:p w14:paraId="675E6D5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Baal, J., Hubbard, R., Game, F., &amp; Jeffcoate, W. (2010). Mortality associated with acute charcot foot and neuropathic foot ulceration.</w:t>
      </w:r>
      <w:r w:rsidRPr="00CC7E17">
        <w:rPr>
          <w:rFonts w:ascii="Arial" w:eastAsiaTheme="minorEastAsia" w:hAnsi="Arial" w:cs="Arial"/>
          <w:i/>
          <w:iCs/>
          <w:bdr w:val="none" w:sz="0" w:space="0" w:color="auto"/>
        </w:rPr>
        <w:t xml:space="preserve"> Diabetes Care, 33</w:t>
      </w:r>
      <w:r w:rsidRPr="00CC7E17">
        <w:rPr>
          <w:rFonts w:ascii="Arial" w:eastAsiaTheme="minorEastAsia" w:hAnsi="Arial" w:cs="Arial"/>
          <w:bdr w:val="none" w:sz="0" w:space="0" w:color="auto"/>
        </w:rPr>
        <w:t>(5), 1086-1089. doi:10.2337/dc09-1428; 10.2337/dc09-1428</w:t>
      </w:r>
    </w:p>
    <w:p w14:paraId="2C9502F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Werkum, J. W., Heestermans, A. A., de Korte, F. I., Kelder, J. C., Suttorp, M. J., Rensing, B. J., et al. (2009). Long-term clinical outcome after a first angiographically confirmed coronary stent thrombosis: An analysis of 431 cases.</w:t>
      </w:r>
      <w:r w:rsidRPr="00CC7E17">
        <w:rPr>
          <w:rFonts w:ascii="Arial" w:eastAsiaTheme="minorEastAsia" w:hAnsi="Arial" w:cs="Arial"/>
          <w:i/>
          <w:iCs/>
          <w:bdr w:val="none" w:sz="0" w:space="0" w:color="auto"/>
        </w:rPr>
        <w:t xml:space="preserve"> Circulation, 119</w:t>
      </w:r>
      <w:r w:rsidRPr="00CC7E17">
        <w:rPr>
          <w:rFonts w:ascii="Arial" w:eastAsiaTheme="minorEastAsia" w:hAnsi="Arial" w:cs="Arial"/>
          <w:bdr w:val="none" w:sz="0" w:space="0" w:color="auto"/>
        </w:rPr>
        <w:t>(6), 828-834. doi:10.1161/CIRCULATIONAHA.108.799403; 10.1161/CIRCULATIONAHA.108.799403</w:t>
      </w:r>
    </w:p>
    <w:p w14:paraId="6BA064B9"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Veetil, B. M., Myasoedova, E., Matteson, E. L., Gabriel, S. E., Green, A. B., &amp; Crowson, C. S. (2013). Incidence and time trends of herpes zoster in rheumatoid arthritis: A population-based cohort study.</w:t>
      </w:r>
      <w:r w:rsidRPr="00CC7E17">
        <w:rPr>
          <w:rFonts w:ascii="Arial" w:eastAsiaTheme="minorEastAsia" w:hAnsi="Arial" w:cs="Arial"/>
          <w:i/>
          <w:iCs/>
          <w:bdr w:val="none" w:sz="0" w:space="0" w:color="auto"/>
        </w:rPr>
        <w:t xml:space="preserve"> Arthritis Care &amp; Research, 65</w:t>
      </w:r>
      <w:r w:rsidRPr="00CC7E17">
        <w:rPr>
          <w:rFonts w:ascii="Arial" w:eastAsiaTheme="minorEastAsia" w:hAnsi="Arial" w:cs="Arial"/>
          <w:bdr w:val="none" w:sz="0" w:space="0" w:color="auto"/>
        </w:rPr>
        <w:t>(6), 854-861. doi:10.1002/acr.21928; 10.1002/acr.21928</w:t>
      </w:r>
    </w:p>
    <w:p w14:paraId="0344EB9F"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Vemmos, K., Ntaios, G., Spengos, K., Savvari, P., Vemmou, A., Pappa, T., et al. (2011). Association between obesity and mortality after acute first-ever stroke: The obesity-stroke paradox.</w:t>
      </w:r>
      <w:r w:rsidRPr="00CC7E17">
        <w:rPr>
          <w:rFonts w:ascii="Arial" w:eastAsiaTheme="minorEastAsia" w:hAnsi="Arial" w:cs="Arial"/>
          <w:i/>
          <w:iCs/>
          <w:bdr w:val="none" w:sz="0" w:space="0" w:color="auto"/>
        </w:rPr>
        <w:t xml:space="preserve"> Stroke; a Journal of Cerebral Circulation, 42</w:t>
      </w:r>
      <w:r w:rsidRPr="00CC7E17">
        <w:rPr>
          <w:rFonts w:ascii="Arial" w:eastAsiaTheme="minorEastAsia" w:hAnsi="Arial" w:cs="Arial"/>
          <w:bdr w:val="none" w:sz="0" w:space="0" w:color="auto"/>
        </w:rPr>
        <w:t>(1), 30-36. doi:10.1161/STROKEAHA.110.593434; 10.1161/STROKEAHA.110.593434</w:t>
      </w:r>
    </w:p>
    <w:p w14:paraId="060FE125"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Vermersch, P., Kappos, L., Gold, R., Foley, J. F., Olsson, T., Cadavid, D., et al. (2011). Clinical outcomes of natalizumab-associated progressive multifocal leukoencephalopathy.</w:t>
      </w:r>
      <w:r w:rsidRPr="00CC7E17">
        <w:rPr>
          <w:rFonts w:ascii="Arial" w:eastAsiaTheme="minorEastAsia" w:hAnsi="Arial" w:cs="Arial"/>
          <w:i/>
          <w:iCs/>
          <w:bdr w:val="none" w:sz="0" w:space="0" w:color="auto"/>
        </w:rPr>
        <w:t xml:space="preserve"> Neurology, 76</w:t>
      </w:r>
      <w:r w:rsidRPr="00CC7E17">
        <w:rPr>
          <w:rFonts w:ascii="Arial" w:eastAsiaTheme="minorEastAsia" w:hAnsi="Arial" w:cs="Arial"/>
          <w:bdr w:val="none" w:sz="0" w:space="0" w:color="auto"/>
        </w:rPr>
        <w:t>(20), 1697-1704. doi:10.1212/WNL.0b013e31821a446b; 10.1212/WNL.0b013e31821a446b</w:t>
      </w:r>
    </w:p>
    <w:p w14:paraId="2A3D0CA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Vieux, R., Hascoet, J. M., Merdariu, D., Fresson, J., &amp; Guillemin, F. (2010). Glomerular filtration rate reference values in very preterm infants.</w:t>
      </w:r>
      <w:r w:rsidRPr="00CC7E17">
        <w:rPr>
          <w:rFonts w:ascii="Arial" w:eastAsiaTheme="minorEastAsia" w:hAnsi="Arial" w:cs="Arial"/>
          <w:i/>
          <w:iCs/>
          <w:bdr w:val="none" w:sz="0" w:space="0" w:color="auto"/>
        </w:rPr>
        <w:t xml:space="preserve"> Pediatrics, 125</w:t>
      </w:r>
      <w:r w:rsidRPr="00CC7E17">
        <w:rPr>
          <w:rFonts w:ascii="Arial" w:eastAsiaTheme="minorEastAsia" w:hAnsi="Arial" w:cs="Arial"/>
          <w:bdr w:val="none" w:sz="0" w:space="0" w:color="auto"/>
        </w:rPr>
        <w:t>(5), e1186-92. doi:10.1542/peds.2009-1426; 10.1542/peds.2009-1426</w:t>
      </w:r>
    </w:p>
    <w:p w14:paraId="031A523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Vivante, A., Afek, A., Frenkel-Nir, Y., Tzur, D., Farfel, A., Golan, E., et al. (2011). Persistent asymptomatic isolated microscopic hematuria in israeli adolescents and young adults and risk for end-stage renal disease.</w:t>
      </w:r>
      <w:r w:rsidRPr="00CC7E17">
        <w:rPr>
          <w:rFonts w:ascii="Arial" w:eastAsiaTheme="minorEastAsia" w:hAnsi="Arial" w:cs="Arial"/>
          <w:i/>
          <w:iCs/>
          <w:bdr w:val="none" w:sz="0" w:space="0" w:color="auto"/>
        </w:rPr>
        <w:t xml:space="preserve"> JAMA : The Journal of the American Medical Association, 306</w:t>
      </w:r>
      <w:r w:rsidRPr="00CC7E17">
        <w:rPr>
          <w:rFonts w:ascii="Arial" w:eastAsiaTheme="minorEastAsia" w:hAnsi="Arial" w:cs="Arial"/>
          <w:bdr w:val="none" w:sz="0" w:space="0" w:color="auto"/>
        </w:rPr>
        <w:t>(7), 729-736. doi:10.1001/jama.2011.1141; 10.1001/jama.2011.1141</w:t>
      </w:r>
    </w:p>
    <w:p w14:paraId="23D0315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von Dadelszen, P., Magee, L. A., Taylor, E. L., Muir, J. C., Stewart, S. D., Sherman, P., et al. (2005). Maternal hypertension and neonatal outcome among small for gestational age infants.</w:t>
      </w:r>
      <w:r w:rsidRPr="00CC7E17">
        <w:rPr>
          <w:rFonts w:ascii="Arial" w:eastAsiaTheme="minorEastAsia" w:hAnsi="Arial" w:cs="Arial"/>
          <w:i/>
          <w:iCs/>
          <w:bdr w:val="none" w:sz="0" w:space="0" w:color="auto"/>
        </w:rPr>
        <w:t xml:space="preserve"> Obstetrics and Gynecology, 106</w:t>
      </w:r>
      <w:r w:rsidRPr="00CC7E17">
        <w:rPr>
          <w:rFonts w:ascii="Arial" w:eastAsiaTheme="minorEastAsia" w:hAnsi="Arial" w:cs="Arial"/>
          <w:bdr w:val="none" w:sz="0" w:space="0" w:color="auto"/>
        </w:rPr>
        <w:t>(2), 335-339. doi:10.1097/01.AOG.0000171121.31564.14</w:t>
      </w:r>
    </w:p>
    <w:p w14:paraId="05012798"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von Eynatten, M., Hamann, A., Twardella, D., Nawroth, P. P., Brenner, H., &amp; Rothenbacher, D. (2008). Atherogenic dyslipidaemia but not total- and high-molecular weight adiponectin are associated with the prognostic outcome in patients with coronary heart disease.</w:t>
      </w:r>
      <w:r w:rsidRPr="00CC7E17">
        <w:rPr>
          <w:rFonts w:ascii="Arial" w:eastAsiaTheme="minorEastAsia" w:hAnsi="Arial" w:cs="Arial"/>
          <w:i/>
          <w:iCs/>
          <w:bdr w:val="none" w:sz="0" w:space="0" w:color="auto"/>
        </w:rPr>
        <w:t xml:space="preserve"> European Heart Journal, 29</w:t>
      </w:r>
      <w:r w:rsidRPr="00CC7E17">
        <w:rPr>
          <w:rFonts w:ascii="Arial" w:eastAsiaTheme="minorEastAsia" w:hAnsi="Arial" w:cs="Arial"/>
          <w:bdr w:val="none" w:sz="0" w:space="0" w:color="auto"/>
        </w:rPr>
        <w:t>(10), 1307-1315. doi:10.1093/eurheartj/ehn135; 10.1093/eurheartj/ehn135</w:t>
      </w:r>
    </w:p>
    <w:p w14:paraId="1858AA4E"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Wald, R., Quinn, R. R., Luo, J., Li, P., Scales, D. C., Mamdani, M. M., et al. (2009). Chronic dialysis and death among survivors of acute kidney injury requiring dialysis.</w:t>
      </w:r>
      <w:r w:rsidRPr="00CC7E17">
        <w:rPr>
          <w:rFonts w:ascii="Arial" w:eastAsiaTheme="minorEastAsia" w:hAnsi="Arial" w:cs="Arial"/>
          <w:i/>
          <w:iCs/>
          <w:bdr w:val="none" w:sz="0" w:space="0" w:color="auto"/>
        </w:rPr>
        <w:t xml:space="preserve"> JAMA : The Journal of the American Medical Association, 302</w:t>
      </w:r>
      <w:r w:rsidRPr="00CC7E17">
        <w:rPr>
          <w:rFonts w:ascii="Arial" w:eastAsiaTheme="minorEastAsia" w:hAnsi="Arial" w:cs="Arial"/>
          <w:bdr w:val="none" w:sz="0" w:space="0" w:color="auto"/>
        </w:rPr>
        <w:t>(11), 1179-1185. doi:10.1001/jama.2009.1322; 10.1001/jama.2009.1322</w:t>
      </w:r>
    </w:p>
    <w:p w14:paraId="1C8A376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Waldman, S. A., Hyslop, T., Schulz, S., Barkun, A., Nielsen, K., Haaf, J., et al. (2009). Association of GUCY2C expression in lymph nodes with time to recurrence and disease-free survival in pN0 colorectal cancer.</w:t>
      </w:r>
      <w:r w:rsidRPr="00CC7E17">
        <w:rPr>
          <w:rFonts w:ascii="Arial" w:eastAsiaTheme="minorEastAsia" w:hAnsi="Arial" w:cs="Arial"/>
          <w:i/>
          <w:iCs/>
          <w:bdr w:val="none" w:sz="0" w:space="0" w:color="auto"/>
        </w:rPr>
        <w:t xml:space="preserve"> JAMA : The Journal of the American Medical Association, 301</w:t>
      </w:r>
      <w:r w:rsidRPr="00CC7E17">
        <w:rPr>
          <w:rFonts w:ascii="Arial" w:eastAsiaTheme="minorEastAsia" w:hAnsi="Arial" w:cs="Arial"/>
          <w:bdr w:val="none" w:sz="0" w:space="0" w:color="auto"/>
        </w:rPr>
        <w:t>(7), 745-752. doi:10.1001/jama.2009.141; 10.1001/jama.2009.141</w:t>
      </w:r>
    </w:p>
    <w:p w14:paraId="7D7B7FE7"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Wallon, M., Garweg, J. G., Abrahamowicz, M., Cornu, C., Vinault, S., Quantin, C., et al. (2014). Ophthalmic outcomes of congenital toxoplasmosis followed until adolescence.</w:t>
      </w:r>
      <w:r w:rsidRPr="00CC7E17">
        <w:rPr>
          <w:rFonts w:ascii="Arial" w:eastAsiaTheme="minorEastAsia" w:hAnsi="Arial" w:cs="Arial"/>
          <w:i/>
          <w:iCs/>
          <w:bdr w:val="none" w:sz="0" w:space="0" w:color="auto"/>
        </w:rPr>
        <w:t xml:space="preserve"> Pediatrics, 133</w:t>
      </w:r>
      <w:r w:rsidRPr="00CC7E17">
        <w:rPr>
          <w:rFonts w:ascii="Arial" w:eastAsiaTheme="minorEastAsia" w:hAnsi="Arial" w:cs="Arial"/>
          <w:bdr w:val="none" w:sz="0" w:space="0" w:color="auto"/>
        </w:rPr>
        <w:t>(3), e601-8. doi:10.1542/peds.2013-2153; 10.1542/peds.2013-2153</w:t>
      </w:r>
    </w:p>
    <w:p w14:paraId="05E6CC8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Wang, Y. P., Liu, C. J., Hu, Y. W., Chen, T. J., Lin, Y. T., &amp; Fung, C. P. (2012). Risk of cancer among patients with herpes zoster infection: A population-based study.</w:t>
      </w:r>
      <w:r w:rsidRPr="00CC7E17">
        <w:rPr>
          <w:rFonts w:ascii="Arial" w:eastAsiaTheme="minorEastAsia" w:hAnsi="Arial" w:cs="Arial"/>
          <w:i/>
          <w:iCs/>
          <w:bdr w:val="none" w:sz="0" w:space="0" w:color="auto"/>
        </w:rPr>
        <w:t xml:space="preserve"> CMAJ : Canadian Medical Association Journal = Journal De l'Association Medicale Canadienne, 184</w:t>
      </w:r>
      <w:r w:rsidRPr="00CC7E17">
        <w:rPr>
          <w:rFonts w:ascii="Arial" w:eastAsiaTheme="minorEastAsia" w:hAnsi="Arial" w:cs="Arial"/>
          <w:bdr w:val="none" w:sz="0" w:space="0" w:color="auto"/>
        </w:rPr>
        <w:t>(15), E804-9. doi:10.1503/cmaj.120518; 10.1503/cmaj.120518</w:t>
      </w:r>
    </w:p>
    <w:p w14:paraId="0241F041"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Webber, S. A., Lipshultz, S. E., Sleeper, L. A., Lu, M., Wilkinson, J. D., Addonizio, L. J., et al. (2012). Outcomes of restrictive cardiomyopathy in childhood and the influence of phenotype: A report from the pediatric cardiomyopathy registry.</w:t>
      </w:r>
      <w:r w:rsidRPr="00CC7E17">
        <w:rPr>
          <w:rFonts w:ascii="Arial" w:eastAsiaTheme="minorEastAsia" w:hAnsi="Arial" w:cs="Arial"/>
          <w:i/>
          <w:iCs/>
          <w:bdr w:val="none" w:sz="0" w:space="0" w:color="auto"/>
        </w:rPr>
        <w:t xml:space="preserve"> Circulation, 126</w:t>
      </w:r>
      <w:r w:rsidRPr="00CC7E17">
        <w:rPr>
          <w:rFonts w:ascii="Arial" w:eastAsiaTheme="minorEastAsia" w:hAnsi="Arial" w:cs="Arial"/>
          <w:bdr w:val="none" w:sz="0" w:space="0" w:color="auto"/>
        </w:rPr>
        <w:t>(10), 1237-1244. doi:10.1161/CIRCULATIONAHA.112.104638</w:t>
      </w:r>
    </w:p>
    <w:p w14:paraId="36AA957A"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Weiss, J. E., Sison, C. P., Ilowite, N. T., Gottlieb, B. S., &amp; Eberhard, B. A. (2007). Flares in pediatric systemic lupus erythematosus.</w:t>
      </w:r>
      <w:r w:rsidRPr="00CC7E17">
        <w:rPr>
          <w:rFonts w:ascii="Arial" w:eastAsiaTheme="minorEastAsia" w:hAnsi="Arial" w:cs="Arial"/>
          <w:i/>
          <w:iCs/>
          <w:bdr w:val="none" w:sz="0" w:space="0" w:color="auto"/>
        </w:rPr>
        <w:t xml:space="preserve"> The Journal of Rheumatology, 34</w:t>
      </w:r>
      <w:r w:rsidRPr="00CC7E17">
        <w:rPr>
          <w:rFonts w:ascii="Arial" w:eastAsiaTheme="minorEastAsia" w:hAnsi="Arial" w:cs="Arial"/>
          <w:bdr w:val="none" w:sz="0" w:space="0" w:color="auto"/>
        </w:rPr>
        <w:t>(6), 1341-1344.</w:t>
      </w:r>
    </w:p>
    <w:p w14:paraId="4935351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Welander, A., Prutz, K. G., Fored, M., &amp; Ludvigsson, J. F. (2012). Increased risk of end-stage renal disease in individuals with coeliac disease.</w:t>
      </w:r>
      <w:r w:rsidRPr="00CC7E17">
        <w:rPr>
          <w:rFonts w:ascii="Arial" w:eastAsiaTheme="minorEastAsia" w:hAnsi="Arial" w:cs="Arial"/>
          <w:i/>
          <w:iCs/>
          <w:bdr w:val="none" w:sz="0" w:space="0" w:color="auto"/>
        </w:rPr>
        <w:t xml:space="preserve"> Gut, 61</w:t>
      </w:r>
      <w:r w:rsidRPr="00CC7E17">
        <w:rPr>
          <w:rFonts w:ascii="Arial" w:eastAsiaTheme="minorEastAsia" w:hAnsi="Arial" w:cs="Arial"/>
          <w:bdr w:val="none" w:sz="0" w:space="0" w:color="auto"/>
        </w:rPr>
        <w:t>(1), 64-68. doi:10.1136/gutjnl-2011-300134; 10.1136/gutjnl-2011-300134</w:t>
      </w:r>
    </w:p>
    <w:p w14:paraId="1941FCE3"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Williams-Gray, C. H., Mason, S. L., Evans, J. R., Foltynie, T., Brayne, C., Robbins, T. W., et al. (2013). The CamPaIGN study of parkinson's disease: 10-year outlook in an incident population-based cohort.</w:t>
      </w:r>
      <w:r w:rsidRPr="00CC7E17">
        <w:rPr>
          <w:rFonts w:ascii="Arial" w:eastAsiaTheme="minorEastAsia" w:hAnsi="Arial" w:cs="Arial"/>
          <w:i/>
          <w:iCs/>
          <w:bdr w:val="none" w:sz="0" w:space="0" w:color="auto"/>
        </w:rPr>
        <w:t xml:space="preserve"> Journal of Neurology, Neurosurgery, and Psychiatry, 84</w:t>
      </w:r>
      <w:r w:rsidRPr="00CC7E17">
        <w:rPr>
          <w:rFonts w:ascii="Arial" w:eastAsiaTheme="minorEastAsia" w:hAnsi="Arial" w:cs="Arial"/>
          <w:bdr w:val="none" w:sz="0" w:space="0" w:color="auto"/>
        </w:rPr>
        <w:t>(11), 1258-1264. doi:10.1136/jnnp-2013-305277; 10.1136/jnnp-2013-305277</w:t>
      </w:r>
    </w:p>
    <w:p w14:paraId="138F41E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Wilson, F. C., Icen, M., Crowson, C. S., McEvoy, M. T., Gabriel, S. E., &amp; Kremers, H. M. (2009). Incidence and clinical predictors of psoriatic arthritis in patients with psoriasis: A population-based study.</w:t>
      </w:r>
      <w:r w:rsidRPr="00CC7E17">
        <w:rPr>
          <w:rFonts w:ascii="Arial" w:eastAsiaTheme="minorEastAsia" w:hAnsi="Arial" w:cs="Arial"/>
          <w:i/>
          <w:iCs/>
          <w:bdr w:val="none" w:sz="0" w:space="0" w:color="auto"/>
        </w:rPr>
        <w:t xml:space="preserve"> Arthritis and Rheumatism, 61</w:t>
      </w:r>
      <w:r w:rsidRPr="00CC7E17">
        <w:rPr>
          <w:rFonts w:ascii="Arial" w:eastAsiaTheme="minorEastAsia" w:hAnsi="Arial" w:cs="Arial"/>
          <w:bdr w:val="none" w:sz="0" w:space="0" w:color="auto"/>
        </w:rPr>
        <w:t>(2), 233-239. doi:10.1002/art.24172; 10.1002/art.24172</w:t>
      </w:r>
    </w:p>
    <w:p w14:paraId="79E0A9B6"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Wu, J. C., Chen, Y. C., Liu, L., Chen, T. J., Huang, W. C., Cheng, H., et al. (2012). Increased risk of stroke after spinal cord injury: A nationwide 4-year follow-up cohort study.</w:t>
      </w:r>
      <w:r w:rsidRPr="00CC7E17">
        <w:rPr>
          <w:rFonts w:ascii="Arial" w:eastAsiaTheme="minorEastAsia" w:hAnsi="Arial" w:cs="Arial"/>
          <w:i/>
          <w:iCs/>
          <w:bdr w:val="none" w:sz="0" w:space="0" w:color="auto"/>
        </w:rPr>
        <w:t xml:space="preserve"> Neurology, 78</w:t>
      </w:r>
      <w:r w:rsidRPr="00CC7E17">
        <w:rPr>
          <w:rFonts w:ascii="Arial" w:eastAsiaTheme="minorEastAsia" w:hAnsi="Arial" w:cs="Arial"/>
          <w:bdr w:val="none" w:sz="0" w:space="0" w:color="auto"/>
        </w:rPr>
        <w:t>(14), 1051-1057. doi:10.1212/WNL.0b013e31824e8eaa; 10.1212/WNL.0b013e31824e8eaa</w:t>
      </w:r>
    </w:p>
    <w:p w14:paraId="3ADBA70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Xie, J., Brayne, C., Matthews, F. E., &amp; Medical Research Council Cognitive Function and Ageing Study collaborators. (2008). Survival times in people with dementia: Analysis from population based cohort study with 14 year follow-up.</w:t>
      </w:r>
      <w:r w:rsidRPr="00CC7E17">
        <w:rPr>
          <w:rFonts w:ascii="Arial" w:eastAsiaTheme="minorEastAsia" w:hAnsi="Arial" w:cs="Arial"/>
          <w:i/>
          <w:iCs/>
          <w:bdr w:val="none" w:sz="0" w:space="0" w:color="auto"/>
        </w:rPr>
        <w:t xml:space="preserve"> BMJ (Clinical Research Ed.), 336</w:t>
      </w:r>
      <w:r w:rsidRPr="00CC7E17">
        <w:rPr>
          <w:rFonts w:ascii="Arial" w:eastAsiaTheme="minorEastAsia" w:hAnsi="Arial" w:cs="Arial"/>
          <w:bdr w:val="none" w:sz="0" w:space="0" w:color="auto"/>
        </w:rPr>
        <w:t>(7638), 258-262. doi:10.1136/bmj.39433.616678.25; 10.1136/bmj.39433.616678.25</w:t>
      </w:r>
    </w:p>
    <w:p w14:paraId="17A461F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Yawn, B. P., Wollan, P. C., Kurland, M. J., St Sauver, J. L., &amp; Saddier, P. (2011). Herpes zoster recurrences more frequent than previously reported.</w:t>
      </w:r>
      <w:r w:rsidRPr="00CC7E17">
        <w:rPr>
          <w:rFonts w:ascii="Arial" w:eastAsiaTheme="minorEastAsia" w:hAnsi="Arial" w:cs="Arial"/>
          <w:i/>
          <w:iCs/>
          <w:bdr w:val="none" w:sz="0" w:space="0" w:color="auto"/>
        </w:rPr>
        <w:t xml:space="preserve"> Mayo Clinic Proceedings.Mayo Clinic, 86</w:t>
      </w:r>
      <w:r w:rsidRPr="00CC7E17">
        <w:rPr>
          <w:rFonts w:ascii="Arial" w:eastAsiaTheme="minorEastAsia" w:hAnsi="Arial" w:cs="Arial"/>
          <w:bdr w:val="none" w:sz="0" w:space="0" w:color="auto"/>
        </w:rPr>
        <w:t>(2), 88-93. doi:10.4065/mcp.2010.0618; 10.4065/mcp.2010.0618</w:t>
      </w:r>
    </w:p>
    <w:p w14:paraId="184FC63C"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Yu, X. M., Wan, Y., Sippel, R. S., &amp; Chen, H. (2011). Should all papillary thyroid microcarcinomas be aggressively treated? an analysis of 18,445 cases.</w:t>
      </w:r>
      <w:r w:rsidRPr="00CC7E17">
        <w:rPr>
          <w:rFonts w:ascii="Arial" w:eastAsiaTheme="minorEastAsia" w:hAnsi="Arial" w:cs="Arial"/>
          <w:i/>
          <w:iCs/>
          <w:bdr w:val="none" w:sz="0" w:space="0" w:color="auto"/>
        </w:rPr>
        <w:t xml:space="preserve"> Annals of Surgery, 254</w:t>
      </w:r>
      <w:r w:rsidRPr="00CC7E17">
        <w:rPr>
          <w:rFonts w:ascii="Arial" w:eastAsiaTheme="minorEastAsia" w:hAnsi="Arial" w:cs="Arial"/>
          <w:bdr w:val="none" w:sz="0" w:space="0" w:color="auto"/>
        </w:rPr>
        <w:t>(4), 653-660. doi:10.1097/SLA.0b013e318230036d; 10.1097/SLA.0b013e318230036d</w:t>
      </w:r>
    </w:p>
    <w:p w14:paraId="47749C6D"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Zalunardo, N. Y., Rose, C. L., Ma, I. W., &amp; Altmann, P. (2007). Higher serum C-reactive protein predicts short and long-term outcomes in peritoneal dialysis-associated peritonitis.</w:t>
      </w:r>
      <w:r w:rsidRPr="00CC7E17">
        <w:rPr>
          <w:rFonts w:ascii="Arial" w:eastAsiaTheme="minorEastAsia" w:hAnsi="Arial" w:cs="Arial"/>
          <w:i/>
          <w:iCs/>
          <w:bdr w:val="none" w:sz="0" w:space="0" w:color="auto"/>
        </w:rPr>
        <w:t xml:space="preserve"> Kidney International, 71</w:t>
      </w:r>
      <w:r w:rsidRPr="00CC7E17">
        <w:rPr>
          <w:rFonts w:ascii="Arial" w:eastAsiaTheme="minorEastAsia" w:hAnsi="Arial" w:cs="Arial"/>
          <w:bdr w:val="none" w:sz="0" w:space="0" w:color="auto"/>
        </w:rPr>
        <w:t>(7), 687-692. doi:10.1038/sj.ki.5002127</w:t>
      </w:r>
    </w:p>
    <w:p w14:paraId="5FA1D704" w14:textId="77777777" w:rsidR="00657E9C" w:rsidRPr="00CC7E17" w:rsidRDefault="00657E9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Zivanovic, O., Leitao, M. M., Iasonos, A., Jacks, L. M., Zhou, Q., Abu-Rustum, N. R., et al. (2009). Stage-specific outcomes of patients with uterine leiomyosarcoma: A comparison of the international federation of gynecology and obstetrics and american joint committee on cancer staging systems.</w:t>
      </w:r>
      <w:r w:rsidRPr="00CC7E17">
        <w:rPr>
          <w:rFonts w:ascii="Arial" w:eastAsiaTheme="minorEastAsia" w:hAnsi="Arial" w:cs="Arial"/>
          <w:i/>
          <w:iCs/>
          <w:bdr w:val="none" w:sz="0" w:space="0" w:color="auto"/>
        </w:rPr>
        <w:t xml:space="preserve"> Journal of Clinical Oncology : Official Journal of the American Society of Clinical Oncology, 27</w:t>
      </w:r>
      <w:r w:rsidRPr="00CC7E17">
        <w:rPr>
          <w:rFonts w:ascii="Arial" w:eastAsiaTheme="minorEastAsia" w:hAnsi="Arial" w:cs="Arial"/>
          <w:bdr w:val="none" w:sz="0" w:space="0" w:color="auto"/>
        </w:rPr>
        <w:t>(12), 2066-2072. doi:10.1200/JCO.2008.19.8366; 10.1200/JCO.2008.19.8366</w:t>
      </w:r>
    </w:p>
    <w:p w14:paraId="6C735D38" w14:textId="5EC290FD" w:rsidR="00657E9C" w:rsidRPr="00CC7E17" w:rsidRDefault="00657E9C" w:rsidP="0009624B">
      <w:pPr>
        <w:pStyle w:val="NoSpacing"/>
        <w:spacing w:line="360" w:lineRule="auto"/>
        <w:ind w:left="567" w:hanging="567"/>
        <w:rPr>
          <w:rFonts w:ascii="Arial" w:hAnsi="Arial" w:cs="Arial"/>
          <w:bdr w:val="none" w:sz="0" w:space="0" w:color="auto"/>
        </w:rPr>
      </w:pPr>
      <w:r w:rsidRPr="00CC7E17">
        <w:rPr>
          <w:rFonts w:ascii="Arial" w:eastAsiaTheme="minorEastAsia" w:hAnsi="Arial" w:cs="Arial"/>
          <w:bdr w:val="none" w:sz="0" w:space="0" w:color="auto"/>
        </w:rPr>
        <w:t>Zulueta, J. J., Wisnivesky, J. P., Henschke, C. I., Yip, R., Farooqi, A. O., McCauley, D. I., et al. (2012). Emphysema scores predict death from COPD and lung cancer.</w:t>
      </w:r>
      <w:r w:rsidRPr="00CC7E17">
        <w:rPr>
          <w:rFonts w:ascii="Arial" w:eastAsiaTheme="minorEastAsia" w:hAnsi="Arial" w:cs="Arial"/>
          <w:i/>
          <w:iCs/>
          <w:bdr w:val="none" w:sz="0" w:space="0" w:color="auto"/>
        </w:rPr>
        <w:t xml:space="preserve"> Chest, 141</w:t>
      </w:r>
      <w:r w:rsidRPr="00CC7E17">
        <w:rPr>
          <w:rFonts w:ascii="Arial" w:eastAsiaTheme="minorEastAsia" w:hAnsi="Arial" w:cs="Arial"/>
          <w:bdr w:val="none" w:sz="0" w:space="0" w:color="auto"/>
        </w:rPr>
        <w:t>(5), 1216-1223. doi:10.1378/chest.11-0101; 10.1378/chest.11-0101</w:t>
      </w:r>
    </w:p>
    <w:p w14:paraId="30AF7555" w14:textId="4FA0BDA7" w:rsidR="00C77297" w:rsidRPr="00CC7E17" w:rsidRDefault="00C77297" w:rsidP="0009624B">
      <w:pPr>
        <w:pStyle w:val="NoSpacing"/>
        <w:spacing w:line="360" w:lineRule="auto"/>
        <w:rPr>
          <w:rFonts w:ascii="Arial" w:hAnsi="Arial" w:cs="Arial"/>
          <w:bdr w:val="none" w:sz="0" w:space="0" w:color="auto"/>
        </w:rPr>
      </w:pPr>
      <w:r w:rsidRPr="00CC7E17">
        <w:rPr>
          <w:rFonts w:ascii="Arial" w:hAnsi="Arial" w:cs="Arial"/>
          <w:bdr w:val="none" w:sz="0" w:space="0" w:color="auto"/>
        </w:rPr>
        <w:t xml:space="preserve"> </w:t>
      </w:r>
    </w:p>
    <w:p w14:paraId="4D283DEE" w14:textId="77777777" w:rsidR="006C5E8D" w:rsidRPr="00CC7E17" w:rsidRDefault="006C5E8D" w:rsidP="0009624B">
      <w:pPr>
        <w:spacing w:line="360" w:lineRule="auto"/>
        <w:rPr>
          <w:rFonts w:ascii="Arial" w:hAnsi="Arial" w:cs="Arial"/>
        </w:rPr>
      </w:pPr>
    </w:p>
    <w:p w14:paraId="7A5DE90E" w14:textId="77777777" w:rsidR="00D65CCC" w:rsidRPr="00CC7E17" w:rsidRDefault="00D65CCC" w:rsidP="0009624B">
      <w:pPr>
        <w:pStyle w:val="Heading3"/>
        <w:spacing w:line="360" w:lineRule="auto"/>
        <w:rPr>
          <w:rFonts w:ascii="Arial" w:eastAsiaTheme="minorEastAsia" w:hAnsi="Arial" w:cs="Arial"/>
          <w:bdr w:val="none" w:sz="0" w:space="0" w:color="auto"/>
        </w:rPr>
      </w:pPr>
      <w:bookmarkStart w:id="50" w:name="_Toc286437134"/>
      <w:r w:rsidRPr="00CC7E17">
        <w:rPr>
          <w:rFonts w:ascii="Arial" w:hAnsi="Arial" w:cs="Arial"/>
        </w:rPr>
        <w:t>Articles Deemed Not of Interest – Can be inputted</w:t>
      </w:r>
      <w:bookmarkEnd w:id="50"/>
      <w:r w:rsidRPr="00CC7E17">
        <w:rPr>
          <w:rFonts w:ascii="Arial" w:eastAsiaTheme="minorEastAsia" w:hAnsi="Arial" w:cs="Arial"/>
          <w:bdr w:val="none" w:sz="0" w:space="0" w:color="auto"/>
        </w:rPr>
        <w:t xml:space="preserve"> </w:t>
      </w:r>
    </w:p>
    <w:p w14:paraId="53AA6E3F" w14:textId="7FC2BFEF" w:rsidR="00EC08DB" w:rsidRPr="00CC7E17" w:rsidRDefault="00EC08DB"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Doormaal, F. F., Atalay, S., Brouwer, H. J., van der Velde, E. F., Buller, H. R., &amp; van Weert, H. C. (2010). Idiopathic superficial thrombophlebitis and the incidence of cancer in primary care patients.</w:t>
      </w:r>
      <w:r w:rsidRPr="00CC7E17">
        <w:rPr>
          <w:rFonts w:ascii="Arial" w:eastAsiaTheme="minorEastAsia" w:hAnsi="Arial" w:cs="Arial"/>
          <w:i/>
          <w:iCs/>
          <w:bdr w:val="none" w:sz="0" w:space="0" w:color="auto"/>
        </w:rPr>
        <w:t xml:space="preserve"> Annals of Family Medicine, 8</w:t>
      </w:r>
      <w:r w:rsidRPr="00CC7E17">
        <w:rPr>
          <w:rFonts w:ascii="Arial" w:eastAsiaTheme="minorEastAsia" w:hAnsi="Arial" w:cs="Arial"/>
          <w:bdr w:val="none" w:sz="0" w:space="0" w:color="auto"/>
        </w:rPr>
        <w:t>(1), 47-50. doi:10.1370/afm.1058; 10.1370/afm.1058</w:t>
      </w:r>
    </w:p>
    <w:p w14:paraId="4C545674" w14:textId="77777777" w:rsidR="00EC08DB" w:rsidRPr="00CC7E17" w:rsidRDefault="00EC08DB"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Vichapat, V., Garmo, H., Holmqvist, M., Liljegren, G., Warnberg, F., Lambe, M., et al. (2012). Tumor stage affects risk and prognosis of contralateral breast cancer: Results from a large swedish-population-based study.</w:t>
      </w:r>
      <w:r w:rsidRPr="00CC7E17">
        <w:rPr>
          <w:rFonts w:ascii="Arial" w:eastAsiaTheme="minorEastAsia" w:hAnsi="Arial" w:cs="Arial"/>
          <w:i/>
          <w:iCs/>
          <w:bdr w:val="none" w:sz="0" w:space="0" w:color="auto"/>
        </w:rPr>
        <w:t xml:space="preserve"> Journal of Clinical Oncology : Official Journal of the American Society of Clinical Oncology, 30</w:t>
      </w:r>
      <w:r w:rsidRPr="00CC7E17">
        <w:rPr>
          <w:rFonts w:ascii="Arial" w:eastAsiaTheme="minorEastAsia" w:hAnsi="Arial" w:cs="Arial"/>
          <w:bdr w:val="none" w:sz="0" w:space="0" w:color="auto"/>
        </w:rPr>
        <w:t>(28), 3478-3485. doi:10.1200/JCO.2011.39.3645</w:t>
      </w:r>
    </w:p>
    <w:p w14:paraId="630D9B21" w14:textId="5A858BBD" w:rsidR="006C5E8D" w:rsidRPr="00CC7E17" w:rsidRDefault="00EC08DB" w:rsidP="0009624B">
      <w:pPr>
        <w:spacing w:line="360" w:lineRule="auto"/>
        <w:ind w:left="567" w:hanging="567"/>
        <w:rPr>
          <w:rFonts w:ascii="Arial" w:hAnsi="Arial" w:cs="Arial"/>
        </w:rPr>
      </w:pPr>
      <w:r w:rsidRPr="00CC7E17">
        <w:rPr>
          <w:rFonts w:ascii="Arial" w:eastAsiaTheme="minorEastAsia" w:hAnsi="Arial" w:cs="Arial"/>
          <w:bdr w:val="none" w:sz="0" w:space="0" w:color="auto"/>
        </w:rPr>
        <w:t>Wang, I. K., Tsai, I. J., Chen, P. C., Liang, C. C., Chou, C. Y., Chang, C. T., et al. (2012). Hypertensive disorders in pregnancy and subsequent diabetes mellitus: A retrospective cohort study.</w:t>
      </w:r>
      <w:r w:rsidRPr="00CC7E17">
        <w:rPr>
          <w:rFonts w:ascii="Arial" w:eastAsiaTheme="minorEastAsia" w:hAnsi="Arial" w:cs="Arial"/>
          <w:i/>
          <w:iCs/>
          <w:bdr w:val="none" w:sz="0" w:space="0" w:color="auto"/>
        </w:rPr>
        <w:t xml:space="preserve"> The American Journal of Medicine, 125</w:t>
      </w:r>
      <w:r w:rsidRPr="00CC7E17">
        <w:rPr>
          <w:rFonts w:ascii="Arial" w:eastAsiaTheme="minorEastAsia" w:hAnsi="Arial" w:cs="Arial"/>
          <w:bdr w:val="none" w:sz="0" w:space="0" w:color="auto"/>
        </w:rPr>
        <w:t>(3), 251-257. doi:10.1016/j.amjmed.2011.07.040; 10.1016/j.amjmed.2011.07.040</w:t>
      </w:r>
    </w:p>
    <w:p w14:paraId="5ACB0712" w14:textId="77777777" w:rsidR="00EC08DB" w:rsidRPr="00CC7E17" w:rsidRDefault="00EC08DB" w:rsidP="0009624B">
      <w:pPr>
        <w:spacing w:line="360" w:lineRule="auto"/>
        <w:rPr>
          <w:rFonts w:ascii="Arial" w:hAnsi="Arial" w:cs="Arial"/>
        </w:rPr>
      </w:pPr>
    </w:p>
    <w:p w14:paraId="7F7AF157" w14:textId="77777777" w:rsidR="00D65CCC" w:rsidRPr="00CC7E17" w:rsidRDefault="00D65CCC" w:rsidP="0009624B">
      <w:pPr>
        <w:pStyle w:val="Heading3"/>
        <w:spacing w:line="360" w:lineRule="auto"/>
        <w:rPr>
          <w:rFonts w:ascii="Arial" w:hAnsi="Arial" w:cs="Arial"/>
        </w:rPr>
      </w:pPr>
      <w:bookmarkStart w:id="51" w:name="_Toc286437135"/>
      <w:r w:rsidRPr="00CC7E17">
        <w:rPr>
          <w:rFonts w:ascii="Arial" w:hAnsi="Arial" w:cs="Arial"/>
        </w:rPr>
        <w:t>Articles Deemed not of Interest – Imaging (not suitable)</w:t>
      </w:r>
      <w:bookmarkEnd w:id="51"/>
      <w:r w:rsidRPr="00CC7E17">
        <w:rPr>
          <w:rFonts w:ascii="Arial" w:hAnsi="Arial" w:cs="Arial"/>
        </w:rPr>
        <w:t xml:space="preserve"> </w:t>
      </w:r>
    </w:p>
    <w:p w14:paraId="39DB3041" w14:textId="77777777" w:rsidR="00EC08DB" w:rsidRPr="00CC7E17" w:rsidRDefault="00EC08DB" w:rsidP="0009624B">
      <w:pPr>
        <w:pStyle w:val="Heading4"/>
        <w:spacing w:line="360" w:lineRule="auto"/>
        <w:rPr>
          <w:rFonts w:ascii="Arial" w:hAnsi="Arial" w:cs="Arial"/>
          <w:i w:val="0"/>
        </w:rPr>
      </w:pPr>
    </w:p>
    <w:p w14:paraId="0460CF50"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Arauz, A., Marquez, J. M., Artigas, C., Balderrama, J., &amp; Orrego, H. (2010). Recanalization of vertebral artery dissection.</w:t>
      </w:r>
      <w:r w:rsidRPr="00CC7E17">
        <w:rPr>
          <w:rFonts w:ascii="Arial" w:eastAsiaTheme="minorEastAsia" w:hAnsi="Arial" w:cs="Arial"/>
          <w:i/>
          <w:iCs/>
          <w:bdr w:val="none" w:sz="0" w:space="0" w:color="auto"/>
        </w:rPr>
        <w:t xml:space="preserve"> Stroke; a Journal of Cerebral Circulation, 41</w:t>
      </w:r>
      <w:r w:rsidRPr="00CC7E17">
        <w:rPr>
          <w:rFonts w:ascii="Arial" w:eastAsiaTheme="minorEastAsia" w:hAnsi="Arial" w:cs="Arial"/>
          <w:bdr w:val="none" w:sz="0" w:space="0" w:color="auto"/>
        </w:rPr>
        <w:t>(4), 717-721. doi:10.1161/STROKEAHA.109.568790; 10.1161/STROKEAHA.109.568790</w:t>
      </w:r>
    </w:p>
    <w:p w14:paraId="10FDDE72"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Aukland, S. M., Rosendahl, K., Owens, C. M., Fosse, K. R., Eide, G. E., &amp; Halvorsen, T. (2009). Neonatal bronchopulmonary dysplasia predicts abnormal pulmonary HRCT scans in long-term survivors of extreme preterm birth.</w:t>
      </w:r>
      <w:r w:rsidRPr="00CC7E17">
        <w:rPr>
          <w:rFonts w:ascii="Arial" w:eastAsiaTheme="minorEastAsia" w:hAnsi="Arial" w:cs="Arial"/>
          <w:i/>
          <w:iCs/>
          <w:bdr w:val="none" w:sz="0" w:space="0" w:color="auto"/>
        </w:rPr>
        <w:t xml:space="preserve"> Thorax, 64</w:t>
      </w:r>
      <w:r w:rsidRPr="00CC7E17">
        <w:rPr>
          <w:rFonts w:ascii="Arial" w:eastAsiaTheme="minorEastAsia" w:hAnsi="Arial" w:cs="Arial"/>
          <w:bdr w:val="none" w:sz="0" w:space="0" w:color="auto"/>
        </w:rPr>
        <w:t>(5), 405-410. doi:10.1136/thx.2008.103739; 10.1136/thx.2008.103739</w:t>
      </w:r>
    </w:p>
    <w:p w14:paraId="764B7F99"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Biagini, E., Lofiego, C., Ferlito, M., Fattori, R., Rocchi, G., Graziosi, M., et al. (2007). Frequency, determinants, and clinical relevance of acute coronary syndrome-like electrocardiographic findings in patients with acute aortic syndrome.</w:t>
      </w:r>
      <w:r w:rsidRPr="00CC7E17">
        <w:rPr>
          <w:rFonts w:ascii="Arial" w:eastAsiaTheme="minorEastAsia" w:hAnsi="Arial" w:cs="Arial"/>
          <w:i/>
          <w:iCs/>
          <w:bdr w:val="none" w:sz="0" w:space="0" w:color="auto"/>
        </w:rPr>
        <w:t xml:space="preserve"> The American Journal of Cardiology, 100</w:t>
      </w:r>
      <w:r w:rsidRPr="00CC7E17">
        <w:rPr>
          <w:rFonts w:ascii="Arial" w:eastAsiaTheme="minorEastAsia" w:hAnsi="Arial" w:cs="Arial"/>
          <w:bdr w:val="none" w:sz="0" w:space="0" w:color="auto"/>
        </w:rPr>
        <w:t>(6), 1013-1019. doi:10.1016/j.amjcard.2007.04.044</w:t>
      </w:r>
    </w:p>
    <w:p w14:paraId="496AF5A9"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Boks, S. S., Vroegindeweij, D., Koes, B. W., Hunink, M. G., &amp; Bierma-Zeinstra, S. M. (2006). Follow-up of posttraumatic ligamentous and meniscal knee lesions detected at MR imaging: Systematic review.</w:t>
      </w:r>
      <w:r w:rsidRPr="00CC7E17">
        <w:rPr>
          <w:rFonts w:ascii="Arial" w:eastAsiaTheme="minorEastAsia" w:hAnsi="Arial" w:cs="Arial"/>
          <w:i/>
          <w:iCs/>
          <w:bdr w:val="none" w:sz="0" w:space="0" w:color="auto"/>
        </w:rPr>
        <w:t xml:space="preserve"> Radiology, 238</w:t>
      </w:r>
      <w:r w:rsidRPr="00CC7E17">
        <w:rPr>
          <w:rFonts w:ascii="Arial" w:eastAsiaTheme="minorEastAsia" w:hAnsi="Arial" w:cs="Arial"/>
          <w:bdr w:val="none" w:sz="0" w:space="0" w:color="auto"/>
        </w:rPr>
        <w:t>(3), 863-871. doi:10.1148/radiol.2382050063</w:t>
      </w:r>
    </w:p>
    <w:p w14:paraId="275F2F96"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Cheong, J. L., Hunt, R. W., Anderson, P. J., Howard, K., Thompson, D. K., Wang, H. X., et al. (2008). Head growth in preterm infants: Correlation with magnetic resonance imaging and neurodevelopmental outcome.</w:t>
      </w:r>
      <w:r w:rsidRPr="00CC7E17">
        <w:rPr>
          <w:rFonts w:ascii="Arial" w:eastAsiaTheme="minorEastAsia" w:hAnsi="Arial" w:cs="Arial"/>
          <w:i/>
          <w:iCs/>
          <w:bdr w:val="none" w:sz="0" w:space="0" w:color="auto"/>
        </w:rPr>
        <w:t xml:space="preserve"> Pediatrics, 121</w:t>
      </w:r>
      <w:r w:rsidRPr="00CC7E17">
        <w:rPr>
          <w:rFonts w:ascii="Arial" w:eastAsiaTheme="minorEastAsia" w:hAnsi="Arial" w:cs="Arial"/>
          <w:bdr w:val="none" w:sz="0" w:space="0" w:color="auto"/>
        </w:rPr>
        <w:t>(6), e1534-40. doi:10.1542/peds.2007-2671; 10.1542/peds.2007-2671</w:t>
      </w:r>
    </w:p>
    <w:p w14:paraId="09B14325"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Danchaivijitr, N., Cox, T. C., Saunders, D. E., &amp; Ganesan, V. (2006). Evolution of cerebral arteriopathies in childhood arterial ischemic stroke.</w:t>
      </w:r>
      <w:r w:rsidRPr="00CC7E17">
        <w:rPr>
          <w:rFonts w:ascii="Arial" w:eastAsiaTheme="minorEastAsia" w:hAnsi="Arial" w:cs="Arial"/>
          <w:i/>
          <w:iCs/>
          <w:bdr w:val="none" w:sz="0" w:space="0" w:color="auto"/>
        </w:rPr>
        <w:t xml:space="preserve"> Annals of Neurology, 59</w:t>
      </w:r>
      <w:r w:rsidRPr="00CC7E17">
        <w:rPr>
          <w:rFonts w:ascii="Arial" w:eastAsiaTheme="minorEastAsia" w:hAnsi="Arial" w:cs="Arial"/>
          <w:bdr w:val="none" w:sz="0" w:space="0" w:color="auto"/>
        </w:rPr>
        <w:t>(4), 620-626. doi:10.1002/ana.20800</w:t>
      </w:r>
    </w:p>
    <w:p w14:paraId="70699803"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de Seze, J., Debouverie, M., Zephir, H., Lebrun, C., Blanc, F., Bourg, V., et al. (2007). Acute fulminant demyelinating disease: A descriptive study of 60 patients.</w:t>
      </w:r>
      <w:r w:rsidRPr="00CC7E17">
        <w:rPr>
          <w:rFonts w:ascii="Arial" w:eastAsiaTheme="minorEastAsia" w:hAnsi="Arial" w:cs="Arial"/>
          <w:i/>
          <w:iCs/>
          <w:bdr w:val="none" w:sz="0" w:space="0" w:color="auto"/>
        </w:rPr>
        <w:t xml:space="preserve"> Archives of Neurology, 64</w:t>
      </w:r>
      <w:r w:rsidRPr="00CC7E17">
        <w:rPr>
          <w:rFonts w:ascii="Arial" w:eastAsiaTheme="minorEastAsia" w:hAnsi="Arial" w:cs="Arial"/>
          <w:bdr w:val="none" w:sz="0" w:space="0" w:color="auto"/>
        </w:rPr>
        <w:t>(10), 1426-1432. doi:10.1001/archneur.64.10.1426</w:t>
      </w:r>
    </w:p>
    <w:p w14:paraId="1DF9A66D"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Fairhead, J. F., Mehta, Z., &amp; Rothwell, P. M. (2005). Population-based study of delays in carotid imaging and surgery and the risk of recurrent stroke.</w:t>
      </w:r>
      <w:r w:rsidRPr="00CC7E17">
        <w:rPr>
          <w:rFonts w:ascii="Arial" w:eastAsiaTheme="minorEastAsia" w:hAnsi="Arial" w:cs="Arial"/>
          <w:i/>
          <w:iCs/>
          <w:bdr w:val="none" w:sz="0" w:space="0" w:color="auto"/>
        </w:rPr>
        <w:t xml:space="preserve"> Neurology, 65</w:t>
      </w:r>
      <w:r w:rsidRPr="00CC7E17">
        <w:rPr>
          <w:rFonts w:ascii="Arial" w:eastAsiaTheme="minorEastAsia" w:hAnsi="Arial" w:cs="Arial"/>
          <w:bdr w:val="none" w:sz="0" w:space="0" w:color="auto"/>
        </w:rPr>
        <w:t>(3), 371-375. doi:10.1212/01.wnl.0000170368.82460.b4</w:t>
      </w:r>
    </w:p>
    <w:p w14:paraId="0D72567A"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Graf, O., Helbich, T. H., Hopf, G., Graf, C., &amp; Sickles, E. A. (2007). Probably benign breast masses at US: Is follow-up an acceptable alternative to biopsy?</w:t>
      </w:r>
      <w:r w:rsidRPr="00CC7E17">
        <w:rPr>
          <w:rFonts w:ascii="Arial" w:eastAsiaTheme="minorEastAsia" w:hAnsi="Arial" w:cs="Arial"/>
          <w:i/>
          <w:iCs/>
          <w:bdr w:val="none" w:sz="0" w:space="0" w:color="auto"/>
        </w:rPr>
        <w:t xml:space="preserve"> Radiology, 244</w:t>
      </w:r>
      <w:r w:rsidRPr="00CC7E17">
        <w:rPr>
          <w:rFonts w:ascii="Arial" w:eastAsiaTheme="minorEastAsia" w:hAnsi="Arial" w:cs="Arial"/>
          <w:bdr w:val="none" w:sz="0" w:space="0" w:color="auto"/>
        </w:rPr>
        <w:t>(1), 87-93. doi:10.1148/radiol.2441060258</w:t>
      </w:r>
    </w:p>
    <w:p w14:paraId="766C469B"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Husson, B., Hertz-Pannier, L., Renaud, C., Allard, D., Presles, E., Landrieu, P., et al. (2010). Motor outcomes after neonatal arterial ischemic stroke related to early MRI data in a prospective study.</w:t>
      </w:r>
      <w:r w:rsidRPr="00CC7E17">
        <w:rPr>
          <w:rFonts w:ascii="Arial" w:eastAsiaTheme="minorEastAsia" w:hAnsi="Arial" w:cs="Arial"/>
          <w:i/>
          <w:iCs/>
          <w:bdr w:val="none" w:sz="0" w:space="0" w:color="auto"/>
        </w:rPr>
        <w:t xml:space="preserve"> Pediatrics, 126</w:t>
      </w:r>
      <w:r w:rsidRPr="00CC7E17">
        <w:rPr>
          <w:rFonts w:ascii="Arial" w:eastAsiaTheme="minorEastAsia" w:hAnsi="Arial" w:cs="Arial"/>
          <w:bdr w:val="none" w:sz="0" w:space="0" w:color="auto"/>
        </w:rPr>
        <w:t>(4), 912-918. doi:10.1542/peds.2009-3611; 10.1542/peds.2009-3611</w:t>
      </w:r>
    </w:p>
    <w:p w14:paraId="32DDA2AB"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Jang, S. H., Bai, D., Son, S. M., Lee, J., Kim, D. S., Sakong, J., et al. (2008). Motor outcome prediction using diffusion tensor tractography in pontine infarct.</w:t>
      </w:r>
      <w:r w:rsidRPr="00CC7E17">
        <w:rPr>
          <w:rFonts w:ascii="Arial" w:eastAsiaTheme="minorEastAsia" w:hAnsi="Arial" w:cs="Arial"/>
          <w:i/>
          <w:iCs/>
          <w:bdr w:val="none" w:sz="0" w:space="0" w:color="auto"/>
        </w:rPr>
        <w:t xml:space="preserve"> Annals of Neurology, 64</w:t>
      </w:r>
      <w:r w:rsidRPr="00CC7E17">
        <w:rPr>
          <w:rFonts w:ascii="Arial" w:eastAsiaTheme="minorEastAsia" w:hAnsi="Arial" w:cs="Arial"/>
          <w:bdr w:val="none" w:sz="0" w:space="0" w:color="auto"/>
        </w:rPr>
        <w:t>(4), 460-465. doi:10.1002/ana.21444; 10.1002/ana.21444</w:t>
      </w:r>
    </w:p>
    <w:p w14:paraId="7BB6456C"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Kuroda, S., Ishikawa, T., Houkin, K., Nanba, R., Hokari, M., &amp; Iwasaki, Y. (2005). Incidence and clinical features of disease progression in adult moyamoya disease.</w:t>
      </w:r>
      <w:r w:rsidRPr="00CC7E17">
        <w:rPr>
          <w:rFonts w:ascii="Arial" w:eastAsiaTheme="minorEastAsia" w:hAnsi="Arial" w:cs="Arial"/>
          <w:i/>
          <w:iCs/>
          <w:bdr w:val="none" w:sz="0" w:space="0" w:color="auto"/>
        </w:rPr>
        <w:t xml:space="preserve"> Stroke; a Journal of Cerebral Circulation, 36</w:t>
      </w:r>
      <w:r w:rsidRPr="00CC7E17">
        <w:rPr>
          <w:rFonts w:ascii="Arial" w:eastAsiaTheme="minorEastAsia" w:hAnsi="Arial" w:cs="Arial"/>
          <w:bdr w:val="none" w:sz="0" w:space="0" w:color="auto"/>
        </w:rPr>
        <w:t>(10), 2148-2153. doi:10.1161/01.STR.0000182256.32489.99</w:t>
      </w:r>
    </w:p>
    <w:p w14:paraId="1A922F21"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Lebrun, C., Bensa, C., Debouverie, M., Wiertlevski, S., Brassat, D., de Seze, J., et al. (2009). Association between clinical conversion to multiple sclerosis in radiologically isolated syndrome and magnetic resonance imaging, cerebrospinal fluid, and visual evoked potential: Follow-up of 70 patients.</w:t>
      </w:r>
      <w:r w:rsidRPr="00CC7E17">
        <w:rPr>
          <w:rFonts w:ascii="Arial" w:eastAsiaTheme="minorEastAsia" w:hAnsi="Arial" w:cs="Arial"/>
          <w:i/>
          <w:iCs/>
          <w:bdr w:val="none" w:sz="0" w:space="0" w:color="auto"/>
        </w:rPr>
        <w:t xml:space="preserve"> Archives of Neurology, 66</w:t>
      </w:r>
      <w:r w:rsidRPr="00CC7E17">
        <w:rPr>
          <w:rFonts w:ascii="Arial" w:eastAsiaTheme="minorEastAsia" w:hAnsi="Arial" w:cs="Arial"/>
          <w:bdr w:val="none" w:sz="0" w:space="0" w:color="auto"/>
        </w:rPr>
        <w:t>(7), 841-846. doi:10.1001/archneurol.2009.119; 10.1001/archneurol.2009.119</w:t>
      </w:r>
    </w:p>
    <w:p w14:paraId="7526D83B"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Lee, Y. C., Phan, T. G., Jolley, D. J., Castley, H. C., Ingram, D. A., &amp; Reutens, D. C. (2010). Accuracy of clinical signs, SEP, and EEG in predicting outcome of hypoxic coma: A meta-analysis.</w:t>
      </w:r>
      <w:r w:rsidRPr="00CC7E17">
        <w:rPr>
          <w:rFonts w:ascii="Arial" w:eastAsiaTheme="minorEastAsia" w:hAnsi="Arial" w:cs="Arial"/>
          <w:i/>
          <w:iCs/>
          <w:bdr w:val="none" w:sz="0" w:space="0" w:color="auto"/>
        </w:rPr>
        <w:t xml:space="preserve"> Neurology, 74</w:t>
      </w:r>
      <w:r w:rsidRPr="00CC7E17">
        <w:rPr>
          <w:rFonts w:ascii="Arial" w:eastAsiaTheme="minorEastAsia" w:hAnsi="Arial" w:cs="Arial"/>
          <w:bdr w:val="none" w:sz="0" w:space="0" w:color="auto"/>
        </w:rPr>
        <w:t>(7), 572-580. doi:10.1212/WNL.0b013e3181cff761; 10.1212/WNL.0b013e3181cff761</w:t>
      </w:r>
    </w:p>
    <w:p w14:paraId="6E424811"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Mariani, P. P., Margheritini, F., Christel, P., &amp; Bellelli, A. (2005). Evaluation of posterior cruciate ligament healing: A study using magnetic resonance imaging and stress radiography.</w:t>
      </w:r>
      <w:r w:rsidRPr="00CC7E17">
        <w:rPr>
          <w:rFonts w:ascii="Arial" w:eastAsiaTheme="minorEastAsia" w:hAnsi="Arial" w:cs="Arial"/>
          <w:i/>
          <w:iCs/>
          <w:bdr w:val="none" w:sz="0" w:space="0" w:color="auto"/>
        </w:rPr>
        <w:t xml:space="preserve"> Arthroscopy : The Journal of Arthroscopic &amp; Related Surgery : Official Publication of the Arthroscopy Association of North America and the International Arthroscopy Association, 21</w:t>
      </w:r>
      <w:r w:rsidRPr="00CC7E17">
        <w:rPr>
          <w:rFonts w:ascii="Arial" w:eastAsiaTheme="minorEastAsia" w:hAnsi="Arial" w:cs="Arial"/>
          <w:bdr w:val="none" w:sz="0" w:space="0" w:color="auto"/>
        </w:rPr>
        <w:t>(11), 1354-1361. doi:10.1016/j.arthro.2005.07.028</w:t>
      </w:r>
    </w:p>
    <w:p w14:paraId="7FD39F18"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Masson, C., Pruvo, J. P., Meder, J. F., Cordonnier, C., Touze, E., De La Sayette, V., et al. (2004). Spinal cord infarction: Clinical and magnetic resonance imaging findings and short term outcome.</w:t>
      </w:r>
      <w:r w:rsidRPr="00CC7E17">
        <w:rPr>
          <w:rFonts w:ascii="Arial" w:eastAsiaTheme="minorEastAsia" w:hAnsi="Arial" w:cs="Arial"/>
          <w:i/>
          <w:iCs/>
          <w:bdr w:val="none" w:sz="0" w:space="0" w:color="auto"/>
        </w:rPr>
        <w:t xml:space="preserve"> Journal of Neurology, Neurosurgery, and Psychiatry, 75</w:t>
      </w:r>
      <w:r w:rsidRPr="00CC7E17">
        <w:rPr>
          <w:rFonts w:ascii="Arial" w:eastAsiaTheme="minorEastAsia" w:hAnsi="Arial" w:cs="Arial"/>
          <w:bdr w:val="none" w:sz="0" w:space="0" w:color="auto"/>
        </w:rPr>
        <w:t>(10), 1431-1435. doi:10.1136/jnnp.2003.031724</w:t>
      </w:r>
    </w:p>
    <w:p w14:paraId="748B63B6"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McKelvey, A., Stanwell, J., Smeulders, N., Nasr, R., Curry, J., &amp; Pandya, P. (2010). Persistent non-visualisation of the fetal stomach: Diagnostic and prognostic implications.</w:t>
      </w:r>
      <w:r w:rsidRPr="00CC7E17">
        <w:rPr>
          <w:rFonts w:ascii="Arial" w:eastAsiaTheme="minorEastAsia" w:hAnsi="Arial" w:cs="Arial"/>
          <w:i/>
          <w:iCs/>
          <w:bdr w:val="none" w:sz="0" w:space="0" w:color="auto"/>
        </w:rPr>
        <w:t xml:space="preserve"> Archives of Disease in Childhood.Fetal and Neonatal Edition, 95</w:t>
      </w:r>
      <w:r w:rsidRPr="00CC7E17">
        <w:rPr>
          <w:rFonts w:ascii="Arial" w:eastAsiaTheme="minorEastAsia" w:hAnsi="Arial" w:cs="Arial"/>
          <w:bdr w:val="none" w:sz="0" w:space="0" w:color="auto"/>
        </w:rPr>
        <w:t>(6), F439-42. doi:10.1136/adc.2009.179341; 10.1136/adc.2009.179341</w:t>
      </w:r>
    </w:p>
    <w:p w14:paraId="227D3109"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Miller, S. P., Ferriero, D. M., Leonard, C., Piecuch, R., Glidden, D. V., Partridge, J. C., et al. (2005). Early brain injury in premature newborns detected with magnetic resonance imaging is associated with adverse early neurodevelopmental outcome.</w:t>
      </w:r>
      <w:r w:rsidRPr="00CC7E17">
        <w:rPr>
          <w:rFonts w:ascii="Arial" w:eastAsiaTheme="minorEastAsia" w:hAnsi="Arial" w:cs="Arial"/>
          <w:i/>
          <w:iCs/>
          <w:bdr w:val="none" w:sz="0" w:space="0" w:color="auto"/>
        </w:rPr>
        <w:t xml:space="preserve"> The Journal of Pediatrics, 147</w:t>
      </w:r>
      <w:r w:rsidRPr="00CC7E17">
        <w:rPr>
          <w:rFonts w:ascii="Arial" w:eastAsiaTheme="minorEastAsia" w:hAnsi="Arial" w:cs="Arial"/>
          <w:bdr w:val="none" w:sz="0" w:space="0" w:color="auto"/>
        </w:rPr>
        <w:t>(5), 609-616. doi:10.1016/j.jpeds.2005.06.033</w:t>
      </w:r>
    </w:p>
    <w:p w14:paraId="37CED9BF"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Mott, L. S., Park, J., Murray, C. P., Gangell, C. L., de Klerk, N. H., Robinson, P. J., et al. (2012). Progression of early structural lung disease in young children with cystic fibrosis assessed using CT.</w:t>
      </w:r>
      <w:r w:rsidRPr="00CC7E17">
        <w:rPr>
          <w:rFonts w:ascii="Arial" w:eastAsiaTheme="minorEastAsia" w:hAnsi="Arial" w:cs="Arial"/>
          <w:i/>
          <w:iCs/>
          <w:bdr w:val="none" w:sz="0" w:space="0" w:color="auto"/>
        </w:rPr>
        <w:t xml:space="preserve"> Thorax, 67</w:t>
      </w:r>
      <w:r w:rsidRPr="00CC7E17">
        <w:rPr>
          <w:rFonts w:ascii="Arial" w:eastAsiaTheme="minorEastAsia" w:hAnsi="Arial" w:cs="Arial"/>
          <w:bdr w:val="none" w:sz="0" w:space="0" w:color="auto"/>
        </w:rPr>
        <w:t>(6), 509-516. doi:10.1136/thoraxjnl-2011-200912; 10.1136/thoraxjnl-2011-200912</w:t>
      </w:r>
    </w:p>
    <w:p w14:paraId="15844610"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Nash, K. B., Bonifacio, S. L., Glass, H. C., Sullivan, J. E., Barkovich, A. J., Ferriero, D. M., et al. (2011). Video-EEG monitoring in newborns with hypoxic-ischemic encephalopathy treated with hypothermia.</w:t>
      </w:r>
      <w:r w:rsidRPr="00CC7E17">
        <w:rPr>
          <w:rFonts w:ascii="Arial" w:eastAsiaTheme="minorEastAsia" w:hAnsi="Arial" w:cs="Arial"/>
          <w:i/>
          <w:iCs/>
          <w:bdr w:val="none" w:sz="0" w:space="0" w:color="auto"/>
        </w:rPr>
        <w:t xml:space="preserve"> Neurology, 76</w:t>
      </w:r>
      <w:r w:rsidRPr="00CC7E17">
        <w:rPr>
          <w:rFonts w:ascii="Arial" w:eastAsiaTheme="minorEastAsia" w:hAnsi="Arial" w:cs="Arial"/>
          <w:bdr w:val="none" w:sz="0" w:space="0" w:color="auto"/>
        </w:rPr>
        <w:t>(6), 556-562. doi:10.1212/WNL.0b013e31820af91a; 10.1212/WNL.0b013e31820af91a</w:t>
      </w:r>
    </w:p>
    <w:p w14:paraId="0E8086D8"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Northam, E. A., Rankins, D., Lin, A., Wellard, R. M., Pell, G. S., Finch, S. J., et al. (2009). Central nervous system function in youth with type 1 diabetes 12 years after disease onset.</w:t>
      </w:r>
      <w:r w:rsidRPr="00CC7E17">
        <w:rPr>
          <w:rFonts w:ascii="Arial" w:eastAsiaTheme="minorEastAsia" w:hAnsi="Arial" w:cs="Arial"/>
          <w:i/>
          <w:iCs/>
          <w:bdr w:val="none" w:sz="0" w:space="0" w:color="auto"/>
        </w:rPr>
        <w:t xml:space="preserve"> Diabetes Care, 32</w:t>
      </w:r>
      <w:r w:rsidRPr="00CC7E17">
        <w:rPr>
          <w:rFonts w:ascii="Arial" w:eastAsiaTheme="minorEastAsia" w:hAnsi="Arial" w:cs="Arial"/>
          <w:bdr w:val="none" w:sz="0" w:space="0" w:color="auto"/>
        </w:rPr>
        <w:t>(3), 445-450. doi:10.2337/dc08-1657; 10.2337/dc08-1657</w:t>
      </w:r>
    </w:p>
    <w:p w14:paraId="73C1B454"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O'Donoghue, K., Rutherford, M. A., Engineer, N., Wimalasundera, R. C., Cowan, F. M., &amp; Fisk, N. M. (2009). Transfusional fetal complications after single intrauterine death in monochorionic multiple pregnancy are reduced but not prevented by vascular occlusion.</w:t>
      </w:r>
      <w:r w:rsidRPr="00CC7E17">
        <w:rPr>
          <w:rFonts w:ascii="Arial" w:eastAsiaTheme="minorEastAsia" w:hAnsi="Arial" w:cs="Arial"/>
          <w:i/>
          <w:iCs/>
          <w:bdr w:val="none" w:sz="0" w:space="0" w:color="auto"/>
        </w:rPr>
        <w:t xml:space="preserve"> BJOG : An International Journal of Obstetrics and Gynaecology, 116</w:t>
      </w:r>
      <w:r w:rsidRPr="00CC7E17">
        <w:rPr>
          <w:rFonts w:ascii="Arial" w:eastAsiaTheme="minorEastAsia" w:hAnsi="Arial" w:cs="Arial"/>
          <w:bdr w:val="none" w:sz="0" w:space="0" w:color="auto"/>
        </w:rPr>
        <w:t>(6), 804-812. doi:10.1111/j.1471-0528.2009.02128.x; 10.1111/j.1471-0528.2009.02128.x</w:t>
      </w:r>
    </w:p>
    <w:p w14:paraId="692FECA1"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Ricci, D., Mercuri, E., Barnett, A., Rathbone, R., Cota, F., Haataja, L., et al. (2008). Cognitive outcome at early school age in term-born children with perinatally acquired middle cerebral artery territory infarction.</w:t>
      </w:r>
      <w:r w:rsidRPr="00CC7E17">
        <w:rPr>
          <w:rFonts w:ascii="Arial" w:eastAsiaTheme="minorEastAsia" w:hAnsi="Arial" w:cs="Arial"/>
          <w:i/>
          <w:iCs/>
          <w:bdr w:val="none" w:sz="0" w:space="0" w:color="auto"/>
        </w:rPr>
        <w:t xml:space="preserve"> Stroke; a Journal of Cerebral Circulation, 39</w:t>
      </w:r>
      <w:r w:rsidRPr="00CC7E17">
        <w:rPr>
          <w:rFonts w:ascii="Arial" w:eastAsiaTheme="minorEastAsia" w:hAnsi="Arial" w:cs="Arial"/>
          <w:bdr w:val="none" w:sz="0" w:space="0" w:color="auto"/>
        </w:rPr>
        <w:t>(2), 403-410. doi:10.1161/STROKEAHA.107.489831</w:t>
      </w:r>
    </w:p>
    <w:p w14:paraId="6E95CEE7"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Siomou, E., Giapros, V., Fotopoulos, A., Aasioti, M., Papadopoulou, F., Serbis, A., et al. (2009). Implications of 99mTc-DMSA scintigraphy performed during urinary tract infection in neonates.</w:t>
      </w:r>
      <w:r w:rsidRPr="00CC7E17">
        <w:rPr>
          <w:rFonts w:ascii="Arial" w:eastAsiaTheme="minorEastAsia" w:hAnsi="Arial" w:cs="Arial"/>
          <w:i/>
          <w:iCs/>
          <w:bdr w:val="none" w:sz="0" w:space="0" w:color="auto"/>
        </w:rPr>
        <w:t xml:space="preserve"> Pediatrics, 124</w:t>
      </w:r>
      <w:r w:rsidRPr="00CC7E17">
        <w:rPr>
          <w:rFonts w:ascii="Arial" w:eastAsiaTheme="minorEastAsia" w:hAnsi="Arial" w:cs="Arial"/>
          <w:bdr w:val="none" w:sz="0" w:space="0" w:color="auto"/>
        </w:rPr>
        <w:t>(3), 881-887. doi:10.1542/peds.2008-1963; 10.1542/peds.2008-1963</w:t>
      </w:r>
    </w:p>
    <w:p w14:paraId="042F5BC6"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Song, J. M., Kim, S. D., Kim, J. H., Kim, M. J., Kang, D. H., Seo, J. B., et al. (2007). Long-term predictors of descending aorta aneurysmal change in patients with aortic dissection.</w:t>
      </w:r>
      <w:r w:rsidRPr="00CC7E17">
        <w:rPr>
          <w:rFonts w:ascii="Arial" w:eastAsiaTheme="minorEastAsia" w:hAnsi="Arial" w:cs="Arial"/>
          <w:i/>
          <w:iCs/>
          <w:bdr w:val="none" w:sz="0" w:space="0" w:color="auto"/>
        </w:rPr>
        <w:t xml:space="preserve"> Journal of the American College of Cardiology, 50</w:t>
      </w:r>
      <w:r w:rsidRPr="00CC7E17">
        <w:rPr>
          <w:rFonts w:ascii="Arial" w:eastAsiaTheme="minorEastAsia" w:hAnsi="Arial" w:cs="Arial"/>
          <w:bdr w:val="none" w:sz="0" w:space="0" w:color="auto"/>
        </w:rPr>
        <w:t>(8), 799-804. doi:10.1016/j.jacc.2007.03.064</w:t>
      </w:r>
    </w:p>
    <w:p w14:paraId="27E0651E"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Thayyil, S., Chandrasekaran, M., Taylor, A., Bainbridge, A., Cady, E. B., Chong, W. K., et al. (2010). Cerebral magnetic resonance biomarkers in neonatal encephalopathy: A meta-analysis.</w:t>
      </w:r>
      <w:r w:rsidRPr="00CC7E17">
        <w:rPr>
          <w:rFonts w:ascii="Arial" w:eastAsiaTheme="minorEastAsia" w:hAnsi="Arial" w:cs="Arial"/>
          <w:i/>
          <w:iCs/>
          <w:bdr w:val="none" w:sz="0" w:space="0" w:color="auto"/>
        </w:rPr>
        <w:t xml:space="preserve"> Pediatrics, 125</w:t>
      </w:r>
      <w:r w:rsidRPr="00CC7E17">
        <w:rPr>
          <w:rFonts w:ascii="Arial" w:eastAsiaTheme="minorEastAsia" w:hAnsi="Arial" w:cs="Arial"/>
          <w:bdr w:val="none" w:sz="0" w:space="0" w:color="auto"/>
        </w:rPr>
        <w:t>(2), e382-95. doi:10.1542/peds.2009-1046; 10.1542/peds.2009-1046</w:t>
      </w:r>
    </w:p>
    <w:p w14:paraId="6693ED7D"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Rooij, L. G., de Vries, L. S., Handryastuti, S., Hawani, D., Groenendaal, F., van Huffelen, A. C., et al. (2007). Neurodevelopmental outcome in term infants with status epilepticus detected with amplitude-integrated electroencephalography.</w:t>
      </w:r>
      <w:r w:rsidRPr="00CC7E17">
        <w:rPr>
          <w:rFonts w:ascii="Arial" w:eastAsiaTheme="minorEastAsia" w:hAnsi="Arial" w:cs="Arial"/>
          <w:i/>
          <w:iCs/>
          <w:bdr w:val="none" w:sz="0" w:space="0" w:color="auto"/>
        </w:rPr>
        <w:t xml:space="preserve"> Pediatrics, 120</w:t>
      </w:r>
      <w:r w:rsidRPr="00CC7E17">
        <w:rPr>
          <w:rFonts w:ascii="Arial" w:eastAsiaTheme="minorEastAsia" w:hAnsi="Arial" w:cs="Arial"/>
          <w:bdr w:val="none" w:sz="0" w:space="0" w:color="auto"/>
        </w:rPr>
        <w:t>(2), e354-63. doi:10.1542/peds.2006-3007</w:t>
      </w:r>
    </w:p>
    <w:p w14:paraId="540ABA16"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Vanni, S., Polidori, G., Vergara, R., Pepe, G., Nazerian, P., Moroni, F., et al. (2009). Prognostic value of ECG among patients with acute pulmonary embolism and normal blood pressure.</w:t>
      </w:r>
      <w:r w:rsidRPr="00CC7E17">
        <w:rPr>
          <w:rFonts w:ascii="Arial" w:eastAsiaTheme="minorEastAsia" w:hAnsi="Arial" w:cs="Arial"/>
          <w:i/>
          <w:iCs/>
          <w:bdr w:val="none" w:sz="0" w:space="0" w:color="auto"/>
        </w:rPr>
        <w:t xml:space="preserve"> The American Journal of Medicine, 122</w:t>
      </w:r>
      <w:r w:rsidRPr="00CC7E17">
        <w:rPr>
          <w:rFonts w:ascii="Arial" w:eastAsiaTheme="minorEastAsia" w:hAnsi="Arial" w:cs="Arial"/>
          <w:bdr w:val="none" w:sz="0" w:space="0" w:color="auto"/>
        </w:rPr>
        <w:t>(3), 257-264. doi:10.1016/j.amjmed.2008.08.031; 10.1016/j.amjmed.2008.08.031</w:t>
      </w:r>
    </w:p>
    <w:p w14:paraId="3A91CA7D"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Vermeulen, R. J., van Schie, P. E., Hendrikx, L., Barkhof, F., van Weissenbruch, M., Knol, D. L., et al. (2008). Diffusion-weighted and conventional MR imaging in neonatal hypoxic ischemia: Two-year follow-up study.</w:t>
      </w:r>
      <w:r w:rsidRPr="00CC7E17">
        <w:rPr>
          <w:rFonts w:ascii="Arial" w:eastAsiaTheme="minorEastAsia" w:hAnsi="Arial" w:cs="Arial"/>
          <w:i/>
          <w:iCs/>
          <w:bdr w:val="none" w:sz="0" w:space="0" w:color="auto"/>
        </w:rPr>
        <w:t xml:space="preserve"> Radiology, 249</w:t>
      </w:r>
      <w:r w:rsidRPr="00CC7E17">
        <w:rPr>
          <w:rFonts w:ascii="Arial" w:eastAsiaTheme="minorEastAsia" w:hAnsi="Arial" w:cs="Arial"/>
          <w:bdr w:val="none" w:sz="0" w:space="0" w:color="auto"/>
        </w:rPr>
        <w:t>(2), 631-639. doi:10.1148/radiol.2492071581; 10.1148/radiol.2492071581</w:t>
      </w:r>
    </w:p>
    <w:p w14:paraId="0611F7DA" w14:textId="77777777" w:rsidR="00D65CCC" w:rsidRPr="00CC7E17" w:rsidRDefault="00D65CCC"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Wong, F. Y., Leung, T. S., Austin, T., Wilkinson, M., Meek, J. H., Wyatt, J. S., et al. (2008). Impaired autoregulation in preterm infants identified by using spatially resolved spectroscopy.</w:t>
      </w:r>
      <w:r w:rsidRPr="00CC7E17">
        <w:rPr>
          <w:rFonts w:ascii="Arial" w:eastAsiaTheme="minorEastAsia" w:hAnsi="Arial" w:cs="Arial"/>
          <w:i/>
          <w:iCs/>
          <w:bdr w:val="none" w:sz="0" w:space="0" w:color="auto"/>
        </w:rPr>
        <w:t xml:space="preserve"> Pediatrics, 121</w:t>
      </w:r>
      <w:r w:rsidRPr="00CC7E17">
        <w:rPr>
          <w:rFonts w:ascii="Arial" w:eastAsiaTheme="minorEastAsia" w:hAnsi="Arial" w:cs="Arial"/>
          <w:bdr w:val="none" w:sz="0" w:space="0" w:color="auto"/>
        </w:rPr>
        <w:t>(3), e604-11. doi:10.1542/peds.2007-1487; 10.1542/peds.2007-1487</w:t>
      </w:r>
    </w:p>
    <w:p w14:paraId="3F20A9A5" w14:textId="7A5E22E2" w:rsidR="00D65CCC" w:rsidRPr="00CC7E17" w:rsidRDefault="00D65CCC" w:rsidP="0009624B">
      <w:pPr>
        <w:spacing w:line="360" w:lineRule="auto"/>
        <w:ind w:left="567" w:hanging="567"/>
        <w:rPr>
          <w:rFonts w:ascii="Arial" w:hAnsi="Arial" w:cs="Arial"/>
        </w:rPr>
      </w:pPr>
      <w:r w:rsidRPr="00CC7E17">
        <w:rPr>
          <w:rFonts w:ascii="Arial" w:eastAsiaTheme="minorEastAsia" w:hAnsi="Arial" w:cs="Arial"/>
          <w:bdr w:val="none" w:sz="0" w:space="0" w:color="auto"/>
        </w:rPr>
        <w:t>Woodward, L. J., Anderson, P. J., Austin, N. C., Howard, K., &amp; Inder, T. E. (2006). Neonatal MRI to predict neurodevelopmental outcomes in preterm infants.</w:t>
      </w:r>
      <w:r w:rsidRPr="00CC7E17">
        <w:rPr>
          <w:rFonts w:ascii="Arial" w:eastAsiaTheme="minorEastAsia" w:hAnsi="Arial" w:cs="Arial"/>
          <w:i/>
          <w:iCs/>
          <w:bdr w:val="none" w:sz="0" w:space="0" w:color="auto"/>
        </w:rPr>
        <w:t xml:space="preserve"> The New England Journal of Medicine, 355</w:t>
      </w:r>
      <w:r w:rsidRPr="00CC7E17">
        <w:rPr>
          <w:rFonts w:ascii="Arial" w:eastAsiaTheme="minorEastAsia" w:hAnsi="Arial" w:cs="Arial"/>
          <w:bdr w:val="none" w:sz="0" w:space="0" w:color="auto"/>
        </w:rPr>
        <w:t>(7), 685-694. doi:10.1056/NEJMoa053792</w:t>
      </w:r>
    </w:p>
    <w:p w14:paraId="0C8384C6" w14:textId="77777777" w:rsidR="00D65CCC" w:rsidRPr="00CC7E17" w:rsidRDefault="00D65CCC" w:rsidP="0009624B">
      <w:pPr>
        <w:pStyle w:val="Heading4"/>
        <w:spacing w:line="360" w:lineRule="auto"/>
        <w:rPr>
          <w:rFonts w:ascii="Arial" w:hAnsi="Arial" w:cs="Arial"/>
        </w:rPr>
      </w:pPr>
    </w:p>
    <w:p w14:paraId="5F780453" w14:textId="54A920DC" w:rsidR="006C5E8D" w:rsidRPr="00CC7E17" w:rsidRDefault="006C5E8D" w:rsidP="0009624B">
      <w:pPr>
        <w:pStyle w:val="Heading3"/>
        <w:spacing w:line="360" w:lineRule="auto"/>
        <w:rPr>
          <w:rFonts w:ascii="Arial" w:hAnsi="Arial" w:cs="Arial"/>
        </w:rPr>
      </w:pPr>
      <w:bookmarkStart w:id="52" w:name="_Toc286437136"/>
      <w:r w:rsidRPr="00CC7E17">
        <w:rPr>
          <w:rFonts w:ascii="Arial" w:hAnsi="Arial" w:cs="Arial"/>
        </w:rPr>
        <w:t>Articles deemed not of Interest – Meta- Analysis/Systematic Review</w:t>
      </w:r>
      <w:bookmarkEnd w:id="52"/>
      <w:r w:rsidRPr="00CC7E17">
        <w:rPr>
          <w:rFonts w:ascii="Arial" w:hAnsi="Arial" w:cs="Arial"/>
        </w:rPr>
        <w:t xml:space="preserve"> </w:t>
      </w:r>
    </w:p>
    <w:p w14:paraId="101D1A9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Barnett, K. N., McMurdo, M. E., Ogston, S. A., Morris, A. D., &amp; Evans, J. M. (2006). Mortality in people diagnosed with type 2 diabetes at an older age: A systematic review.</w:t>
      </w:r>
      <w:r w:rsidRPr="00CC7E17">
        <w:rPr>
          <w:rFonts w:ascii="Arial" w:eastAsiaTheme="minorEastAsia" w:hAnsi="Arial" w:cs="Arial"/>
          <w:i/>
          <w:iCs/>
          <w:bdr w:val="none" w:sz="0" w:space="0" w:color="auto"/>
        </w:rPr>
        <w:t xml:space="preserve"> Age and Ageing, 35</w:t>
      </w:r>
      <w:r w:rsidRPr="00CC7E17">
        <w:rPr>
          <w:rFonts w:ascii="Arial" w:eastAsiaTheme="minorEastAsia" w:hAnsi="Arial" w:cs="Arial"/>
          <w:bdr w:val="none" w:sz="0" w:space="0" w:color="auto"/>
        </w:rPr>
        <w:t>(5), 463-468. doi:10.1093/ageing/afl019</w:t>
      </w:r>
    </w:p>
    <w:p w14:paraId="47925A9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Barone, B. B., Yeh, H. C., Snyder, C. F., Peairs, K. S., Stein, K. B., Derr, R. L., et al. (2008). Long-term all-cause mortality in cancer patients with preexisting diabetes mellitus: A systematic review and meta-analysis.</w:t>
      </w:r>
      <w:r w:rsidRPr="00CC7E17">
        <w:rPr>
          <w:rFonts w:ascii="Arial" w:eastAsiaTheme="minorEastAsia" w:hAnsi="Arial" w:cs="Arial"/>
          <w:i/>
          <w:iCs/>
          <w:bdr w:val="none" w:sz="0" w:space="0" w:color="auto"/>
        </w:rPr>
        <w:t xml:space="preserve"> JAMA : The Journal of the American Medical Association, 300</w:t>
      </w:r>
      <w:r w:rsidRPr="00CC7E17">
        <w:rPr>
          <w:rFonts w:ascii="Arial" w:eastAsiaTheme="minorEastAsia" w:hAnsi="Arial" w:cs="Arial"/>
          <w:bdr w:val="none" w:sz="0" w:space="0" w:color="auto"/>
        </w:rPr>
        <w:t>(23), 2754-2764. doi:10.1001/jama.2008.824; 10.1001/jama.2008.824</w:t>
      </w:r>
    </w:p>
    <w:p w14:paraId="54AB1C9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Becattini, C., Vedovati, M. C., &amp; Agnelli, G. (2007). Prognostic value of troponins in acute pulmonary embolism: A meta-analysis.</w:t>
      </w:r>
      <w:r w:rsidRPr="00CC7E17">
        <w:rPr>
          <w:rFonts w:ascii="Arial" w:eastAsiaTheme="minorEastAsia" w:hAnsi="Arial" w:cs="Arial"/>
          <w:i/>
          <w:iCs/>
          <w:bdr w:val="none" w:sz="0" w:space="0" w:color="auto"/>
        </w:rPr>
        <w:t xml:space="preserve"> Circulation, 116</w:t>
      </w:r>
      <w:r w:rsidRPr="00CC7E17">
        <w:rPr>
          <w:rFonts w:ascii="Arial" w:eastAsiaTheme="minorEastAsia" w:hAnsi="Arial" w:cs="Arial"/>
          <w:bdr w:val="none" w:sz="0" w:space="0" w:color="auto"/>
        </w:rPr>
        <w:t>(4), 427-433. doi:10.1161/CIRCULATIONAHA.106.680421</w:t>
      </w:r>
    </w:p>
    <w:p w14:paraId="43759C3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Bellamy, L., Casas, J. P., Hingorani, A. D., &amp; Williams, D. J. (2007). Pre-eclampsia and risk of cardiovascular disease and cancer in later life: Systematic review and meta-analysis.</w:t>
      </w:r>
      <w:r w:rsidRPr="00CC7E17">
        <w:rPr>
          <w:rFonts w:ascii="Arial" w:eastAsiaTheme="minorEastAsia" w:hAnsi="Arial" w:cs="Arial"/>
          <w:i/>
          <w:iCs/>
          <w:bdr w:val="none" w:sz="0" w:space="0" w:color="auto"/>
        </w:rPr>
        <w:t xml:space="preserve"> BMJ (Clinical Research Ed.), 335</w:t>
      </w:r>
      <w:r w:rsidRPr="00CC7E17">
        <w:rPr>
          <w:rFonts w:ascii="Arial" w:eastAsiaTheme="minorEastAsia" w:hAnsi="Arial" w:cs="Arial"/>
          <w:bdr w:val="none" w:sz="0" w:space="0" w:color="auto"/>
        </w:rPr>
        <w:t>(7627), 974. doi:10.1136/bmj.39335.385301.BE</w:t>
      </w:r>
    </w:p>
    <w:p w14:paraId="11F7848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Boudville, N., Prasad, G. V., Knoll, G., Muirhead, N., Thiessen-Philbrook, H., Yang, R. C., et al. (2006). Meta-analysis: Risk for hypertension in living kidney donors.</w:t>
      </w:r>
      <w:r w:rsidRPr="00CC7E17">
        <w:rPr>
          <w:rFonts w:ascii="Arial" w:eastAsiaTheme="minorEastAsia" w:hAnsi="Arial" w:cs="Arial"/>
          <w:i/>
          <w:iCs/>
          <w:bdr w:val="none" w:sz="0" w:space="0" w:color="auto"/>
        </w:rPr>
        <w:t xml:space="preserve"> Annals of Internal Medicine, 145</w:t>
      </w:r>
      <w:r w:rsidRPr="00CC7E17">
        <w:rPr>
          <w:rFonts w:ascii="Arial" w:eastAsiaTheme="minorEastAsia" w:hAnsi="Arial" w:cs="Arial"/>
          <w:bdr w:val="none" w:sz="0" w:space="0" w:color="auto"/>
        </w:rPr>
        <w:t>(3), 185-196.</w:t>
      </w:r>
    </w:p>
    <w:p w14:paraId="5FA4545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Canavan, C., Abrams, K. R., &amp; Mayberry, J. (2006). Meta-analysis: Colorectal and small bowel cancer risk in patients with crohn's disease.</w:t>
      </w:r>
      <w:r w:rsidRPr="00CC7E17">
        <w:rPr>
          <w:rFonts w:ascii="Arial" w:eastAsiaTheme="minorEastAsia" w:hAnsi="Arial" w:cs="Arial"/>
          <w:i/>
          <w:iCs/>
          <w:bdr w:val="none" w:sz="0" w:space="0" w:color="auto"/>
        </w:rPr>
        <w:t xml:space="preserve"> Alimentary Pharmacology &amp; Therapeutics, 23</w:t>
      </w:r>
      <w:r w:rsidRPr="00CC7E17">
        <w:rPr>
          <w:rFonts w:ascii="Arial" w:eastAsiaTheme="minorEastAsia" w:hAnsi="Arial" w:cs="Arial"/>
          <w:bdr w:val="none" w:sz="0" w:space="0" w:color="auto"/>
        </w:rPr>
        <w:t>(8), 1097-1104. doi:10.1111/j.1365-2036.2006.02854.x</w:t>
      </w:r>
    </w:p>
    <w:p w14:paraId="3E44358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Chida, Y., &amp; Steptoe, A. (2009). The association of anger and hostility with future coronary heart disease: A meta-analytic review of prospective evidence.</w:t>
      </w:r>
      <w:r w:rsidRPr="00CC7E17">
        <w:rPr>
          <w:rFonts w:ascii="Arial" w:eastAsiaTheme="minorEastAsia" w:hAnsi="Arial" w:cs="Arial"/>
          <w:i/>
          <w:iCs/>
          <w:bdr w:val="none" w:sz="0" w:space="0" w:color="auto"/>
        </w:rPr>
        <w:t xml:space="preserve"> Journal of the American College of Cardiology, 53</w:t>
      </w:r>
      <w:r w:rsidRPr="00CC7E17">
        <w:rPr>
          <w:rFonts w:ascii="Arial" w:eastAsiaTheme="minorEastAsia" w:hAnsi="Arial" w:cs="Arial"/>
          <w:bdr w:val="none" w:sz="0" w:space="0" w:color="auto"/>
        </w:rPr>
        <w:t>(11), 936-946. doi:10.1016/j.jacc.2008.11.044; 10.1016/j.jacc.2008.11.044</w:t>
      </w:r>
    </w:p>
    <w:p w14:paraId="59C6E837"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Chitkara, D. K., Rawat, D. J., &amp; Talley, N. J. (2005). The epidemiology of childhood recurrent abdominal pain in western countries: A systematic review.</w:t>
      </w:r>
      <w:r w:rsidRPr="00CC7E17">
        <w:rPr>
          <w:rFonts w:ascii="Arial" w:eastAsiaTheme="minorEastAsia" w:hAnsi="Arial" w:cs="Arial"/>
          <w:i/>
          <w:iCs/>
          <w:bdr w:val="none" w:sz="0" w:space="0" w:color="auto"/>
        </w:rPr>
        <w:t xml:space="preserve"> The American Journal of Gastroenterology, 100</w:t>
      </w:r>
      <w:r w:rsidRPr="00CC7E17">
        <w:rPr>
          <w:rFonts w:ascii="Arial" w:eastAsiaTheme="minorEastAsia" w:hAnsi="Arial" w:cs="Arial"/>
          <w:bdr w:val="none" w:sz="0" w:space="0" w:color="auto"/>
        </w:rPr>
        <w:t>(8), 1868-1875. doi:10.1111/j.1572-0241.2005.41893.x</w:t>
      </w:r>
    </w:p>
    <w:p w14:paraId="3EC77433"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Cole, M. G., Ciampi, A., Belzile, E., &amp; Zhong, L. (2009). Persistent delirium in older hospital patients: A systematic review of frequency and prognosis.</w:t>
      </w:r>
      <w:r w:rsidRPr="00CC7E17">
        <w:rPr>
          <w:rFonts w:ascii="Arial" w:eastAsiaTheme="minorEastAsia" w:hAnsi="Arial" w:cs="Arial"/>
          <w:i/>
          <w:iCs/>
          <w:bdr w:val="none" w:sz="0" w:space="0" w:color="auto"/>
        </w:rPr>
        <w:t xml:space="preserve"> Age and Ageing, 38</w:t>
      </w:r>
      <w:r w:rsidRPr="00CC7E17">
        <w:rPr>
          <w:rFonts w:ascii="Arial" w:eastAsiaTheme="minorEastAsia" w:hAnsi="Arial" w:cs="Arial"/>
          <w:bdr w:val="none" w:sz="0" w:space="0" w:color="auto"/>
        </w:rPr>
        <w:t>(1), 19-26. doi:10.1093/ageing/afn253; 10.1093/ageing/afn253</w:t>
      </w:r>
    </w:p>
    <w:p w14:paraId="04C1A9C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Cornish, J., Tan, E., Teare, J., Teoh, T. G., Rai, R., Clark, S. K., et al. (2007). A meta-analysis on the influence of inflammatory bowel disease on pregnancy.</w:t>
      </w:r>
      <w:r w:rsidRPr="00CC7E17">
        <w:rPr>
          <w:rFonts w:ascii="Arial" w:eastAsiaTheme="minorEastAsia" w:hAnsi="Arial" w:cs="Arial"/>
          <w:i/>
          <w:iCs/>
          <w:bdr w:val="none" w:sz="0" w:space="0" w:color="auto"/>
        </w:rPr>
        <w:t xml:space="preserve"> Gut, 56</w:t>
      </w:r>
      <w:r w:rsidRPr="00CC7E17">
        <w:rPr>
          <w:rFonts w:ascii="Arial" w:eastAsiaTheme="minorEastAsia" w:hAnsi="Arial" w:cs="Arial"/>
          <w:bdr w:val="none" w:sz="0" w:space="0" w:color="auto"/>
        </w:rPr>
        <w:t>(6), 830-837. doi:10.1136/gut.2006.108324</w:t>
      </w:r>
    </w:p>
    <w:p w14:paraId="149B550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Dorn, S. D., &amp; Sandler, R. S. (2007). Inflammatory bowel disease is not a risk factor for cardiovascular disease mortality: Results from a systematic review and meta-analysis.</w:t>
      </w:r>
      <w:r w:rsidRPr="00CC7E17">
        <w:rPr>
          <w:rFonts w:ascii="Arial" w:eastAsiaTheme="minorEastAsia" w:hAnsi="Arial" w:cs="Arial"/>
          <w:i/>
          <w:iCs/>
          <w:bdr w:val="none" w:sz="0" w:space="0" w:color="auto"/>
        </w:rPr>
        <w:t xml:space="preserve"> The American Journal of Gastroenterology, 102</w:t>
      </w:r>
      <w:r w:rsidRPr="00CC7E17">
        <w:rPr>
          <w:rFonts w:ascii="Arial" w:eastAsiaTheme="minorEastAsia" w:hAnsi="Arial" w:cs="Arial"/>
          <w:bdr w:val="none" w:sz="0" w:space="0" w:color="auto"/>
        </w:rPr>
        <w:t>(3), 662-667. doi:10.1111/j.1572-0241.2006.01018.x</w:t>
      </w:r>
    </w:p>
    <w:p w14:paraId="261961D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Doust, J. A., Pietrzak, E., Dobson, A., &amp; Glasziou, P. (2005). How well does B-type natriuretic peptide predict death and cardiac events in patients with heart failure: Systematic review.</w:t>
      </w:r>
      <w:r w:rsidRPr="00CC7E17">
        <w:rPr>
          <w:rFonts w:ascii="Arial" w:eastAsiaTheme="minorEastAsia" w:hAnsi="Arial" w:cs="Arial"/>
          <w:i/>
          <w:iCs/>
          <w:bdr w:val="none" w:sz="0" w:space="0" w:color="auto"/>
        </w:rPr>
        <w:t xml:space="preserve"> BMJ (Clinical Research Ed.), 330</w:t>
      </w:r>
      <w:r w:rsidRPr="00CC7E17">
        <w:rPr>
          <w:rFonts w:ascii="Arial" w:eastAsiaTheme="minorEastAsia" w:hAnsi="Arial" w:cs="Arial"/>
          <w:bdr w:val="none" w:sz="0" w:space="0" w:color="auto"/>
        </w:rPr>
        <w:t>(7492), 625. doi:10.1136/bmj.330.7492.625</w:t>
      </w:r>
    </w:p>
    <w:p w14:paraId="36CBDB83"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Feigin, V. L., Lawes, C. M., Bennett, D. A., Barker-Collo, S. L., &amp; Parag, V. (2009). Worldwide stroke incidence and early case fatality reported in 56 population-based studies: A systematic review.</w:t>
      </w:r>
      <w:r w:rsidRPr="00CC7E17">
        <w:rPr>
          <w:rFonts w:ascii="Arial" w:eastAsiaTheme="minorEastAsia" w:hAnsi="Arial" w:cs="Arial"/>
          <w:i/>
          <w:iCs/>
          <w:bdr w:val="none" w:sz="0" w:space="0" w:color="auto"/>
        </w:rPr>
        <w:t xml:space="preserve"> The Lancet.Neurology, 8</w:t>
      </w:r>
      <w:r w:rsidRPr="00CC7E17">
        <w:rPr>
          <w:rFonts w:ascii="Arial" w:eastAsiaTheme="minorEastAsia" w:hAnsi="Arial" w:cs="Arial"/>
          <w:bdr w:val="none" w:sz="0" w:space="0" w:color="auto"/>
        </w:rPr>
        <w:t>(4), 355-369. doi:10.1016/S1474-4422(09)70025-0; 10.1016/S1474-4422(09)70025-0</w:t>
      </w:r>
    </w:p>
    <w:p w14:paraId="45B0F8F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Giles, M. F., &amp; Rothwell, P. M. (2007). Risk of stroke early after transient ischaemic attack: A systematic review and meta-analysis.</w:t>
      </w:r>
      <w:r w:rsidRPr="00CC7E17">
        <w:rPr>
          <w:rFonts w:ascii="Arial" w:eastAsiaTheme="minorEastAsia" w:hAnsi="Arial" w:cs="Arial"/>
          <w:i/>
          <w:iCs/>
          <w:bdr w:val="none" w:sz="0" w:space="0" w:color="auto"/>
        </w:rPr>
        <w:t xml:space="preserve"> The Lancet.Neurology, 6</w:t>
      </w:r>
      <w:r w:rsidRPr="00CC7E17">
        <w:rPr>
          <w:rFonts w:ascii="Arial" w:eastAsiaTheme="minorEastAsia" w:hAnsi="Arial" w:cs="Arial"/>
          <w:bdr w:val="none" w:sz="0" w:space="0" w:color="auto"/>
        </w:rPr>
        <w:t>(12), 1063-1072. doi:10.1016/S1474-4422(07)70274-0</w:t>
      </w:r>
    </w:p>
    <w:p w14:paraId="314C2DC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Groenveld, H. F., Januzzi, J. L., Damman, K., van Wijngaarden, J., Hillege, H. L., van Veldhuisen, D. J., et al. (2008). Anemia and mortality in heart failure patients a systematic review and meta-analysis.</w:t>
      </w:r>
      <w:r w:rsidRPr="00CC7E17">
        <w:rPr>
          <w:rFonts w:ascii="Arial" w:eastAsiaTheme="minorEastAsia" w:hAnsi="Arial" w:cs="Arial"/>
          <w:i/>
          <w:iCs/>
          <w:bdr w:val="none" w:sz="0" w:space="0" w:color="auto"/>
        </w:rPr>
        <w:t xml:space="preserve"> Journal of the American College of Cardiology, 52</w:t>
      </w:r>
      <w:r w:rsidRPr="00CC7E17">
        <w:rPr>
          <w:rFonts w:ascii="Arial" w:eastAsiaTheme="minorEastAsia" w:hAnsi="Arial" w:cs="Arial"/>
          <w:bdr w:val="none" w:sz="0" w:space="0" w:color="auto"/>
        </w:rPr>
        <w:t>(10), 818-827. doi:10.1016/j.jacc.2008.04.061; 10.1016/j.jacc.2008.04.061</w:t>
      </w:r>
    </w:p>
    <w:p w14:paraId="528492B7"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Hadidi, N., Treat-Jacobson, D. J., &amp; Lindquist, R. (2009). Poststroke depression and functional outcome: A critical review of literature.</w:t>
      </w:r>
      <w:r w:rsidRPr="00CC7E17">
        <w:rPr>
          <w:rFonts w:ascii="Arial" w:eastAsiaTheme="minorEastAsia" w:hAnsi="Arial" w:cs="Arial"/>
          <w:i/>
          <w:iCs/>
          <w:bdr w:val="none" w:sz="0" w:space="0" w:color="auto"/>
        </w:rPr>
        <w:t xml:space="preserve"> Heart &amp; Lung : The Journal of Critical Care, 38</w:t>
      </w:r>
      <w:r w:rsidRPr="00CC7E17">
        <w:rPr>
          <w:rFonts w:ascii="Arial" w:eastAsiaTheme="minorEastAsia" w:hAnsi="Arial" w:cs="Arial"/>
          <w:bdr w:val="none" w:sz="0" w:space="0" w:color="auto"/>
        </w:rPr>
        <w:t>(2), 151-162. doi:10.1016/j.hrtlng.2008.05.002; 10.1016/j.hrtlng.2008.05.002</w:t>
      </w:r>
    </w:p>
    <w:p w14:paraId="42FD608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Harrington, D. J., Redman, C. W., Moulden, M., &amp; Greenwood, C. E. (2007). The long-term outcome in surviving infants with apgar zero at 10 minutes: A systematic review of the literature and hospital-based cohort.</w:t>
      </w:r>
      <w:r w:rsidRPr="00CC7E17">
        <w:rPr>
          <w:rFonts w:ascii="Arial" w:eastAsiaTheme="minorEastAsia" w:hAnsi="Arial" w:cs="Arial"/>
          <w:i/>
          <w:iCs/>
          <w:bdr w:val="none" w:sz="0" w:space="0" w:color="auto"/>
        </w:rPr>
        <w:t xml:space="preserve"> American Journal of Obstetrics and Gynecology, 196</w:t>
      </w:r>
      <w:r w:rsidRPr="00CC7E17">
        <w:rPr>
          <w:rFonts w:ascii="Arial" w:eastAsiaTheme="minorEastAsia" w:hAnsi="Arial" w:cs="Arial"/>
          <w:bdr w:val="none" w:sz="0" w:space="0" w:color="auto"/>
        </w:rPr>
        <w:t>(5), 463.e1-463.e5. doi:10.1016/j.ajog.2006.10.877</w:t>
      </w:r>
    </w:p>
    <w:p w14:paraId="0D6C0F8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 W. K., Hankey, G. J., Quinlan, D. J., &amp; Eikelboom, J. W. (2006). Risk of recurrent venous thromboembolism in patients with common thrombophilia: A systematic review.</w:t>
      </w:r>
      <w:r w:rsidRPr="00CC7E17">
        <w:rPr>
          <w:rFonts w:ascii="Arial" w:eastAsiaTheme="minorEastAsia" w:hAnsi="Arial" w:cs="Arial"/>
          <w:i/>
          <w:iCs/>
          <w:bdr w:val="none" w:sz="0" w:space="0" w:color="auto"/>
        </w:rPr>
        <w:t xml:space="preserve"> Archives of Internal Medicine, 166</w:t>
      </w:r>
      <w:r w:rsidRPr="00CC7E17">
        <w:rPr>
          <w:rFonts w:ascii="Arial" w:eastAsiaTheme="minorEastAsia" w:hAnsi="Arial" w:cs="Arial"/>
          <w:bdr w:val="none" w:sz="0" w:space="0" w:color="auto"/>
        </w:rPr>
        <w:t>(7), 729-736. doi:10.1001/archinte.166.7.729</w:t>
      </w:r>
    </w:p>
    <w:p w14:paraId="059C7FA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Holloway, R. G., Benesch, C. G., Burgin, W. S., &amp; Zentner, J. B. (2005). Prognosis and decision making in severe stroke.</w:t>
      </w:r>
      <w:r w:rsidRPr="00CC7E17">
        <w:rPr>
          <w:rFonts w:ascii="Arial" w:eastAsiaTheme="minorEastAsia" w:hAnsi="Arial" w:cs="Arial"/>
          <w:i/>
          <w:iCs/>
          <w:bdr w:val="none" w:sz="0" w:space="0" w:color="auto"/>
        </w:rPr>
        <w:t xml:space="preserve"> JAMA : The Journal of the American Medical Association, 294</w:t>
      </w:r>
      <w:r w:rsidRPr="00CC7E17">
        <w:rPr>
          <w:rFonts w:ascii="Arial" w:eastAsiaTheme="minorEastAsia" w:hAnsi="Arial" w:cs="Arial"/>
          <w:bdr w:val="none" w:sz="0" w:space="0" w:color="auto"/>
        </w:rPr>
        <w:t>(6), 725-733. doi:10.1001/jama.294.6.725</w:t>
      </w:r>
    </w:p>
    <w:p w14:paraId="5FD988FF"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Hothi, D. K., Wade, A. S., Gilbert, R., &amp; Winyard, P. J. (2009). Mild fetal renal pelvis dilatation: Much ado about nothing?</w:t>
      </w:r>
      <w:r w:rsidRPr="00CC7E17">
        <w:rPr>
          <w:rFonts w:ascii="Arial" w:eastAsiaTheme="minorEastAsia" w:hAnsi="Arial" w:cs="Arial"/>
          <w:i/>
          <w:iCs/>
          <w:bdr w:val="none" w:sz="0" w:space="0" w:color="auto"/>
        </w:rPr>
        <w:t xml:space="preserve"> Clinical Journal of the American Society of Nephrology : CJASN, 4</w:t>
      </w:r>
      <w:r w:rsidRPr="00CC7E17">
        <w:rPr>
          <w:rFonts w:ascii="Arial" w:eastAsiaTheme="minorEastAsia" w:hAnsi="Arial" w:cs="Arial"/>
          <w:bdr w:val="none" w:sz="0" w:space="0" w:color="auto"/>
        </w:rPr>
        <w:t>(1), 168-177. doi:10.2215/CJN.00810208; 10.2215/CJN.00810208</w:t>
      </w:r>
    </w:p>
    <w:p w14:paraId="3769975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Jaakkola, J. J., Ahmed, P., Ieromnimon, A., Goepfert, P., Laiou, E., Quansah, R., et al. (2006). Preterm delivery and asthma: A systematic review and meta-analysis.</w:t>
      </w:r>
      <w:r w:rsidRPr="00CC7E17">
        <w:rPr>
          <w:rFonts w:ascii="Arial" w:eastAsiaTheme="minorEastAsia" w:hAnsi="Arial" w:cs="Arial"/>
          <w:i/>
          <w:iCs/>
          <w:bdr w:val="none" w:sz="0" w:space="0" w:color="auto"/>
        </w:rPr>
        <w:t xml:space="preserve"> The Journal of Allergy and Clinical Immunology, 118</w:t>
      </w:r>
      <w:r w:rsidRPr="00CC7E17">
        <w:rPr>
          <w:rFonts w:ascii="Arial" w:eastAsiaTheme="minorEastAsia" w:hAnsi="Arial" w:cs="Arial"/>
          <w:bdr w:val="none" w:sz="0" w:space="0" w:color="auto"/>
        </w:rPr>
        <w:t>(4), 823-830. doi:10.1016/j.jaci.2006.06.043</w:t>
      </w:r>
    </w:p>
    <w:p w14:paraId="68DFFCB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Kamal, S. M. (2008). Acute hepatitis C: A systematic review.</w:t>
      </w:r>
      <w:r w:rsidRPr="00CC7E17">
        <w:rPr>
          <w:rFonts w:ascii="Arial" w:eastAsiaTheme="minorEastAsia" w:hAnsi="Arial" w:cs="Arial"/>
          <w:i/>
          <w:iCs/>
          <w:bdr w:val="none" w:sz="0" w:space="0" w:color="auto"/>
        </w:rPr>
        <w:t xml:space="preserve"> The American Journal of Gastroenterology, 103</w:t>
      </w:r>
      <w:r w:rsidRPr="00CC7E17">
        <w:rPr>
          <w:rFonts w:ascii="Arial" w:eastAsiaTheme="minorEastAsia" w:hAnsi="Arial" w:cs="Arial"/>
          <w:bdr w:val="none" w:sz="0" w:space="0" w:color="auto"/>
        </w:rPr>
        <w:t>(5), 1283-97; quiz 1298. doi:10.1111/j.1572-0241.2008.01825.x; 10.1111/j.1572-0241.2008.01825.x</w:t>
      </w:r>
    </w:p>
    <w:p w14:paraId="73EEA19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Kamper, S. J., Rebbeck, T. J., Maher, C. G., McAuley, J. H., &amp; Sterling, M. (2008). Course and prognostic factors of whiplash: A systematic review and meta-analysis.</w:t>
      </w:r>
      <w:r w:rsidRPr="00CC7E17">
        <w:rPr>
          <w:rFonts w:ascii="Arial" w:eastAsiaTheme="minorEastAsia" w:hAnsi="Arial" w:cs="Arial"/>
          <w:i/>
          <w:iCs/>
          <w:bdr w:val="none" w:sz="0" w:space="0" w:color="auto"/>
        </w:rPr>
        <w:t xml:space="preserve"> Pain, 138</w:t>
      </w:r>
      <w:r w:rsidRPr="00CC7E17">
        <w:rPr>
          <w:rFonts w:ascii="Arial" w:eastAsiaTheme="minorEastAsia" w:hAnsi="Arial" w:cs="Arial"/>
          <w:bdr w:val="none" w:sz="0" w:space="0" w:color="auto"/>
        </w:rPr>
        <w:t>(3), 617-629. doi:10.1016/j.pain.2008.02.019; 10.1016/j.pain.2008.02.019</w:t>
      </w:r>
    </w:p>
    <w:p w14:paraId="24BAF98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Lanting, L. C., Joung, I. M., Mackenbach, J. P., Lamberts, S. W., &amp; Bootsma, A. H. (2005). Ethnic differences in mortality, end-stage complications, and quality of care among diabetic patients: A review.</w:t>
      </w:r>
      <w:r w:rsidRPr="00CC7E17">
        <w:rPr>
          <w:rFonts w:ascii="Arial" w:eastAsiaTheme="minorEastAsia" w:hAnsi="Arial" w:cs="Arial"/>
          <w:i/>
          <w:iCs/>
          <w:bdr w:val="none" w:sz="0" w:space="0" w:color="auto"/>
        </w:rPr>
        <w:t xml:space="preserve"> Diabetes Care, 28</w:t>
      </w:r>
      <w:r w:rsidRPr="00CC7E17">
        <w:rPr>
          <w:rFonts w:ascii="Arial" w:eastAsiaTheme="minorEastAsia" w:hAnsi="Arial" w:cs="Arial"/>
          <w:bdr w:val="none" w:sz="0" w:space="0" w:color="auto"/>
        </w:rPr>
        <w:t>(9), 2280-2288.</w:t>
      </w:r>
    </w:p>
    <w:p w14:paraId="34035C5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Licht-Strunk, E., van der Windt, D. A., van Marwijk, H. W., de Haan, M., &amp; Beekman, A. T. (2007). The prognosis of depression in older patients in general practice and the community. A systematic review.</w:t>
      </w:r>
      <w:r w:rsidRPr="00CC7E17">
        <w:rPr>
          <w:rFonts w:ascii="Arial" w:eastAsiaTheme="minorEastAsia" w:hAnsi="Arial" w:cs="Arial"/>
          <w:i/>
          <w:iCs/>
          <w:bdr w:val="none" w:sz="0" w:space="0" w:color="auto"/>
        </w:rPr>
        <w:t xml:space="preserve"> Family Practice, 24</w:t>
      </w:r>
      <w:r w:rsidRPr="00CC7E17">
        <w:rPr>
          <w:rFonts w:ascii="Arial" w:eastAsiaTheme="minorEastAsia" w:hAnsi="Arial" w:cs="Arial"/>
          <w:bdr w:val="none" w:sz="0" w:space="0" w:color="auto"/>
        </w:rPr>
        <w:t>(2), 168-180. doi:10.1093/fampra/cml071</w:t>
      </w:r>
    </w:p>
    <w:p w14:paraId="7FF9C36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Marsden, J., Gibson, L. M., Lightbody, C. E., Sharma, A. K., Siddiqi, M., &amp; Watkins, C. (2008). Can early onset bone loss be effectively managed in post-stroke patients? an integrative review of the evidence.</w:t>
      </w:r>
      <w:r w:rsidRPr="00CC7E17">
        <w:rPr>
          <w:rFonts w:ascii="Arial" w:eastAsiaTheme="minorEastAsia" w:hAnsi="Arial" w:cs="Arial"/>
          <w:i/>
          <w:iCs/>
          <w:bdr w:val="none" w:sz="0" w:space="0" w:color="auto"/>
        </w:rPr>
        <w:t xml:space="preserve"> Age and Ageing, 37</w:t>
      </w:r>
      <w:r w:rsidRPr="00CC7E17">
        <w:rPr>
          <w:rFonts w:ascii="Arial" w:eastAsiaTheme="minorEastAsia" w:hAnsi="Arial" w:cs="Arial"/>
          <w:bdr w:val="none" w:sz="0" w:space="0" w:color="auto"/>
        </w:rPr>
        <w:t>(2), 142-150. doi:10.1093/ageing/afm198; 10.1093/ageing/afm198</w:t>
      </w:r>
    </w:p>
    <w:p w14:paraId="2BCA2BC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Martinez-Gonzalez, N. A., &amp; Sudlow, C. L. (2006). Effects of apolipoprotein E genotype on outcome after ischaemic stroke, intracerebral haemorrhage and subarachnoid haemorrhage.</w:t>
      </w:r>
      <w:r w:rsidRPr="00CC7E17">
        <w:rPr>
          <w:rFonts w:ascii="Arial" w:eastAsiaTheme="minorEastAsia" w:hAnsi="Arial" w:cs="Arial"/>
          <w:i/>
          <w:iCs/>
          <w:bdr w:val="none" w:sz="0" w:space="0" w:color="auto"/>
        </w:rPr>
        <w:t xml:space="preserve"> Journal of Neurology, Neurosurgery, and Psychiatry, 77</w:t>
      </w:r>
      <w:r w:rsidRPr="00CC7E17">
        <w:rPr>
          <w:rFonts w:ascii="Arial" w:eastAsiaTheme="minorEastAsia" w:hAnsi="Arial" w:cs="Arial"/>
          <w:bdr w:val="none" w:sz="0" w:space="0" w:color="auto"/>
        </w:rPr>
        <w:t>(12), 1329-1335. doi:10.1136/jnnp.2006.097543</w:t>
      </w:r>
    </w:p>
    <w:p w14:paraId="05FF01D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McDonald, S. D., Han, Z., Walsh, M. W., Gerstein, H. C., &amp; Devereaux, P. J. (2010). Kidney disease after preeclampsia: A systematic review and meta-analysis.</w:t>
      </w:r>
      <w:r w:rsidRPr="00CC7E17">
        <w:rPr>
          <w:rFonts w:ascii="Arial" w:eastAsiaTheme="minorEastAsia" w:hAnsi="Arial" w:cs="Arial"/>
          <w:i/>
          <w:iCs/>
          <w:bdr w:val="none" w:sz="0" w:space="0" w:color="auto"/>
        </w:rPr>
        <w:t xml:space="preserve"> American Journal of Kidney Diseases : The Official Journal of the National Kidney Foundation, 55</w:t>
      </w:r>
      <w:r w:rsidRPr="00CC7E17">
        <w:rPr>
          <w:rFonts w:ascii="Arial" w:eastAsiaTheme="minorEastAsia" w:hAnsi="Arial" w:cs="Arial"/>
          <w:bdr w:val="none" w:sz="0" w:space="0" w:color="auto"/>
        </w:rPr>
        <w:t>(6), 1026-1039. doi:10.1053/j.ajkd.2009.12.036; 10.1053/j.ajkd.2009.12.036</w:t>
      </w:r>
    </w:p>
    <w:p w14:paraId="22F52DB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McRae, S., Tran, H., Schulman, S., Ginsberg, J., &amp; Kearon, C. (2006). Effect of patient's sex on risk of recurrent venous thromboembolism: A meta-analysis.</w:t>
      </w:r>
      <w:r w:rsidRPr="00CC7E17">
        <w:rPr>
          <w:rFonts w:ascii="Arial" w:eastAsiaTheme="minorEastAsia" w:hAnsi="Arial" w:cs="Arial"/>
          <w:i/>
          <w:iCs/>
          <w:bdr w:val="none" w:sz="0" w:space="0" w:color="auto"/>
        </w:rPr>
        <w:t xml:space="preserve"> Lancet, 368</w:t>
      </w:r>
      <w:r w:rsidRPr="00CC7E17">
        <w:rPr>
          <w:rFonts w:ascii="Arial" w:eastAsiaTheme="minorEastAsia" w:hAnsi="Arial" w:cs="Arial"/>
          <w:bdr w:val="none" w:sz="0" w:space="0" w:color="auto"/>
        </w:rPr>
        <w:t>(9533), 371-378. doi:10.1016/S0140-6736(06)69110-1</w:t>
      </w:r>
    </w:p>
    <w:p w14:paraId="32E8160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Mukhtyar, C., Flossmann, O., Hellmich, B., Bacon, P., Cid, M., Cohen-Tervaert, J. W., et al. (2008). Outcomes from studies of antineutrophil cytoplasm antibody associated vasculitis: A systematic review by the european league against rheumatism systemic vasculitis task force.</w:t>
      </w:r>
      <w:r w:rsidRPr="00CC7E17">
        <w:rPr>
          <w:rFonts w:ascii="Arial" w:eastAsiaTheme="minorEastAsia" w:hAnsi="Arial" w:cs="Arial"/>
          <w:i/>
          <w:iCs/>
          <w:bdr w:val="none" w:sz="0" w:space="0" w:color="auto"/>
        </w:rPr>
        <w:t xml:space="preserve"> Annals of the Rheumatic Diseases, 67</w:t>
      </w:r>
      <w:r w:rsidRPr="00CC7E17">
        <w:rPr>
          <w:rFonts w:ascii="Arial" w:eastAsiaTheme="minorEastAsia" w:hAnsi="Arial" w:cs="Arial"/>
          <w:bdr w:val="none" w:sz="0" w:space="0" w:color="auto"/>
        </w:rPr>
        <w:t>(7), 1004-1010. doi:10.1136/ard.2007.071936</w:t>
      </w:r>
    </w:p>
    <w:p w14:paraId="0CA1119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Narchi, H. (2005). Risk of long term renal impairment and duration of follow up recommended for henoch-schonlein purpura with normal or minimal urinary findings: A systematic review.</w:t>
      </w:r>
      <w:r w:rsidRPr="00CC7E17">
        <w:rPr>
          <w:rFonts w:ascii="Arial" w:eastAsiaTheme="minorEastAsia" w:hAnsi="Arial" w:cs="Arial"/>
          <w:i/>
          <w:iCs/>
          <w:bdr w:val="none" w:sz="0" w:space="0" w:color="auto"/>
        </w:rPr>
        <w:t xml:space="preserve"> Archives of Disease in Childhood, 90</w:t>
      </w:r>
      <w:r w:rsidRPr="00CC7E17">
        <w:rPr>
          <w:rFonts w:ascii="Arial" w:eastAsiaTheme="minorEastAsia" w:hAnsi="Arial" w:cs="Arial"/>
          <w:bdr w:val="none" w:sz="0" w:space="0" w:color="auto"/>
        </w:rPr>
        <w:t>(9), 916-920. doi:10.1136/adc.2005.074641</w:t>
      </w:r>
    </w:p>
    <w:p w14:paraId="1A2D611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Newman, D. J., Mattock, M. B., Dawnay, A. B., Kerry, S., McGuire, A., Yaqoob, M., et al. (2005). Systematic review on urine albumin testing for early detection of diabetic complications.</w:t>
      </w:r>
      <w:r w:rsidRPr="00CC7E17">
        <w:rPr>
          <w:rFonts w:ascii="Arial" w:eastAsiaTheme="minorEastAsia" w:hAnsi="Arial" w:cs="Arial"/>
          <w:i/>
          <w:iCs/>
          <w:bdr w:val="none" w:sz="0" w:space="0" w:color="auto"/>
        </w:rPr>
        <w:t xml:space="preserve"> Health Technology Assessment (Winchester, England), 9</w:t>
      </w:r>
      <w:r w:rsidRPr="00CC7E17">
        <w:rPr>
          <w:rFonts w:ascii="Arial" w:eastAsiaTheme="minorEastAsia" w:hAnsi="Arial" w:cs="Arial"/>
          <w:bdr w:val="none" w:sz="0" w:space="0" w:color="auto"/>
        </w:rPr>
        <w:t>(30), iii-vi, xiii-163.</w:t>
      </w:r>
    </w:p>
    <w:p w14:paraId="59F1A96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Nicholson, A., Kuper, H., &amp; Hemingway, H. (2006). Depression as an aetiologic and prognostic factor in coronary heart disease: A meta-analysis of 6362 events among 146 538 participants in 54 observational studies.</w:t>
      </w:r>
      <w:r w:rsidRPr="00CC7E17">
        <w:rPr>
          <w:rFonts w:ascii="Arial" w:eastAsiaTheme="minorEastAsia" w:hAnsi="Arial" w:cs="Arial"/>
          <w:i/>
          <w:iCs/>
          <w:bdr w:val="none" w:sz="0" w:space="0" w:color="auto"/>
        </w:rPr>
        <w:t xml:space="preserve"> European Heart Journal, 27</w:t>
      </w:r>
      <w:r w:rsidRPr="00CC7E17">
        <w:rPr>
          <w:rFonts w:ascii="Arial" w:eastAsiaTheme="minorEastAsia" w:hAnsi="Arial" w:cs="Arial"/>
          <w:bdr w:val="none" w:sz="0" w:space="0" w:color="auto"/>
        </w:rPr>
        <w:t>(23), 2763-2774. doi:10.1093/eurheartj/ehl338</w:t>
      </w:r>
    </w:p>
    <w:p w14:paraId="26FBF72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Nishimura, K., Sugiyama, D., Kogata, Y., Tsuji, G., Nakazawa, T., Kawano, S., et al. (2007). Meta-analysis: Diagnostic accuracy of anti-cyclic citrullinated peptide antibody and rheumatoid factor for rheumatoid arthritis.</w:t>
      </w:r>
      <w:r w:rsidRPr="00CC7E17">
        <w:rPr>
          <w:rFonts w:ascii="Arial" w:eastAsiaTheme="minorEastAsia" w:hAnsi="Arial" w:cs="Arial"/>
          <w:i/>
          <w:iCs/>
          <w:bdr w:val="none" w:sz="0" w:space="0" w:color="auto"/>
        </w:rPr>
        <w:t xml:space="preserve"> Annals of Internal Medicine, 146</w:t>
      </w:r>
      <w:r w:rsidRPr="00CC7E17">
        <w:rPr>
          <w:rFonts w:ascii="Arial" w:eastAsiaTheme="minorEastAsia" w:hAnsi="Arial" w:cs="Arial"/>
          <w:bdr w:val="none" w:sz="0" w:space="0" w:color="auto"/>
        </w:rPr>
        <w:t>(11), 797-808.</w:t>
      </w:r>
    </w:p>
    <w:p w14:paraId="2B44A7B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Oliveros, H., &amp; Villamor, E. (2008). Obesity and mortality in critically ill adults: A systematic review and meta-analysis.</w:t>
      </w:r>
      <w:r w:rsidRPr="00CC7E17">
        <w:rPr>
          <w:rFonts w:ascii="Arial" w:eastAsiaTheme="minorEastAsia" w:hAnsi="Arial" w:cs="Arial"/>
          <w:i/>
          <w:iCs/>
          <w:bdr w:val="none" w:sz="0" w:space="0" w:color="auto"/>
        </w:rPr>
        <w:t xml:space="preserve"> Obesity (Silver Spring, Md.), 16</w:t>
      </w:r>
      <w:r w:rsidRPr="00CC7E17">
        <w:rPr>
          <w:rFonts w:ascii="Arial" w:eastAsiaTheme="minorEastAsia" w:hAnsi="Arial" w:cs="Arial"/>
          <w:bdr w:val="none" w:sz="0" w:space="0" w:color="auto"/>
        </w:rPr>
        <w:t>(3), 515-521. doi:10.1038/oby.2007.102; 10.1038/oby.2007.102</w:t>
      </w:r>
    </w:p>
    <w:p w14:paraId="03E32BE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Phua, J., Badia, J. R., Adhikari, N. K., Friedrich, J. O., Fowler, R. A., Singh, J. M., et al. (2009). Has mortality from acute respiratory distress syndrome decreased over time?: A systematic review.</w:t>
      </w:r>
      <w:r w:rsidRPr="00CC7E17">
        <w:rPr>
          <w:rFonts w:ascii="Arial" w:eastAsiaTheme="minorEastAsia" w:hAnsi="Arial" w:cs="Arial"/>
          <w:i/>
          <w:iCs/>
          <w:bdr w:val="none" w:sz="0" w:space="0" w:color="auto"/>
        </w:rPr>
        <w:t xml:space="preserve"> American Journal of Respiratory and Critical Care Medicine, 179</w:t>
      </w:r>
      <w:r w:rsidRPr="00CC7E17">
        <w:rPr>
          <w:rFonts w:ascii="Arial" w:eastAsiaTheme="minorEastAsia" w:hAnsi="Arial" w:cs="Arial"/>
          <w:bdr w:val="none" w:sz="0" w:space="0" w:color="auto"/>
        </w:rPr>
        <w:t>(3), 220-227. doi:10.1164/rccm.200805-722OC; 10.1164/rccm.200805-722OC</w:t>
      </w:r>
    </w:p>
    <w:p w14:paraId="3D18835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Politi, M. C., Schleinitz, M. D., &amp; Col, N. F. (2008). Revisiting the duration of vasomotor symptoms of menopause: A meta-analysis.</w:t>
      </w:r>
      <w:r w:rsidRPr="00CC7E17">
        <w:rPr>
          <w:rFonts w:ascii="Arial" w:eastAsiaTheme="minorEastAsia" w:hAnsi="Arial" w:cs="Arial"/>
          <w:i/>
          <w:iCs/>
          <w:bdr w:val="none" w:sz="0" w:space="0" w:color="auto"/>
        </w:rPr>
        <w:t xml:space="preserve"> Journal of General Internal Medicine, 23</w:t>
      </w:r>
      <w:r w:rsidRPr="00CC7E17">
        <w:rPr>
          <w:rFonts w:ascii="Arial" w:eastAsiaTheme="minorEastAsia" w:hAnsi="Arial" w:cs="Arial"/>
          <w:bdr w:val="none" w:sz="0" w:space="0" w:color="auto"/>
        </w:rPr>
        <w:t>(9), 1507-1513. doi:10.1007/s11606-008-0655-4; 10.1007/s11606-008-0655-4</w:t>
      </w:r>
    </w:p>
    <w:p w14:paraId="707306C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Rachiotis, G., Savani, R., Brant, A., MacNeill, S. J., Newman Taylor, A., &amp; Cullinan, P. (2007). Outcome of occupational asthma after cessation of exposure: A systematic review.</w:t>
      </w:r>
      <w:r w:rsidRPr="00CC7E17">
        <w:rPr>
          <w:rFonts w:ascii="Arial" w:eastAsiaTheme="minorEastAsia" w:hAnsi="Arial" w:cs="Arial"/>
          <w:i/>
          <w:iCs/>
          <w:bdr w:val="none" w:sz="0" w:space="0" w:color="auto"/>
        </w:rPr>
        <w:t xml:space="preserve"> Thorax, 62</w:t>
      </w:r>
      <w:r w:rsidRPr="00CC7E17">
        <w:rPr>
          <w:rFonts w:ascii="Arial" w:eastAsiaTheme="minorEastAsia" w:hAnsi="Arial" w:cs="Arial"/>
          <w:bdr w:val="none" w:sz="0" w:space="0" w:color="auto"/>
        </w:rPr>
        <w:t>(2), 147-152. doi:10.1136/thx.2006.061952</w:t>
      </w:r>
    </w:p>
    <w:p w14:paraId="07D700C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Rahbari, N. N., Aigner, M., Thorlund, K., Mollberg, N., Motschall, E., Jensen, K., et al. (2010). Meta-analysis shows that detection of circulating tumor cells indicates poor prognosis in patients with colorectal cancer.</w:t>
      </w:r>
      <w:r w:rsidRPr="00CC7E17">
        <w:rPr>
          <w:rFonts w:ascii="Arial" w:eastAsiaTheme="minorEastAsia" w:hAnsi="Arial" w:cs="Arial"/>
          <w:i/>
          <w:iCs/>
          <w:bdr w:val="none" w:sz="0" w:space="0" w:color="auto"/>
        </w:rPr>
        <w:t xml:space="preserve"> Gastroenterology, 138</w:t>
      </w:r>
      <w:r w:rsidRPr="00CC7E17">
        <w:rPr>
          <w:rFonts w:ascii="Arial" w:eastAsiaTheme="minorEastAsia" w:hAnsi="Arial" w:cs="Arial"/>
          <w:bdr w:val="none" w:sz="0" w:space="0" w:color="auto"/>
        </w:rPr>
        <w:t>(5), 1714-1726. doi:10.1053/j.gastro.2010.01.008; 10.1053/j.gastro.2010.01.008</w:t>
      </w:r>
    </w:p>
    <w:p w14:paraId="5E45335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Saha, S., Chant, D., &amp; McGrath, J. (2007). A systematic review of mortality in schizophrenia: Is the differential mortality gap worsening over time?</w:t>
      </w:r>
      <w:r w:rsidRPr="00CC7E17">
        <w:rPr>
          <w:rFonts w:ascii="Arial" w:eastAsiaTheme="minorEastAsia" w:hAnsi="Arial" w:cs="Arial"/>
          <w:i/>
          <w:iCs/>
          <w:bdr w:val="none" w:sz="0" w:space="0" w:color="auto"/>
        </w:rPr>
        <w:t xml:space="preserve"> Archives of General Psychiatry, 64</w:t>
      </w:r>
      <w:r w:rsidRPr="00CC7E17">
        <w:rPr>
          <w:rFonts w:ascii="Arial" w:eastAsiaTheme="minorEastAsia" w:hAnsi="Arial" w:cs="Arial"/>
          <w:bdr w:val="none" w:sz="0" w:space="0" w:color="auto"/>
        </w:rPr>
        <w:t>(10), 1123-1131. doi:10.1001/archpsyc.64.10.1123</w:t>
      </w:r>
    </w:p>
    <w:p w14:paraId="1FCFB68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Schmitt, R., Coca, S., Kanbay, M., Tinetti, M. E., Cantley, L. G., &amp; Parikh, C. R. (2008). Recovery of kidney function after acute kidney injury in the elderly: A systematic review and meta-analysis.</w:t>
      </w:r>
      <w:r w:rsidRPr="00CC7E17">
        <w:rPr>
          <w:rFonts w:ascii="Arial" w:eastAsiaTheme="minorEastAsia" w:hAnsi="Arial" w:cs="Arial"/>
          <w:i/>
          <w:iCs/>
          <w:bdr w:val="none" w:sz="0" w:space="0" w:color="auto"/>
        </w:rPr>
        <w:t xml:space="preserve"> American Journal of Kidney Diseases : The Official Journal of the National Kidney Foundation, 52</w:t>
      </w:r>
      <w:r w:rsidRPr="00CC7E17">
        <w:rPr>
          <w:rFonts w:ascii="Arial" w:eastAsiaTheme="minorEastAsia" w:hAnsi="Arial" w:cs="Arial"/>
          <w:bdr w:val="none" w:sz="0" w:space="0" w:color="auto"/>
        </w:rPr>
        <w:t>(2), 262-271. doi:10.1053/j.ajkd.2008.03.005; 10.1053/j.ajkd.2008.03.005</w:t>
      </w:r>
    </w:p>
    <w:p w14:paraId="7E9905D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Schneider, H. J., Kreitschmann-Andermahr, I., Ghigo, E., Stalla, G. K., &amp; Agha, A. (2007). Hypothalamopituitary dysfunction following traumatic brain injury and aneurysmal subarachnoid hemorrhage: A systematic review.</w:t>
      </w:r>
      <w:r w:rsidRPr="00CC7E17">
        <w:rPr>
          <w:rFonts w:ascii="Arial" w:eastAsiaTheme="minorEastAsia" w:hAnsi="Arial" w:cs="Arial"/>
          <w:i/>
          <w:iCs/>
          <w:bdr w:val="none" w:sz="0" w:space="0" w:color="auto"/>
        </w:rPr>
        <w:t xml:space="preserve"> JAMA : The Journal of the American Medical Association, 298</w:t>
      </w:r>
      <w:r w:rsidRPr="00CC7E17">
        <w:rPr>
          <w:rFonts w:ascii="Arial" w:eastAsiaTheme="minorEastAsia" w:hAnsi="Arial" w:cs="Arial"/>
          <w:bdr w:val="none" w:sz="0" w:space="0" w:color="auto"/>
        </w:rPr>
        <w:t>(12), 1429-1438. doi:10.1001/jama.298.12.1429</w:t>
      </w:r>
    </w:p>
    <w:p w14:paraId="4F812167"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Snaphaan, L., &amp; de Leeuw, F. E. (2007). Poststroke memory function in nondemented patients: A systematic review on frequency and neuroimaging correlates.</w:t>
      </w:r>
      <w:r w:rsidRPr="00CC7E17">
        <w:rPr>
          <w:rFonts w:ascii="Arial" w:eastAsiaTheme="minorEastAsia" w:hAnsi="Arial" w:cs="Arial"/>
          <w:i/>
          <w:iCs/>
          <w:bdr w:val="none" w:sz="0" w:space="0" w:color="auto"/>
        </w:rPr>
        <w:t xml:space="preserve"> Stroke; a Journal of Cerebral Circulation, 38</w:t>
      </w:r>
      <w:r w:rsidRPr="00CC7E17">
        <w:rPr>
          <w:rFonts w:ascii="Arial" w:eastAsiaTheme="minorEastAsia" w:hAnsi="Arial" w:cs="Arial"/>
          <w:bdr w:val="none" w:sz="0" w:space="0" w:color="auto"/>
        </w:rPr>
        <w:t>(1), 198-203. doi:10.1161/01.STR.0000251842.34322.8f</w:t>
      </w:r>
    </w:p>
    <w:p w14:paraId="27EB5DA3"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Stolz, E., Cioli, F., Allendoerfer, J., Gerriets, T., Del Sette, M., &amp; Kaps, M. (2008). Can early neurosonology predict outcome in acute stroke?: A metaanalysis of prognostic clinical effect sizes related to the vascular status.</w:t>
      </w:r>
      <w:r w:rsidRPr="00CC7E17">
        <w:rPr>
          <w:rFonts w:ascii="Arial" w:eastAsiaTheme="minorEastAsia" w:hAnsi="Arial" w:cs="Arial"/>
          <w:i/>
          <w:iCs/>
          <w:bdr w:val="none" w:sz="0" w:space="0" w:color="auto"/>
        </w:rPr>
        <w:t xml:space="preserve"> Stroke; a Journal of Cerebral Circulation, 39</w:t>
      </w:r>
      <w:r w:rsidRPr="00CC7E17">
        <w:rPr>
          <w:rFonts w:ascii="Arial" w:eastAsiaTheme="minorEastAsia" w:hAnsi="Arial" w:cs="Arial"/>
          <w:bdr w:val="none" w:sz="0" w:space="0" w:color="auto"/>
        </w:rPr>
        <w:t>(12), 3255-3261. doi:10.1161/STROKEAHA.108.522714; 10.1161/STROKEAHA.108.522714</w:t>
      </w:r>
    </w:p>
    <w:p w14:paraId="0B73FB4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Stroke Risk in Atrial Fibrillation Working Group. (2007). Independent predictors of stroke in patients with atrial fibrillation: A systematic review.</w:t>
      </w:r>
      <w:r w:rsidRPr="00CC7E17">
        <w:rPr>
          <w:rFonts w:ascii="Arial" w:eastAsiaTheme="minorEastAsia" w:hAnsi="Arial" w:cs="Arial"/>
          <w:i/>
          <w:iCs/>
          <w:bdr w:val="none" w:sz="0" w:space="0" w:color="auto"/>
        </w:rPr>
        <w:t xml:space="preserve"> Neurology, 69</w:t>
      </w:r>
      <w:r w:rsidRPr="00CC7E17">
        <w:rPr>
          <w:rFonts w:ascii="Arial" w:eastAsiaTheme="minorEastAsia" w:hAnsi="Arial" w:cs="Arial"/>
          <w:bdr w:val="none" w:sz="0" w:space="0" w:color="auto"/>
        </w:rPr>
        <w:t>(6), 546-554. doi:10.1212/01.wnl.0000267275.68538.8d</w:t>
      </w:r>
    </w:p>
    <w:p w14:paraId="7B7C7E9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Sutcliffe, P., Hummel, S., Simpson, E., Young, T., Rees, A., Wilkinson, A., et al. (2009). Use of classical and novel biomarkers as prognostic risk factors for localised prostate cancer: A systematic review.</w:t>
      </w:r>
      <w:r w:rsidRPr="00CC7E17">
        <w:rPr>
          <w:rFonts w:ascii="Arial" w:eastAsiaTheme="minorEastAsia" w:hAnsi="Arial" w:cs="Arial"/>
          <w:i/>
          <w:iCs/>
          <w:bdr w:val="none" w:sz="0" w:space="0" w:color="auto"/>
        </w:rPr>
        <w:t xml:space="preserve"> Health Technology Assessment (Winchester, England), 13</w:t>
      </w:r>
      <w:r w:rsidRPr="00CC7E17">
        <w:rPr>
          <w:rFonts w:ascii="Arial" w:eastAsiaTheme="minorEastAsia" w:hAnsi="Arial" w:cs="Arial"/>
          <w:bdr w:val="none" w:sz="0" w:space="0" w:color="auto"/>
        </w:rPr>
        <w:t>(5), iii, xi-xiii 1-219. doi:10.3310/hta13050; 10.3310/hta13050</w:t>
      </w:r>
    </w:p>
    <w:p w14:paraId="7210EA2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Tanamas, S., Hanna, F. S., Cicuttini, F. M., Wluka, A. E., Berry, P., &amp; Urquhart, D. M. (2009). Does knee malalignment increase the risk of development and progression of knee osteoarthritis? A systematic review.</w:t>
      </w:r>
      <w:r w:rsidRPr="00CC7E17">
        <w:rPr>
          <w:rFonts w:ascii="Arial" w:eastAsiaTheme="minorEastAsia" w:hAnsi="Arial" w:cs="Arial"/>
          <w:i/>
          <w:iCs/>
          <w:bdr w:val="none" w:sz="0" w:space="0" w:color="auto"/>
        </w:rPr>
        <w:t xml:space="preserve"> Arthritis and Rheumatism, 61</w:t>
      </w:r>
      <w:r w:rsidRPr="00CC7E17">
        <w:rPr>
          <w:rFonts w:ascii="Arial" w:eastAsiaTheme="minorEastAsia" w:hAnsi="Arial" w:cs="Arial"/>
          <w:bdr w:val="none" w:sz="0" w:space="0" w:color="auto"/>
        </w:rPr>
        <w:t>(4), 459-467. doi:10.1002/art.24336; 10.1002/art.24336</w:t>
      </w:r>
    </w:p>
    <w:p w14:paraId="0DF3B3B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Thabane, M., Kottachchi, D. T., &amp; Marshall, J. K. (2007). Systematic review and meta-analysis: The incidence and prognosis of post-infectious irritable bowel syndrome.</w:t>
      </w:r>
      <w:r w:rsidRPr="00CC7E17">
        <w:rPr>
          <w:rFonts w:ascii="Arial" w:eastAsiaTheme="minorEastAsia" w:hAnsi="Arial" w:cs="Arial"/>
          <w:i/>
          <w:iCs/>
          <w:bdr w:val="none" w:sz="0" w:space="0" w:color="auto"/>
        </w:rPr>
        <w:t xml:space="preserve"> Alimentary Pharmacology &amp; Therapeutics, 26</w:t>
      </w:r>
      <w:r w:rsidRPr="00CC7E17">
        <w:rPr>
          <w:rFonts w:ascii="Arial" w:eastAsiaTheme="minorEastAsia" w:hAnsi="Arial" w:cs="Arial"/>
          <w:bdr w:val="none" w:sz="0" w:space="0" w:color="auto"/>
        </w:rPr>
        <w:t>(4), 535-544. doi:10.1111/j.1365-2036.2007.03399.x</w:t>
      </w:r>
    </w:p>
    <w:p w14:paraId="594202F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Thakkar, K., Boatright, R. O., Gilger, M. A., &amp; El-Serag, H. B. (2010). Gastroesophageal reflux and asthma in children: A systematic review.</w:t>
      </w:r>
      <w:r w:rsidRPr="00CC7E17">
        <w:rPr>
          <w:rFonts w:ascii="Arial" w:eastAsiaTheme="minorEastAsia" w:hAnsi="Arial" w:cs="Arial"/>
          <w:i/>
          <w:iCs/>
          <w:bdr w:val="none" w:sz="0" w:space="0" w:color="auto"/>
        </w:rPr>
        <w:t xml:space="preserve"> Pediatrics, 125</w:t>
      </w:r>
      <w:r w:rsidRPr="00CC7E17">
        <w:rPr>
          <w:rFonts w:ascii="Arial" w:eastAsiaTheme="minorEastAsia" w:hAnsi="Arial" w:cs="Arial"/>
          <w:bdr w:val="none" w:sz="0" w:space="0" w:color="auto"/>
        </w:rPr>
        <w:t>(4), e925-30. doi:10.1542/peds.2009-2382; 10.1542/peds.2009-2382</w:t>
      </w:r>
    </w:p>
    <w:p w14:paraId="547994C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Thomas, T., Abrams, K. A., Robinson, R. J., &amp; Mayberry, J. F. (2007). Meta-analysis: Cancer risk of low-grade dysplasia in chronic ulcerative colitis.</w:t>
      </w:r>
      <w:r w:rsidRPr="00CC7E17">
        <w:rPr>
          <w:rFonts w:ascii="Arial" w:eastAsiaTheme="minorEastAsia" w:hAnsi="Arial" w:cs="Arial"/>
          <w:i/>
          <w:iCs/>
          <w:bdr w:val="none" w:sz="0" w:space="0" w:color="auto"/>
        </w:rPr>
        <w:t xml:space="preserve"> Alimentary Pharmacology &amp; Therapeutics, 25</w:t>
      </w:r>
      <w:r w:rsidRPr="00CC7E17">
        <w:rPr>
          <w:rFonts w:ascii="Arial" w:eastAsiaTheme="minorEastAsia" w:hAnsi="Arial" w:cs="Arial"/>
          <w:bdr w:val="none" w:sz="0" w:space="0" w:color="auto"/>
        </w:rPr>
        <w:t>(6), 657-668. doi:10.1111/j.1365-2036.2007.03241.x</w:t>
      </w:r>
    </w:p>
    <w:p w14:paraId="574C78B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der Bilt, I. A., Hasan, D., Vandertop, W. P., Wilde, A. A., Algra, A., Visser, F. C., et al. (2009). Impact of cardiac complications on outcome after aneurysmal subarachnoid hemorrhage: A meta-analysis.</w:t>
      </w:r>
      <w:r w:rsidRPr="00CC7E17">
        <w:rPr>
          <w:rFonts w:ascii="Arial" w:eastAsiaTheme="minorEastAsia" w:hAnsi="Arial" w:cs="Arial"/>
          <w:i/>
          <w:iCs/>
          <w:bdr w:val="none" w:sz="0" w:space="0" w:color="auto"/>
        </w:rPr>
        <w:t xml:space="preserve"> Neurology, 72</w:t>
      </w:r>
      <w:r w:rsidRPr="00CC7E17">
        <w:rPr>
          <w:rFonts w:ascii="Arial" w:eastAsiaTheme="minorEastAsia" w:hAnsi="Arial" w:cs="Arial"/>
          <w:bdr w:val="none" w:sz="0" w:space="0" w:color="auto"/>
        </w:rPr>
        <w:t>(7), 635-642. doi:10.1212/01.wnl.0000342471.07290.07; 10.1212/01.wnl.0000342471.07290.07</w:t>
      </w:r>
    </w:p>
    <w:p w14:paraId="2BC0050F"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der Hulst, A. E., Klip, H., &amp; Brand, P. L. (2007). Risk of developing asthma in young children with atopic eczema: A systematic review.</w:t>
      </w:r>
      <w:r w:rsidRPr="00CC7E17">
        <w:rPr>
          <w:rFonts w:ascii="Arial" w:eastAsiaTheme="minorEastAsia" w:hAnsi="Arial" w:cs="Arial"/>
          <w:i/>
          <w:iCs/>
          <w:bdr w:val="none" w:sz="0" w:space="0" w:color="auto"/>
        </w:rPr>
        <w:t xml:space="preserve"> The Journal of Allergy and Clinical Immunology, 120</w:t>
      </w:r>
      <w:r w:rsidRPr="00CC7E17">
        <w:rPr>
          <w:rFonts w:ascii="Arial" w:eastAsiaTheme="minorEastAsia" w:hAnsi="Arial" w:cs="Arial"/>
          <w:bdr w:val="none" w:sz="0" w:space="0" w:color="auto"/>
        </w:rPr>
        <w:t>(3), 565-569. doi:10.1016/j.jaci.2007.05.042</w:t>
      </w:r>
    </w:p>
    <w:p w14:paraId="008EDE9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Rijn, R. M., van Os, A. G., Bernsen, R. M., Luijsterburg, P. A., Koes, B. W., &amp; Bierma-Zeinstra, S. M. (2008). What is the clinical course of acute ankle sprains? A systematic literature review.</w:t>
      </w:r>
      <w:r w:rsidRPr="00CC7E17">
        <w:rPr>
          <w:rFonts w:ascii="Arial" w:eastAsiaTheme="minorEastAsia" w:hAnsi="Arial" w:cs="Arial"/>
          <w:i/>
          <w:iCs/>
          <w:bdr w:val="none" w:sz="0" w:space="0" w:color="auto"/>
        </w:rPr>
        <w:t xml:space="preserve"> The American Journal of Medicine, 121</w:t>
      </w:r>
      <w:r w:rsidRPr="00CC7E17">
        <w:rPr>
          <w:rFonts w:ascii="Arial" w:eastAsiaTheme="minorEastAsia" w:hAnsi="Arial" w:cs="Arial"/>
          <w:bdr w:val="none" w:sz="0" w:space="0" w:color="auto"/>
        </w:rPr>
        <w:t>(4), 324-331.e6. doi:10.1016/j.amjmed.2007.11.018; 10.1016/j.amjmed.2007.11.018</w:t>
      </w:r>
    </w:p>
    <w:p w14:paraId="03FE7EB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Vermeer, S. E., Longstreth, W. T.,Jr, &amp; Koudstaal, P. J. (2007). Silent brain infarcts: A systematic review.</w:t>
      </w:r>
      <w:r w:rsidRPr="00CC7E17">
        <w:rPr>
          <w:rFonts w:ascii="Arial" w:eastAsiaTheme="minorEastAsia" w:hAnsi="Arial" w:cs="Arial"/>
          <w:i/>
          <w:iCs/>
          <w:bdr w:val="none" w:sz="0" w:space="0" w:color="auto"/>
        </w:rPr>
        <w:t xml:space="preserve"> The Lancet.Neurology, 6</w:t>
      </w:r>
      <w:r w:rsidRPr="00CC7E17">
        <w:rPr>
          <w:rFonts w:ascii="Arial" w:eastAsiaTheme="minorEastAsia" w:hAnsi="Arial" w:cs="Arial"/>
          <w:bdr w:val="none" w:sz="0" w:space="0" w:color="auto"/>
        </w:rPr>
        <w:t>(7), 611-619. doi:10.1016/S1474-4422(07)70170-9</w:t>
      </w:r>
    </w:p>
    <w:p w14:paraId="55509C0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Wu, C. M., McLaughlin, K., Lorenzetti, D. L., Hill, M. D., Manns, B. J., &amp; Ghali, W. A. (2007). Early risk of stroke after transient ischemic attack: A systematic review and meta-analysis.</w:t>
      </w:r>
      <w:r w:rsidRPr="00CC7E17">
        <w:rPr>
          <w:rFonts w:ascii="Arial" w:eastAsiaTheme="minorEastAsia" w:hAnsi="Arial" w:cs="Arial"/>
          <w:i/>
          <w:iCs/>
          <w:bdr w:val="none" w:sz="0" w:space="0" w:color="auto"/>
        </w:rPr>
        <w:t xml:space="preserve"> Archives of Internal Medicine, 167</w:t>
      </w:r>
      <w:r w:rsidRPr="00CC7E17">
        <w:rPr>
          <w:rFonts w:ascii="Arial" w:eastAsiaTheme="minorEastAsia" w:hAnsi="Arial" w:cs="Arial"/>
          <w:bdr w:val="none" w:sz="0" w:space="0" w:color="auto"/>
        </w:rPr>
        <w:t>(22), 2417-2422. doi:10.1001/archinte.167.22.2417</w:t>
      </w:r>
    </w:p>
    <w:p w14:paraId="107ECAE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Young, G., Albisetti, M., Bonduel, M., Brandao, L., Chan, A., Friedrichs, F., et al. (2008). Impact of inherited thrombophilia on venous thromboembolism in children: A systematic review and meta-analysis of observational studies.</w:t>
      </w:r>
      <w:r w:rsidRPr="00CC7E17">
        <w:rPr>
          <w:rFonts w:ascii="Arial" w:eastAsiaTheme="minorEastAsia" w:hAnsi="Arial" w:cs="Arial"/>
          <w:i/>
          <w:iCs/>
          <w:bdr w:val="none" w:sz="0" w:space="0" w:color="auto"/>
        </w:rPr>
        <w:t xml:space="preserve"> Circulation, 118</w:t>
      </w:r>
      <w:r w:rsidRPr="00CC7E17">
        <w:rPr>
          <w:rFonts w:ascii="Arial" w:eastAsiaTheme="minorEastAsia" w:hAnsi="Arial" w:cs="Arial"/>
          <w:bdr w:val="none" w:sz="0" w:space="0" w:color="auto"/>
        </w:rPr>
        <w:t>(13), 1373-1382. doi:10.1161/CIRCULATIONAHA.108.789008; 10.1161/CIRCULATIONAHA.108.789008</w:t>
      </w:r>
    </w:p>
    <w:p w14:paraId="6B3B2BB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Yousef, F., Cardwell, C., Cantwell, M. M., Galway, K., Johnston, B. T., &amp; Murray, L. (2008). The incidence of esophageal cancer and high-grade dysplasia in barrett's esophagus: A systematic review and meta-analysis.</w:t>
      </w:r>
      <w:r w:rsidRPr="00CC7E17">
        <w:rPr>
          <w:rFonts w:ascii="Arial" w:eastAsiaTheme="minorEastAsia" w:hAnsi="Arial" w:cs="Arial"/>
          <w:i/>
          <w:iCs/>
          <w:bdr w:val="none" w:sz="0" w:space="0" w:color="auto"/>
        </w:rPr>
        <w:t xml:space="preserve"> American Journal of Epidemiology, 168</w:t>
      </w:r>
      <w:r w:rsidRPr="00CC7E17">
        <w:rPr>
          <w:rFonts w:ascii="Arial" w:eastAsiaTheme="minorEastAsia" w:hAnsi="Arial" w:cs="Arial"/>
          <w:bdr w:val="none" w:sz="0" w:space="0" w:color="auto"/>
        </w:rPr>
        <w:t>(3), 237-249. doi:10.1093/aje/kwn121; 10.1093/aje/kwn121</w:t>
      </w:r>
    </w:p>
    <w:p w14:paraId="1B01AB5A" w14:textId="58096BAA" w:rsidR="00D65CCC" w:rsidRPr="00CC7E17" w:rsidRDefault="00544F95" w:rsidP="0009624B">
      <w:pPr>
        <w:pStyle w:val="NoSpacing"/>
        <w:spacing w:line="360" w:lineRule="auto"/>
        <w:ind w:left="567" w:hanging="567"/>
        <w:rPr>
          <w:rFonts w:ascii="Arial" w:hAnsi="Arial" w:cs="Arial"/>
        </w:rPr>
      </w:pPr>
      <w:r w:rsidRPr="00CC7E17">
        <w:rPr>
          <w:rFonts w:ascii="Arial" w:hAnsi="Arial" w:cs="Arial"/>
          <w:bdr w:val="none" w:sz="0" w:space="0" w:color="auto"/>
        </w:rPr>
        <w:t>Zintzaras, E., &amp; Kaditis, A. G. (2007). Sleep-disordered breathing and blood pressure in children: A meta-analysis.</w:t>
      </w:r>
      <w:r w:rsidRPr="00CC7E17">
        <w:rPr>
          <w:rFonts w:ascii="Arial" w:hAnsi="Arial" w:cs="Arial"/>
          <w:i/>
          <w:iCs/>
          <w:bdr w:val="none" w:sz="0" w:space="0" w:color="auto"/>
        </w:rPr>
        <w:t xml:space="preserve"> Archives of Pediatrics &amp; Adolescent Medicine, 161</w:t>
      </w:r>
      <w:r w:rsidRPr="00CC7E17">
        <w:rPr>
          <w:rFonts w:ascii="Arial" w:hAnsi="Arial" w:cs="Arial"/>
          <w:bdr w:val="none" w:sz="0" w:space="0" w:color="auto"/>
        </w:rPr>
        <w:t>(2), 172-178. doi:10.1001/archpedi.161.2.172</w:t>
      </w:r>
    </w:p>
    <w:p w14:paraId="11A727A8" w14:textId="2D106FF0" w:rsidR="006C5E8D" w:rsidRPr="00CC7E17" w:rsidRDefault="006C5E8D" w:rsidP="0009624B">
      <w:pPr>
        <w:pStyle w:val="Heading3"/>
        <w:spacing w:line="360" w:lineRule="auto"/>
        <w:rPr>
          <w:rFonts w:ascii="Arial" w:hAnsi="Arial" w:cs="Arial"/>
        </w:rPr>
      </w:pPr>
      <w:bookmarkStart w:id="53" w:name="_Toc286437137"/>
      <w:r w:rsidRPr="00CC7E17">
        <w:rPr>
          <w:rFonts w:ascii="Arial" w:hAnsi="Arial" w:cs="Arial"/>
        </w:rPr>
        <w:t>Articles Deemed not of Interest – No absolute information</w:t>
      </w:r>
      <w:bookmarkEnd w:id="53"/>
      <w:r w:rsidRPr="00CC7E17">
        <w:rPr>
          <w:rFonts w:ascii="Arial" w:hAnsi="Arial" w:cs="Arial"/>
        </w:rPr>
        <w:t xml:space="preserve"> </w:t>
      </w:r>
    </w:p>
    <w:p w14:paraId="239E87C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Akeson, M., Zetterqvist, B. M., Dahllof, K., Brannstrom, M., &amp; Horvath, G. (2008). Effect of adjuvant paclitaxel and carboplatin for advanced stage epithelial ovarian cancer: A population-based cohort study of all patients in western sweden with long-term follow-up.</w:t>
      </w:r>
      <w:r w:rsidRPr="00CC7E17">
        <w:rPr>
          <w:rFonts w:ascii="Arial" w:eastAsiaTheme="minorEastAsia" w:hAnsi="Arial" w:cs="Arial"/>
          <w:i/>
          <w:iCs/>
          <w:bdr w:val="none" w:sz="0" w:space="0" w:color="auto"/>
        </w:rPr>
        <w:t xml:space="preserve"> Acta Obstetricia Et Gynecologica Scandinavica, 87</w:t>
      </w:r>
      <w:r w:rsidRPr="00CC7E17">
        <w:rPr>
          <w:rFonts w:ascii="Arial" w:eastAsiaTheme="minorEastAsia" w:hAnsi="Arial" w:cs="Arial"/>
          <w:bdr w:val="none" w:sz="0" w:space="0" w:color="auto"/>
        </w:rPr>
        <w:t>(12), 1343-1352. doi:10.1080/00016340802495491; 10.1080/00016340802495491</w:t>
      </w:r>
    </w:p>
    <w:p w14:paraId="13CB804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Andrejak, C., Thomsen, V. O., Johansen, I. S., Riis, A., Benfield, T. L., Duhaut, P., et al. (2010). Nontuberculous pulmonary mycobacteriosis in denmark: Incidence and prognostic factors.</w:t>
      </w:r>
      <w:r w:rsidRPr="00CC7E17">
        <w:rPr>
          <w:rFonts w:ascii="Arial" w:eastAsiaTheme="minorEastAsia" w:hAnsi="Arial" w:cs="Arial"/>
          <w:i/>
          <w:iCs/>
          <w:bdr w:val="none" w:sz="0" w:space="0" w:color="auto"/>
        </w:rPr>
        <w:t xml:space="preserve"> American Journal of Respiratory and Critical Care Medicine, 181</w:t>
      </w:r>
      <w:r w:rsidRPr="00CC7E17">
        <w:rPr>
          <w:rFonts w:ascii="Arial" w:eastAsiaTheme="minorEastAsia" w:hAnsi="Arial" w:cs="Arial"/>
          <w:bdr w:val="none" w:sz="0" w:space="0" w:color="auto"/>
        </w:rPr>
        <w:t>(5), 514-521. doi:10.1164/rccm.200905-0778OC; 10.1164/rccm.200905-0778OC</w:t>
      </w:r>
    </w:p>
    <w:p w14:paraId="010543B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Arendt, M., Rosenberg, R., Foldager, L., Perto, G., &amp; Munk-Jorgensen, P. (2005). Cannabis-induced psychosis and subsequent schizophrenia-spectrum disorders: Follow-up study of 535 incident cases.</w:t>
      </w:r>
      <w:r w:rsidRPr="00CC7E17">
        <w:rPr>
          <w:rFonts w:ascii="Arial" w:eastAsiaTheme="minorEastAsia" w:hAnsi="Arial" w:cs="Arial"/>
          <w:i/>
          <w:iCs/>
          <w:bdr w:val="none" w:sz="0" w:space="0" w:color="auto"/>
        </w:rPr>
        <w:t xml:space="preserve"> The British Journal of Psychiatry : The Journal of Mental Science, 187</w:t>
      </w:r>
      <w:r w:rsidRPr="00CC7E17">
        <w:rPr>
          <w:rFonts w:ascii="Arial" w:eastAsiaTheme="minorEastAsia" w:hAnsi="Arial" w:cs="Arial"/>
          <w:bdr w:val="none" w:sz="0" w:space="0" w:color="auto"/>
        </w:rPr>
        <w:t>, 510-515. doi:10.1192/bjp.187.6.510</w:t>
      </w:r>
    </w:p>
    <w:p w14:paraId="4202A89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Bhalla, A., Wang, Y., Rudd, A., &amp; Wolfe, C. D. (2013). Differences in outcome and predictors between ischemic and intracerebral hemorrhage: The south london stroke register.</w:t>
      </w:r>
      <w:r w:rsidRPr="00CC7E17">
        <w:rPr>
          <w:rFonts w:ascii="Arial" w:eastAsiaTheme="minorEastAsia" w:hAnsi="Arial" w:cs="Arial"/>
          <w:i/>
          <w:iCs/>
          <w:bdr w:val="none" w:sz="0" w:space="0" w:color="auto"/>
        </w:rPr>
        <w:t xml:space="preserve"> Stroke; a Journal of Cerebral Circulation, 44</w:t>
      </w:r>
      <w:r w:rsidRPr="00CC7E17">
        <w:rPr>
          <w:rFonts w:ascii="Arial" w:eastAsiaTheme="minorEastAsia" w:hAnsi="Arial" w:cs="Arial"/>
          <w:bdr w:val="none" w:sz="0" w:space="0" w:color="auto"/>
        </w:rPr>
        <w:t>(8), 2174-2181. doi:10.1161/STROKEAHA.113.001263; 10.1161/STROKEAHA.113.001263</w:t>
      </w:r>
    </w:p>
    <w:p w14:paraId="7B0B0AD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Brogly, S. B., Watts, D. H., Ylitalo, N., Franco, E. L., Seage, G. R.,3rd, Oleske, J., et al. (2007). Reproductive health of adolescent girls perinatally infected with HIV.</w:t>
      </w:r>
      <w:r w:rsidRPr="00CC7E17">
        <w:rPr>
          <w:rFonts w:ascii="Arial" w:eastAsiaTheme="minorEastAsia" w:hAnsi="Arial" w:cs="Arial"/>
          <w:i/>
          <w:iCs/>
          <w:bdr w:val="none" w:sz="0" w:space="0" w:color="auto"/>
        </w:rPr>
        <w:t xml:space="preserve"> American Journal of Public Health, 97</w:t>
      </w:r>
      <w:r w:rsidRPr="00CC7E17">
        <w:rPr>
          <w:rFonts w:ascii="Arial" w:eastAsiaTheme="minorEastAsia" w:hAnsi="Arial" w:cs="Arial"/>
          <w:bdr w:val="none" w:sz="0" w:space="0" w:color="auto"/>
        </w:rPr>
        <w:t>(6), 1047-1052. doi:10.2105/AJPH.2005.071910</w:t>
      </w:r>
    </w:p>
    <w:p w14:paraId="71ABB8D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Calderon-Margalit, R., Qiu, C., Ornoy, A., Siscovick, D. S., &amp; Williams, M. A. (2009). Risk of preterm delivery and other adverse perinatal outcomes in relation to maternal use of psychotropic medications during pregnancy.</w:t>
      </w:r>
      <w:r w:rsidRPr="00CC7E17">
        <w:rPr>
          <w:rFonts w:ascii="Arial" w:eastAsiaTheme="minorEastAsia" w:hAnsi="Arial" w:cs="Arial"/>
          <w:i/>
          <w:iCs/>
          <w:bdr w:val="none" w:sz="0" w:space="0" w:color="auto"/>
        </w:rPr>
        <w:t xml:space="preserve"> American Journal of Obstetrics and Gynecology, 201</w:t>
      </w:r>
      <w:r w:rsidRPr="00CC7E17">
        <w:rPr>
          <w:rFonts w:ascii="Arial" w:eastAsiaTheme="minorEastAsia" w:hAnsi="Arial" w:cs="Arial"/>
          <w:bdr w:val="none" w:sz="0" w:space="0" w:color="auto"/>
        </w:rPr>
        <w:t>(6), 579.e1-579.e8. doi:10.1016/j.ajog.2009.06.061; 10.1016/j.ajog.2009.06.061</w:t>
      </w:r>
    </w:p>
    <w:p w14:paraId="63DDF42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Capewell, S., Murphy, N. F., MacIntyre, K., Frame, S., Stewart, S., Chalmers, J. W., et al. (2006). Short-term and long-term outcomes in 133,429 emergency patients admitted with angina or myocardial infarction in scotland, 1990-2000: Population-based cohort study.</w:t>
      </w:r>
      <w:r w:rsidRPr="00CC7E17">
        <w:rPr>
          <w:rFonts w:ascii="Arial" w:eastAsiaTheme="minorEastAsia" w:hAnsi="Arial" w:cs="Arial"/>
          <w:i/>
          <w:iCs/>
          <w:bdr w:val="none" w:sz="0" w:space="0" w:color="auto"/>
        </w:rPr>
        <w:t xml:space="preserve"> Heart (British Cardiac Society), 92</w:t>
      </w:r>
      <w:r w:rsidRPr="00CC7E17">
        <w:rPr>
          <w:rFonts w:ascii="Arial" w:eastAsiaTheme="minorEastAsia" w:hAnsi="Arial" w:cs="Arial"/>
          <w:bdr w:val="none" w:sz="0" w:space="0" w:color="auto"/>
        </w:rPr>
        <w:t>(11), 1563-1570. doi:10.1136/hrt.2005.085399</w:t>
      </w:r>
    </w:p>
    <w:p w14:paraId="54ED62D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Catenacci, M., Miyagi, S., Wickremasinghe, A. C., Lucas, S. S., de Alba Campomanes, A. G., Good, W. V., et al. (2013). Dopamine-resistant hypotension and severe retinopathy of prematurity.</w:t>
      </w:r>
      <w:r w:rsidRPr="00CC7E17">
        <w:rPr>
          <w:rFonts w:ascii="Arial" w:eastAsiaTheme="minorEastAsia" w:hAnsi="Arial" w:cs="Arial"/>
          <w:i/>
          <w:iCs/>
          <w:bdr w:val="none" w:sz="0" w:space="0" w:color="auto"/>
        </w:rPr>
        <w:t xml:space="preserve"> The Journal of Pediatrics, 163</w:t>
      </w:r>
      <w:r w:rsidRPr="00CC7E17">
        <w:rPr>
          <w:rFonts w:ascii="Arial" w:eastAsiaTheme="minorEastAsia" w:hAnsi="Arial" w:cs="Arial"/>
          <w:bdr w:val="none" w:sz="0" w:space="0" w:color="auto"/>
        </w:rPr>
        <w:t>(2), 400-405. doi:10.1016/j.jpeds.2013.01.054; 10.1016/j.jpeds.2013.01.054</w:t>
      </w:r>
    </w:p>
    <w:p w14:paraId="31F60C6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Chaudhry, S. I., McAvay, G., Chen, S., Whitson, H., Newman, A. B., Krumholz, H. M., et al. (2013). Risk factors for hospital admission among older persons with newly diagnosed heart failure: Findings from the cardiovascular health study.</w:t>
      </w:r>
      <w:r w:rsidRPr="00CC7E17">
        <w:rPr>
          <w:rFonts w:ascii="Arial" w:eastAsiaTheme="minorEastAsia" w:hAnsi="Arial" w:cs="Arial"/>
          <w:i/>
          <w:iCs/>
          <w:bdr w:val="none" w:sz="0" w:space="0" w:color="auto"/>
        </w:rPr>
        <w:t xml:space="preserve"> Journal of the American College of Cardiology, 61</w:t>
      </w:r>
      <w:r w:rsidRPr="00CC7E17">
        <w:rPr>
          <w:rFonts w:ascii="Arial" w:eastAsiaTheme="minorEastAsia" w:hAnsi="Arial" w:cs="Arial"/>
          <w:bdr w:val="none" w:sz="0" w:space="0" w:color="auto"/>
        </w:rPr>
        <w:t>(6), 635-642. doi:10.1016/j.jacc.2012.11.027; 10.1016/j.jacc.2012.11.027</w:t>
      </w:r>
    </w:p>
    <w:p w14:paraId="4745AE2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Chio, A., Calvo, A., Moglia, C., Mazzini, L., Mora, G., &amp; PARALS study group. (2011). Phenotypic heterogeneity of amyotrophic lateral sclerosis: A population based study.</w:t>
      </w:r>
      <w:r w:rsidRPr="00CC7E17">
        <w:rPr>
          <w:rFonts w:ascii="Arial" w:eastAsiaTheme="minorEastAsia" w:hAnsi="Arial" w:cs="Arial"/>
          <w:i/>
          <w:iCs/>
          <w:bdr w:val="none" w:sz="0" w:space="0" w:color="auto"/>
        </w:rPr>
        <w:t xml:space="preserve"> Journal of Neurology, Neurosurgery, and Psychiatry, 82</w:t>
      </w:r>
      <w:r w:rsidRPr="00CC7E17">
        <w:rPr>
          <w:rFonts w:ascii="Arial" w:eastAsiaTheme="minorEastAsia" w:hAnsi="Arial" w:cs="Arial"/>
          <w:bdr w:val="none" w:sz="0" w:space="0" w:color="auto"/>
        </w:rPr>
        <w:t>(7), 740-746. doi:10.1136/jnnp.2010.235952; 10.1136/jnnp.2010.235952</w:t>
      </w:r>
    </w:p>
    <w:p w14:paraId="5736912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Christensen, S., Thomsen, R. W., Torring, M. L., Riis, A., Norgaard, M., &amp; Sorensen, H. T. (2008). Impact of COPD on outcome among patients with complicated peptic ulcer.</w:t>
      </w:r>
      <w:r w:rsidRPr="00CC7E17">
        <w:rPr>
          <w:rFonts w:ascii="Arial" w:eastAsiaTheme="minorEastAsia" w:hAnsi="Arial" w:cs="Arial"/>
          <w:i/>
          <w:iCs/>
          <w:bdr w:val="none" w:sz="0" w:space="0" w:color="auto"/>
        </w:rPr>
        <w:t xml:space="preserve"> Chest, 133</w:t>
      </w:r>
      <w:r w:rsidRPr="00CC7E17">
        <w:rPr>
          <w:rFonts w:ascii="Arial" w:eastAsiaTheme="minorEastAsia" w:hAnsi="Arial" w:cs="Arial"/>
          <w:bdr w:val="none" w:sz="0" w:space="0" w:color="auto"/>
        </w:rPr>
        <w:t>(6), 1360-1366. doi:10.1378/chest.07-2543; 10.1378/chest.07-2543</w:t>
      </w:r>
    </w:p>
    <w:p w14:paraId="636BDC4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Chung, L., Liu, J., Parsons, L., Hassoun, P. M., McGoon, M., Badesch, D. B., et al. (2010). Characterization of connective tissue disease-associated pulmonary arterial hypertension from REVEAL: Identifying systemic sclerosis as a unique phenotype.</w:t>
      </w:r>
      <w:r w:rsidRPr="00CC7E17">
        <w:rPr>
          <w:rFonts w:ascii="Arial" w:eastAsiaTheme="minorEastAsia" w:hAnsi="Arial" w:cs="Arial"/>
          <w:i/>
          <w:iCs/>
          <w:bdr w:val="none" w:sz="0" w:space="0" w:color="auto"/>
        </w:rPr>
        <w:t xml:space="preserve"> Chest, 138</w:t>
      </w:r>
      <w:r w:rsidRPr="00CC7E17">
        <w:rPr>
          <w:rFonts w:ascii="Arial" w:eastAsiaTheme="minorEastAsia" w:hAnsi="Arial" w:cs="Arial"/>
          <w:bdr w:val="none" w:sz="0" w:space="0" w:color="auto"/>
        </w:rPr>
        <w:t>(6), 1383-1394. doi:10.1378/chest.10-0260; 10.1378/chest.10-0260</w:t>
      </w:r>
    </w:p>
    <w:p w14:paraId="3BEEC92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Condliffe, R., Kiely, D. G., Peacock, A. J., Corris, P. A., Gibbs, J. S., Vrapi, F., et al. (2009). Connective tissue disease-associated pulmonary arterial hypertension in the modern treatment era.</w:t>
      </w:r>
      <w:r w:rsidRPr="00CC7E17">
        <w:rPr>
          <w:rFonts w:ascii="Arial" w:eastAsiaTheme="minorEastAsia" w:hAnsi="Arial" w:cs="Arial"/>
          <w:i/>
          <w:iCs/>
          <w:bdr w:val="none" w:sz="0" w:space="0" w:color="auto"/>
        </w:rPr>
        <w:t xml:space="preserve"> American Journal of Respiratory and Critical Care Medicine, 179</w:t>
      </w:r>
      <w:r w:rsidRPr="00CC7E17">
        <w:rPr>
          <w:rFonts w:ascii="Arial" w:eastAsiaTheme="minorEastAsia" w:hAnsi="Arial" w:cs="Arial"/>
          <w:bdr w:val="none" w:sz="0" w:space="0" w:color="auto"/>
        </w:rPr>
        <w:t>(2), 151-157. doi:10.1164/rccm.200806-953OC; 10.1164/rccm.200806-953OC</w:t>
      </w:r>
    </w:p>
    <w:p w14:paraId="52A838A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Costello, J. M., Polito, A., Brown, D. W., McElrath, T. F., Graham, D. A., Thiagarajan, R. R., et al. (2010). Birth before 39 weeks' gestation is associated with worse outcomes in neonates with heart disease.</w:t>
      </w:r>
      <w:r w:rsidRPr="00CC7E17">
        <w:rPr>
          <w:rFonts w:ascii="Arial" w:eastAsiaTheme="minorEastAsia" w:hAnsi="Arial" w:cs="Arial"/>
          <w:i/>
          <w:iCs/>
          <w:bdr w:val="none" w:sz="0" w:space="0" w:color="auto"/>
        </w:rPr>
        <w:t xml:space="preserve"> Pediatrics, 126</w:t>
      </w:r>
      <w:r w:rsidRPr="00CC7E17">
        <w:rPr>
          <w:rFonts w:ascii="Arial" w:eastAsiaTheme="minorEastAsia" w:hAnsi="Arial" w:cs="Arial"/>
          <w:bdr w:val="none" w:sz="0" w:space="0" w:color="auto"/>
        </w:rPr>
        <w:t>(2), 277-284. doi:10.1542/peds.2009-3640; 10.1542/peds.2009-3640</w:t>
      </w:r>
    </w:p>
    <w:p w14:paraId="1A9179A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Dart, A. B., Sellers, E. A., Martens, P. J., Rigatto, C., Brownell, M. D., &amp; Dean, H. J. (2012). High burden of kidney disease in youth-onset type 2 diabetes.</w:t>
      </w:r>
      <w:r w:rsidRPr="00CC7E17">
        <w:rPr>
          <w:rFonts w:ascii="Arial" w:eastAsiaTheme="minorEastAsia" w:hAnsi="Arial" w:cs="Arial"/>
          <w:i/>
          <w:iCs/>
          <w:bdr w:val="none" w:sz="0" w:space="0" w:color="auto"/>
        </w:rPr>
        <w:t xml:space="preserve"> Diabetes Care, 35</w:t>
      </w:r>
      <w:r w:rsidRPr="00CC7E17">
        <w:rPr>
          <w:rFonts w:ascii="Arial" w:eastAsiaTheme="minorEastAsia" w:hAnsi="Arial" w:cs="Arial"/>
          <w:bdr w:val="none" w:sz="0" w:space="0" w:color="auto"/>
        </w:rPr>
        <w:t>(6), 1265-1271. doi:10.2337/dc11-2312; 10.2337/dc11-2312</w:t>
      </w:r>
    </w:p>
    <w:p w14:paraId="59F54E4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Davis, J. M.,3rd, Roger, V. L., Crowson, C. S., Kremers, H. M., Therneau, T. M., &amp; Gabriel, S. E. (2008). The presentation and outcome of heart failure in patients with rheumatoid arthritis differs from that in the general population.</w:t>
      </w:r>
      <w:r w:rsidRPr="00CC7E17">
        <w:rPr>
          <w:rFonts w:ascii="Arial" w:eastAsiaTheme="minorEastAsia" w:hAnsi="Arial" w:cs="Arial"/>
          <w:i/>
          <w:iCs/>
          <w:bdr w:val="none" w:sz="0" w:space="0" w:color="auto"/>
        </w:rPr>
        <w:t xml:space="preserve"> Arthritis and Rheumatism, 58</w:t>
      </w:r>
      <w:r w:rsidRPr="00CC7E17">
        <w:rPr>
          <w:rFonts w:ascii="Arial" w:eastAsiaTheme="minorEastAsia" w:hAnsi="Arial" w:cs="Arial"/>
          <w:bdr w:val="none" w:sz="0" w:space="0" w:color="auto"/>
        </w:rPr>
        <w:t>(9), 2603-2611. doi:10.1002/art.23798; 10.1002/art.23798</w:t>
      </w:r>
    </w:p>
    <w:p w14:paraId="32C95D6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Escobar, G. J., McCormick, M. C., Zupancic, J. A., Coleman-Phox, K., Armstrong, M. A., Greene, J. D., et al. (2006). Unstudied infants: Outcomes of moderately premature infants in the neonatal intensive care unit.</w:t>
      </w:r>
      <w:r w:rsidRPr="00CC7E17">
        <w:rPr>
          <w:rFonts w:ascii="Arial" w:eastAsiaTheme="minorEastAsia" w:hAnsi="Arial" w:cs="Arial"/>
          <w:i/>
          <w:iCs/>
          <w:bdr w:val="none" w:sz="0" w:space="0" w:color="auto"/>
        </w:rPr>
        <w:t xml:space="preserve"> Archives of Disease in Childhood.Fetal and Neonatal Edition, 91</w:t>
      </w:r>
      <w:r w:rsidRPr="00CC7E17">
        <w:rPr>
          <w:rFonts w:ascii="Arial" w:eastAsiaTheme="minorEastAsia" w:hAnsi="Arial" w:cs="Arial"/>
          <w:bdr w:val="none" w:sz="0" w:space="0" w:color="auto"/>
        </w:rPr>
        <w:t>(4), F238-44. doi:10.1136/adc.2005.087031</w:t>
      </w:r>
    </w:p>
    <w:p w14:paraId="7211F1B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Fagring, A. J., Lappas, G., Kjellgren, K. I., Welin, C., Manhem, K., &amp; Rosengren, A. (2010). Twenty-year trends in incidence and 1-year mortality in swedish patients hospitalised with non-AMI chest pain. data from 1987-2006 from the swedish hospital and death registries.</w:t>
      </w:r>
      <w:r w:rsidRPr="00CC7E17">
        <w:rPr>
          <w:rFonts w:ascii="Arial" w:eastAsiaTheme="minorEastAsia" w:hAnsi="Arial" w:cs="Arial"/>
          <w:i/>
          <w:iCs/>
          <w:bdr w:val="none" w:sz="0" w:space="0" w:color="auto"/>
        </w:rPr>
        <w:t xml:space="preserve"> Heart (British Cardiac Society), 96</w:t>
      </w:r>
      <w:r w:rsidRPr="00CC7E17">
        <w:rPr>
          <w:rFonts w:ascii="Arial" w:eastAsiaTheme="minorEastAsia" w:hAnsi="Arial" w:cs="Arial"/>
          <w:bdr w:val="none" w:sz="0" w:space="0" w:color="auto"/>
        </w:rPr>
        <w:t>(13), 1043-1049. doi:10.1136/hrt.2010.193748; 10.1136/hrt.2010.193748</w:t>
      </w:r>
    </w:p>
    <w:p w14:paraId="3571FE0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Farrar, M. A., Vucic, S., Johnston, H. M., du Sart, D., &amp; Kiernan, M. C. (2013). Pathophysiological insights derived by natural history and motor function of spinal muscular atrophy.</w:t>
      </w:r>
      <w:r w:rsidRPr="00CC7E17">
        <w:rPr>
          <w:rFonts w:ascii="Arial" w:eastAsiaTheme="minorEastAsia" w:hAnsi="Arial" w:cs="Arial"/>
          <w:i/>
          <w:iCs/>
          <w:bdr w:val="none" w:sz="0" w:space="0" w:color="auto"/>
        </w:rPr>
        <w:t xml:space="preserve"> The Journal of Pediatrics, 162</w:t>
      </w:r>
      <w:r w:rsidRPr="00CC7E17">
        <w:rPr>
          <w:rFonts w:ascii="Arial" w:eastAsiaTheme="minorEastAsia" w:hAnsi="Arial" w:cs="Arial"/>
          <w:bdr w:val="none" w:sz="0" w:space="0" w:color="auto"/>
        </w:rPr>
        <w:t>(1), 155-159. doi:10.1016/j.jpeds.2012.05.067; 10.1016/j.jpeds.2012.05.067</w:t>
      </w:r>
    </w:p>
    <w:p w14:paraId="712A12A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Foley, D. L., &amp; Morley, K. I. (2011). Systematic review of early cardiometabolic outcomes of the first treated episode of psychosis.</w:t>
      </w:r>
      <w:r w:rsidRPr="00CC7E17">
        <w:rPr>
          <w:rFonts w:ascii="Arial" w:eastAsiaTheme="minorEastAsia" w:hAnsi="Arial" w:cs="Arial"/>
          <w:i/>
          <w:iCs/>
          <w:bdr w:val="none" w:sz="0" w:space="0" w:color="auto"/>
        </w:rPr>
        <w:t xml:space="preserve"> Archives of General Psychiatry, 68</w:t>
      </w:r>
      <w:r w:rsidRPr="00CC7E17">
        <w:rPr>
          <w:rFonts w:ascii="Arial" w:eastAsiaTheme="minorEastAsia" w:hAnsi="Arial" w:cs="Arial"/>
          <w:bdr w:val="none" w:sz="0" w:space="0" w:color="auto"/>
        </w:rPr>
        <w:t>(6), 609-616. doi:10.1001/archgenpsychiatry.2011.2; 10.1001/archgenpsychiatry.2011.2</w:t>
      </w:r>
    </w:p>
    <w:p w14:paraId="761A638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Gaglia, M. A.,Jr, Torguson, R., Gonzalez, M. A., Ben-Dor, I., Maluenda, G., Collins, S. D., et al. (2010). Correlates and consequences of gastrointestinal bleeding complicating percutaneous coronary intervention.</w:t>
      </w:r>
      <w:r w:rsidRPr="00CC7E17">
        <w:rPr>
          <w:rFonts w:ascii="Arial" w:eastAsiaTheme="minorEastAsia" w:hAnsi="Arial" w:cs="Arial"/>
          <w:i/>
          <w:iCs/>
          <w:bdr w:val="none" w:sz="0" w:space="0" w:color="auto"/>
        </w:rPr>
        <w:t xml:space="preserve"> The American Journal of Cardiology, 106</w:t>
      </w:r>
      <w:r w:rsidRPr="00CC7E17">
        <w:rPr>
          <w:rFonts w:ascii="Arial" w:eastAsiaTheme="minorEastAsia" w:hAnsi="Arial" w:cs="Arial"/>
          <w:bdr w:val="none" w:sz="0" w:space="0" w:color="auto"/>
        </w:rPr>
        <w:t>(8), 1069-1074. doi:10.1016/j.amjcard.2010.06.011; 10.1016/j.amjcard.2010.06.011</w:t>
      </w:r>
    </w:p>
    <w:p w14:paraId="6D697B13"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Garg, A. X., Clark, W. F., Salvadori, M., Thiessen-Philbrook, H. R., &amp; Matsell, D. (2006). Absence of renal sequelae after childhood escherichia coli O157:H7 gastroenteritis.</w:t>
      </w:r>
      <w:r w:rsidRPr="00CC7E17">
        <w:rPr>
          <w:rFonts w:ascii="Arial" w:eastAsiaTheme="minorEastAsia" w:hAnsi="Arial" w:cs="Arial"/>
          <w:i/>
          <w:iCs/>
          <w:bdr w:val="none" w:sz="0" w:space="0" w:color="auto"/>
        </w:rPr>
        <w:t xml:space="preserve"> Kidney International, 70</w:t>
      </w:r>
      <w:r w:rsidRPr="00CC7E17">
        <w:rPr>
          <w:rFonts w:ascii="Arial" w:eastAsiaTheme="minorEastAsia" w:hAnsi="Arial" w:cs="Arial"/>
          <w:bdr w:val="none" w:sz="0" w:space="0" w:color="auto"/>
        </w:rPr>
        <w:t>(4), 807-812. doi:10.1038/sj.ki.5001645</w:t>
      </w:r>
    </w:p>
    <w:p w14:paraId="02A36EEF"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Gerber, Y., Benyamini, Y., Goldbourt, U., Drory, Y., &amp; Israel Study Group on First Acute Myocardial Infarction. (2009). Prognostic importance and long-term determinants of self-rated health after initial acute myocardial infarction.</w:t>
      </w:r>
      <w:r w:rsidRPr="00CC7E17">
        <w:rPr>
          <w:rFonts w:ascii="Arial" w:eastAsiaTheme="minorEastAsia" w:hAnsi="Arial" w:cs="Arial"/>
          <w:i/>
          <w:iCs/>
          <w:bdr w:val="none" w:sz="0" w:space="0" w:color="auto"/>
        </w:rPr>
        <w:t xml:space="preserve"> Medical Care, 47</w:t>
      </w:r>
      <w:r w:rsidRPr="00CC7E17">
        <w:rPr>
          <w:rFonts w:ascii="Arial" w:eastAsiaTheme="minorEastAsia" w:hAnsi="Arial" w:cs="Arial"/>
          <w:bdr w:val="none" w:sz="0" w:space="0" w:color="auto"/>
        </w:rPr>
        <w:t>(3), 342-349. doi:10.1097/MLR.0b013e3181894270; 10.1097/MLR.0b013e3181894270</w:t>
      </w:r>
    </w:p>
    <w:p w14:paraId="52E3710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Giuffrida, A. Y., Burgueno, J. E., Koniaris, L. G., Gutierrez, J. C., Duncan, R., &amp; Scully, S. P. (2009). Chondrosarcoma in the united states (1973 to 2003): An analysis of 2890 cases from the SEER database.</w:t>
      </w:r>
      <w:r w:rsidRPr="00CC7E17">
        <w:rPr>
          <w:rFonts w:ascii="Arial" w:eastAsiaTheme="minorEastAsia" w:hAnsi="Arial" w:cs="Arial"/>
          <w:i/>
          <w:iCs/>
          <w:bdr w:val="none" w:sz="0" w:space="0" w:color="auto"/>
        </w:rPr>
        <w:t xml:space="preserve"> The Journal of Bone and Joint Surgery.American Volume, 91</w:t>
      </w:r>
      <w:r w:rsidRPr="00CC7E17">
        <w:rPr>
          <w:rFonts w:ascii="Arial" w:eastAsiaTheme="minorEastAsia" w:hAnsi="Arial" w:cs="Arial"/>
          <w:bdr w:val="none" w:sz="0" w:space="0" w:color="auto"/>
        </w:rPr>
        <w:t>(5), 1063-1072. doi:10.2106/JBJS.H.00416; 10.2106/JBJS.H.00416</w:t>
      </w:r>
    </w:p>
    <w:p w14:paraId="7A733DA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Gladstone, B. P., Ramani, S., Mukhopadhya, I., Muliyil, J., Sarkar, R., Rehman, A. M., et al. (2011). Protective effect of natural rotavirus infection in an indian birth cohort.</w:t>
      </w:r>
      <w:r w:rsidRPr="00CC7E17">
        <w:rPr>
          <w:rFonts w:ascii="Arial" w:eastAsiaTheme="minorEastAsia" w:hAnsi="Arial" w:cs="Arial"/>
          <w:i/>
          <w:iCs/>
          <w:bdr w:val="none" w:sz="0" w:space="0" w:color="auto"/>
        </w:rPr>
        <w:t xml:space="preserve"> The New England Journal of Medicine, 365</w:t>
      </w:r>
      <w:r w:rsidRPr="00CC7E17">
        <w:rPr>
          <w:rFonts w:ascii="Arial" w:eastAsiaTheme="minorEastAsia" w:hAnsi="Arial" w:cs="Arial"/>
          <w:bdr w:val="none" w:sz="0" w:space="0" w:color="auto"/>
        </w:rPr>
        <w:t>(4), 337-346. doi:10.1056/NEJMoa1006261; 10.1056/NEJMoa1006261</w:t>
      </w:r>
    </w:p>
    <w:p w14:paraId="321238E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Goldenberg, I., Moss, A. J., Peterson, D. R., McNitt, S., Zareba, W., Andrews, M. L., et al. (2008). Risk factors for aborted cardiac arrest and sudden cardiac death in children with the congenital long-QT syndrome.</w:t>
      </w:r>
      <w:r w:rsidRPr="00CC7E17">
        <w:rPr>
          <w:rFonts w:ascii="Arial" w:eastAsiaTheme="minorEastAsia" w:hAnsi="Arial" w:cs="Arial"/>
          <w:i/>
          <w:iCs/>
          <w:bdr w:val="none" w:sz="0" w:space="0" w:color="auto"/>
        </w:rPr>
        <w:t xml:space="preserve"> Circulation, 117</w:t>
      </w:r>
      <w:r w:rsidRPr="00CC7E17">
        <w:rPr>
          <w:rFonts w:ascii="Arial" w:eastAsiaTheme="minorEastAsia" w:hAnsi="Arial" w:cs="Arial"/>
          <w:bdr w:val="none" w:sz="0" w:space="0" w:color="auto"/>
        </w:rPr>
        <w:t>(17), 2184-2191. doi:10.1161/CIRCULATIONAHA.107.701243; 10.1161/CIRCULATIONAHA.107.701243</w:t>
      </w:r>
    </w:p>
    <w:p w14:paraId="001D6643"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Gross, C. P., Galusha, D. H., &amp; Krumholz, H. M. (2007). The impact of venous thromboembolism on risk of death or hemorrhage in older cancer patients.</w:t>
      </w:r>
      <w:r w:rsidRPr="00CC7E17">
        <w:rPr>
          <w:rFonts w:ascii="Arial" w:eastAsiaTheme="minorEastAsia" w:hAnsi="Arial" w:cs="Arial"/>
          <w:i/>
          <w:iCs/>
          <w:bdr w:val="none" w:sz="0" w:space="0" w:color="auto"/>
        </w:rPr>
        <w:t xml:space="preserve"> Journal of General Internal Medicine, 22</w:t>
      </w:r>
      <w:r w:rsidRPr="00CC7E17">
        <w:rPr>
          <w:rFonts w:ascii="Arial" w:eastAsiaTheme="minorEastAsia" w:hAnsi="Arial" w:cs="Arial"/>
          <w:bdr w:val="none" w:sz="0" w:space="0" w:color="auto"/>
        </w:rPr>
        <w:t>(3), 321-326. doi:10.1007/s11606-006-0019-x</w:t>
      </w:r>
    </w:p>
    <w:p w14:paraId="02E8CD3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Hay, I. D., Gonzalez-Losada, T., Reinalda, M. S., Honetschlager, J. A., Richards, M. L., &amp; Thompson, G. B. (2010). Long-term outcome in 215 children and adolescents with papillary thyroid cancer treated during 1940 through 2008.</w:t>
      </w:r>
      <w:r w:rsidRPr="00CC7E17">
        <w:rPr>
          <w:rFonts w:ascii="Arial" w:eastAsiaTheme="minorEastAsia" w:hAnsi="Arial" w:cs="Arial"/>
          <w:i/>
          <w:iCs/>
          <w:bdr w:val="none" w:sz="0" w:space="0" w:color="auto"/>
        </w:rPr>
        <w:t xml:space="preserve"> World Journal of Surgery, 34</w:t>
      </w:r>
      <w:r w:rsidRPr="00CC7E17">
        <w:rPr>
          <w:rFonts w:ascii="Arial" w:eastAsiaTheme="minorEastAsia" w:hAnsi="Arial" w:cs="Arial"/>
          <w:bdr w:val="none" w:sz="0" w:space="0" w:color="auto"/>
        </w:rPr>
        <w:t>(6), 1192-1202. doi:10.1007/s00268-009-0364-0; 10.1007/s00268-009-0364-0</w:t>
      </w:r>
    </w:p>
    <w:p w14:paraId="3816802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Humbert, M., Sitbon, O., Chaouat, A., Bertocchi, M., Habib, G., Gressin, V., et al. (2006). Pulmonary arterial hypertension in france: Results from a national registry.</w:t>
      </w:r>
      <w:r w:rsidRPr="00CC7E17">
        <w:rPr>
          <w:rFonts w:ascii="Arial" w:eastAsiaTheme="minorEastAsia" w:hAnsi="Arial" w:cs="Arial"/>
          <w:i/>
          <w:iCs/>
          <w:bdr w:val="none" w:sz="0" w:space="0" w:color="auto"/>
        </w:rPr>
        <w:t xml:space="preserve"> American Journal of Respiratory and Critical Care Medicine, 173</w:t>
      </w:r>
      <w:r w:rsidRPr="00CC7E17">
        <w:rPr>
          <w:rFonts w:ascii="Arial" w:eastAsiaTheme="minorEastAsia" w:hAnsi="Arial" w:cs="Arial"/>
          <w:bdr w:val="none" w:sz="0" w:space="0" w:color="auto"/>
        </w:rPr>
        <w:t>(9), 1023-1030. doi:10.1164/rccm.200510-1668OC</w:t>
      </w:r>
    </w:p>
    <w:p w14:paraId="523ECB4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Hutcheon, J. A., Butler, B., Lisonkova, S., Marquette, G. P., Mayer, C., Skoll, A., et al. (2010). Timing of delivery for pregnancies with congenital diaphragmatic hernia.</w:t>
      </w:r>
      <w:r w:rsidRPr="00CC7E17">
        <w:rPr>
          <w:rFonts w:ascii="Arial" w:eastAsiaTheme="minorEastAsia" w:hAnsi="Arial" w:cs="Arial"/>
          <w:i/>
          <w:iCs/>
          <w:bdr w:val="none" w:sz="0" w:space="0" w:color="auto"/>
        </w:rPr>
        <w:t xml:space="preserve"> BJOG : An International Journal of Obstetrics and Gynaecology, 117</w:t>
      </w:r>
      <w:r w:rsidRPr="00CC7E17">
        <w:rPr>
          <w:rFonts w:ascii="Arial" w:eastAsiaTheme="minorEastAsia" w:hAnsi="Arial" w:cs="Arial"/>
          <w:bdr w:val="none" w:sz="0" w:space="0" w:color="auto"/>
        </w:rPr>
        <w:t>(13), 1658-1662.</w:t>
      </w:r>
    </w:p>
    <w:p w14:paraId="4E08E6B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Icen, M., Nicola, P. J., Maradit-Kremers, H., Crowson, C. S., Therneau, T. M., Matteson, E. L., et al. (2009). Systemic lupus erythematosus features in rheumatoid arthritis and their effect on overall mortality.</w:t>
      </w:r>
      <w:r w:rsidRPr="00CC7E17">
        <w:rPr>
          <w:rFonts w:ascii="Arial" w:eastAsiaTheme="minorEastAsia" w:hAnsi="Arial" w:cs="Arial"/>
          <w:i/>
          <w:iCs/>
          <w:bdr w:val="none" w:sz="0" w:space="0" w:color="auto"/>
        </w:rPr>
        <w:t xml:space="preserve"> The Journal of Rheumatology, 36</w:t>
      </w:r>
      <w:r w:rsidRPr="00CC7E17">
        <w:rPr>
          <w:rFonts w:ascii="Arial" w:eastAsiaTheme="minorEastAsia" w:hAnsi="Arial" w:cs="Arial"/>
          <w:bdr w:val="none" w:sz="0" w:space="0" w:color="auto"/>
        </w:rPr>
        <w:t>(1), 50-57. doi:10.3899/jrheum.080091; 10.3899/jrheum.080091</w:t>
      </w:r>
    </w:p>
    <w:p w14:paraId="4686D8D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Imazio, M., Brucato, A., Adler, Y., Brambilla, G., Artom, G., Cecchi, E., et al. (2007). Prognosis of idiopathic recurrent pericarditis as determined from previously published reports.</w:t>
      </w:r>
      <w:r w:rsidRPr="00CC7E17">
        <w:rPr>
          <w:rFonts w:ascii="Arial" w:eastAsiaTheme="minorEastAsia" w:hAnsi="Arial" w:cs="Arial"/>
          <w:i/>
          <w:iCs/>
          <w:bdr w:val="none" w:sz="0" w:space="0" w:color="auto"/>
        </w:rPr>
        <w:t xml:space="preserve"> The American Journal of Cardiology, 100</w:t>
      </w:r>
      <w:r w:rsidRPr="00CC7E17">
        <w:rPr>
          <w:rFonts w:ascii="Arial" w:eastAsiaTheme="minorEastAsia" w:hAnsi="Arial" w:cs="Arial"/>
          <w:bdr w:val="none" w:sz="0" w:space="0" w:color="auto"/>
        </w:rPr>
        <w:t>(6), 1026-1028. doi:10.1016/j.amjcard.2007.04.047</w:t>
      </w:r>
    </w:p>
    <w:p w14:paraId="3E3A517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Jassal, S. V., Trpeski, L., Zhu, N., Fenton, S., &amp; Hemmelgarn, B. (2007). Changes in survival among elderly patients initiating dialysis from 1990 to 1999.</w:t>
      </w:r>
      <w:r w:rsidRPr="00CC7E17">
        <w:rPr>
          <w:rFonts w:ascii="Arial" w:eastAsiaTheme="minorEastAsia" w:hAnsi="Arial" w:cs="Arial"/>
          <w:i/>
          <w:iCs/>
          <w:bdr w:val="none" w:sz="0" w:space="0" w:color="auto"/>
        </w:rPr>
        <w:t xml:space="preserve"> CMAJ : Canadian Medical Association Journal = Journal De l'Association Medicale Canadienne, 177</w:t>
      </w:r>
      <w:r w:rsidRPr="00CC7E17">
        <w:rPr>
          <w:rFonts w:ascii="Arial" w:eastAsiaTheme="minorEastAsia" w:hAnsi="Arial" w:cs="Arial"/>
          <w:bdr w:val="none" w:sz="0" w:space="0" w:color="auto"/>
        </w:rPr>
        <w:t>(9), 1033-1038. doi:10.1503/cmaj.061765</w:t>
      </w:r>
    </w:p>
    <w:p w14:paraId="5E54A23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Kivimaki, M., Tabak, A. G., Lawlor, D. A., Batty, G. D., Singh-Manoux, A., Jokela, M., et al. (2010). Antidepressant use before and after the diagnosis of type 2 diabetes: A longitudinal modeling study.</w:t>
      </w:r>
      <w:r w:rsidRPr="00CC7E17">
        <w:rPr>
          <w:rFonts w:ascii="Arial" w:eastAsiaTheme="minorEastAsia" w:hAnsi="Arial" w:cs="Arial"/>
          <w:i/>
          <w:iCs/>
          <w:bdr w:val="none" w:sz="0" w:space="0" w:color="auto"/>
        </w:rPr>
        <w:t xml:space="preserve"> Diabetes Care, 33</w:t>
      </w:r>
      <w:r w:rsidRPr="00CC7E17">
        <w:rPr>
          <w:rFonts w:ascii="Arial" w:eastAsiaTheme="minorEastAsia" w:hAnsi="Arial" w:cs="Arial"/>
          <w:bdr w:val="none" w:sz="0" w:space="0" w:color="auto"/>
        </w:rPr>
        <w:t>(7), 1471-1476. doi:10.2337/dc09-2359; 10.2337/dc09-2359</w:t>
      </w:r>
    </w:p>
    <w:p w14:paraId="6FDF08B7"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Klein, M. B., Goverman, J., Hayden, D. L., Fagan, S. P., McDonald-Smith, G. P., Alexander, A. K., et al. (2014). Benchmarking outcomes in the critically injured burn patient.</w:t>
      </w:r>
      <w:r w:rsidRPr="00CC7E17">
        <w:rPr>
          <w:rFonts w:ascii="Arial" w:eastAsiaTheme="minorEastAsia" w:hAnsi="Arial" w:cs="Arial"/>
          <w:i/>
          <w:iCs/>
          <w:bdr w:val="none" w:sz="0" w:space="0" w:color="auto"/>
        </w:rPr>
        <w:t xml:space="preserve"> Annals of Surgery, 259</w:t>
      </w:r>
      <w:r w:rsidRPr="00CC7E17">
        <w:rPr>
          <w:rFonts w:ascii="Arial" w:eastAsiaTheme="minorEastAsia" w:hAnsi="Arial" w:cs="Arial"/>
          <w:bdr w:val="none" w:sz="0" w:space="0" w:color="auto"/>
        </w:rPr>
        <w:t>(5), 833-841. doi:10.1097/SLA.0000000000000438; 10.1097/SLA.0000000000000438</w:t>
      </w:r>
    </w:p>
    <w:p w14:paraId="5A5E494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Kuban, K. C., Allred, E. N., O'Shea, T. M., Paneth, N., Westra, S., Miller, C., et al. (2009). Developmental correlates of head circumference at birth and two years in a cohort of extremely low gestational age newborns.</w:t>
      </w:r>
      <w:r w:rsidRPr="00CC7E17">
        <w:rPr>
          <w:rFonts w:ascii="Arial" w:eastAsiaTheme="minorEastAsia" w:hAnsi="Arial" w:cs="Arial"/>
          <w:i/>
          <w:iCs/>
          <w:bdr w:val="none" w:sz="0" w:space="0" w:color="auto"/>
        </w:rPr>
        <w:t xml:space="preserve"> The Journal of Pediatrics, 155</w:t>
      </w:r>
      <w:r w:rsidRPr="00CC7E17">
        <w:rPr>
          <w:rFonts w:ascii="Arial" w:eastAsiaTheme="minorEastAsia" w:hAnsi="Arial" w:cs="Arial"/>
          <w:bdr w:val="none" w:sz="0" w:space="0" w:color="auto"/>
        </w:rPr>
        <w:t>(3), 344-9.e1-3. doi:10.1016/j.jpeds.2009.04.002; 10.1016/j.jpeds.2009.04.002</w:t>
      </w:r>
    </w:p>
    <w:p w14:paraId="6E2EA2F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Kurella, M., Covinsky, K. E., Collins, A. J., &amp; Chertow, G. M. (2007). Octogenarians and nonagenarians starting dialysis in the united states.</w:t>
      </w:r>
      <w:r w:rsidRPr="00CC7E17">
        <w:rPr>
          <w:rFonts w:ascii="Arial" w:eastAsiaTheme="minorEastAsia" w:hAnsi="Arial" w:cs="Arial"/>
          <w:i/>
          <w:iCs/>
          <w:bdr w:val="none" w:sz="0" w:space="0" w:color="auto"/>
        </w:rPr>
        <w:t xml:space="preserve"> Annals of Internal Medicine, 146</w:t>
      </w:r>
      <w:r w:rsidRPr="00CC7E17">
        <w:rPr>
          <w:rFonts w:ascii="Arial" w:eastAsiaTheme="minorEastAsia" w:hAnsi="Arial" w:cs="Arial"/>
          <w:bdr w:val="none" w:sz="0" w:space="0" w:color="auto"/>
        </w:rPr>
        <w:t>(3), 177-183.</w:t>
      </w:r>
    </w:p>
    <w:p w14:paraId="0E2F3DC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Leslie, D. L., Zhang, Y., Holford, T. R., Bogardus, S. T., Leo-Summers, L. S., &amp; Inouye, S. K. (2005). Premature death associated with delirium at 1-year follow-up.</w:t>
      </w:r>
      <w:r w:rsidRPr="00CC7E17">
        <w:rPr>
          <w:rFonts w:ascii="Arial" w:eastAsiaTheme="minorEastAsia" w:hAnsi="Arial" w:cs="Arial"/>
          <w:i/>
          <w:iCs/>
          <w:bdr w:val="none" w:sz="0" w:space="0" w:color="auto"/>
        </w:rPr>
        <w:t xml:space="preserve"> Archives of Internal Medicine, 165</w:t>
      </w:r>
      <w:r w:rsidRPr="00CC7E17">
        <w:rPr>
          <w:rFonts w:ascii="Arial" w:eastAsiaTheme="minorEastAsia" w:hAnsi="Arial" w:cs="Arial"/>
          <w:bdr w:val="none" w:sz="0" w:space="0" w:color="auto"/>
        </w:rPr>
        <w:t>(14), 1657-1662. doi:10.1001/archinte.165.14.1657</w:t>
      </w:r>
    </w:p>
    <w:p w14:paraId="4561663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Lindhardsen, J., Ahlehoff, O., Gislason, G. H., Madsen, O. R., Olesen, J. B., Svendsen, J. H., et al. (2012). Risk of atrial fibrillation and stroke in rheumatoid arthritis: Danish nationwide cohort study.</w:t>
      </w:r>
      <w:r w:rsidRPr="00CC7E17">
        <w:rPr>
          <w:rFonts w:ascii="Arial" w:eastAsiaTheme="minorEastAsia" w:hAnsi="Arial" w:cs="Arial"/>
          <w:i/>
          <w:iCs/>
          <w:bdr w:val="none" w:sz="0" w:space="0" w:color="auto"/>
        </w:rPr>
        <w:t xml:space="preserve"> BMJ (Clinical Research Ed.), 344</w:t>
      </w:r>
      <w:r w:rsidRPr="00CC7E17">
        <w:rPr>
          <w:rFonts w:ascii="Arial" w:eastAsiaTheme="minorEastAsia" w:hAnsi="Arial" w:cs="Arial"/>
          <w:bdr w:val="none" w:sz="0" w:space="0" w:color="auto"/>
        </w:rPr>
        <w:t>, e1257. doi:10.1136/bmj.e1257</w:t>
      </w:r>
    </w:p>
    <w:p w14:paraId="449C0A6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Lopes, L. M., Tavares, G. M., Damiano, A. P., Lopes, M. A., Aiello, V. D., Schultz, R., et al. (2008). Perinatal outcome of fetal atrioventricular block: One-hundred-sixteen cases from a single institution.</w:t>
      </w:r>
      <w:r w:rsidRPr="00CC7E17">
        <w:rPr>
          <w:rFonts w:ascii="Arial" w:eastAsiaTheme="minorEastAsia" w:hAnsi="Arial" w:cs="Arial"/>
          <w:i/>
          <w:iCs/>
          <w:bdr w:val="none" w:sz="0" w:space="0" w:color="auto"/>
        </w:rPr>
        <w:t xml:space="preserve"> Circulation, 118</w:t>
      </w:r>
      <w:r w:rsidRPr="00CC7E17">
        <w:rPr>
          <w:rFonts w:ascii="Arial" w:eastAsiaTheme="minorEastAsia" w:hAnsi="Arial" w:cs="Arial"/>
          <w:bdr w:val="none" w:sz="0" w:space="0" w:color="auto"/>
        </w:rPr>
        <w:t>(12), 1268-1275. doi:10.1161/CIRCULATIONAHA.107.735118; 10.1161/CIRCULATIONAHA.107.735118</w:t>
      </w:r>
    </w:p>
    <w:p w14:paraId="3148D06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Melgaard, L., Rasmussen, L. H., Skjoth, F., Lip, G. Y., &amp; Larsen, T. B. (2014). Age dependence of risk factors for stroke and death in young patients with atrial fibrillation: A nationwide study.</w:t>
      </w:r>
      <w:r w:rsidRPr="00CC7E17">
        <w:rPr>
          <w:rFonts w:ascii="Arial" w:eastAsiaTheme="minorEastAsia" w:hAnsi="Arial" w:cs="Arial"/>
          <w:i/>
          <w:iCs/>
          <w:bdr w:val="none" w:sz="0" w:space="0" w:color="auto"/>
        </w:rPr>
        <w:t xml:space="preserve"> Stroke; a Journal of Cerebral Circulation, 45</w:t>
      </w:r>
      <w:r w:rsidRPr="00CC7E17">
        <w:rPr>
          <w:rFonts w:ascii="Arial" w:eastAsiaTheme="minorEastAsia" w:hAnsi="Arial" w:cs="Arial"/>
          <w:bdr w:val="none" w:sz="0" w:space="0" w:color="auto"/>
        </w:rPr>
        <w:t>(5), 1331-1337. doi:10.1161/STROKEAHA.114.004903; 10.1161/STROKEAHA.114.004903</w:t>
      </w:r>
    </w:p>
    <w:p w14:paraId="516F492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Mitchell, A. J., &amp; Shiri-Feshki, M. (2008). Temporal trends in the long term risk of progression of mild cognitive impairment: A pooled analysis.</w:t>
      </w:r>
      <w:r w:rsidRPr="00CC7E17">
        <w:rPr>
          <w:rFonts w:ascii="Arial" w:eastAsiaTheme="minorEastAsia" w:hAnsi="Arial" w:cs="Arial"/>
          <w:i/>
          <w:iCs/>
          <w:bdr w:val="none" w:sz="0" w:space="0" w:color="auto"/>
        </w:rPr>
        <w:t xml:space="preserve"> Journal of Neurology, Neurosurgery, and Psychiatry, 79</w:t>
      </w:r>
      <w:r w:rsidRPr="00CC7E17">
        <w:rPr>
          <w:rFonts w:ascii="Arial" w:eastAsiaTheme="minorEastAsia" w:hAnsi="Arial" w:cs="Arial"/>
          <w:bdr w:val="none" w:sz="0" w:space="0" w:color="auto"/>
        </w:rPr>
        <w:t>(12), 1386-1391. doi:10.1136/jnnp.2007.142679; 10.1136/jnnp.2007.142679</w:t>
      </w:r>
    </w:p>
    <w:p w14:paraId="3556E35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Morrison, J. A., Friedman, L. A., &amp; Gray-McGuire, C. (2007). Metabolic syndrome in childhood predicts adult cardiovascular disease 25 years later: The princeton lipid research clinics follow-up study.</w:t>
      </w:r>
      <w:r w:rsidRPr="00CC7E17">
        <w:rPr>
          <w:rFonts w:ascii="Arial" w:eastAsiaTheme="minorEastAsia" w:hAnsi="Arial" w:cs="Arial"/>
          <w:i/>
          <w:iCs/>
          <w:bdr w:val="none" w:sz="0" w:space="0" w:color="auto"/>
        </w:rPr>
        <w:t xml:space="preserve"> Pediatrics, 120</w:t>
      </w:r>
      <w:r w:rsidRPr="00CC7E17">
        <w:rPr>
          <w:rFonts w:ascii="Arial" w:eastAsiaTheme="minorEastAsia" w:hAnsi="Arial" w:cs="Arial"/>
          <w:bdr w:val="none" w:sz="0" w:space="0" w:color="auto"/>
        </w:rPr>
        <w:t>(2), 340-345. doi:10.1542/peds.2006-1699</w:t>
      </w:r>
    </w:p>
    <w:p w14:paraId="615C6FF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Ou, S. H., Zell, J. A., Ziogas, A., &amp; Anton-Culver, H. (2008). Prognostic significance of the non-size-based AJCC T2 descriptors: Visceral pleura invasion, hilar atelectasis, or obstructive pneumonitis in stage IB non-small cell lung cancer is dependent on tumor size.</w:t>
      </w:r>
      <w:r w:rsidRPr="00CC7E17">
        <w:rPr>
          <w:rFonts w:ascii="Arial" w:eastAsiaTheme="minorEastAsia" w:hAnsi="Arial" w:cs="Arial"/>
          <w:i/>
          <w:iCs/>
          <w:bdr w:val="none" w:sz="0" w:space="0" w:color="auto"/>
        </w:rPr>
        <w:t xml:space="preserve"> Chest, 133</w:t>
      </w:r>
      <w:r w:rsidRPr="00CC7E17">
        <w:rPr>
          <w:rFonts w:ascii="Arial" w:eastAsiaTheme="minorEastAsia" w:hAnsi="Arial" w:cs="Arial"/>
          <w:bdr w:val="none" w:sz="0" w:space="0" w:color="auto"/>
        </w:rPr>
        <w:t>(3), 662-669. doi:10.1378/chest.07-1306</w:t>
      </w:r>
    </w:p>
    <w:p w14:paraId="323F93F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Ouhoummane, N., Abdous, B., Emond, V., &amp; Poirier, P. (2009). Impact of diabetes and gender on survival after acute myocardial infarction in the province of quebec, canada--a population-based study.</w:t>
      </w:r>
      <w:r w:rsidRPr="00CC7E17">
        <w:rPr>
          <w:rFonts w:ascii="Arial" w:eastAsiaTheme="minorEastAsia" w:hAnsi="Arial" w:cs="Arial"/>
          <w:i/>
          <w:iCs/>
          <w:bdr w:val="none" w:sz="0" w:space="0" w:color="auto"/>
        </w:rPr>
        <w:t xml:space="preserve"> Diabetic Medicine : A Journal of the British Diabetic Association, 26</w:t>
      </w:r>
      <w:r w:rsidRPr="00CC7E17">
        <w:rPr>
          <w:rFonts w:ascii="Arial" w:eastAsiaTheme="minorEastAsia" w:hAnsi="Arial" w:cs="Arial"/>
          <w:bdr w:val="none" w:sz="0" w:space="0" w:color="auto"/>
        </w:rPr>
        <w:t>(6), 609-616. doi:10.1111/j.1464-5491.2009.02740.x; 10.1111/j.1464-5491.2009.02740.x</w:t>
      </w:r>
    </w:p>
    <w:p w14:paraId="4C1C710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Owonikoko, T. K., Ragin, C. C., Belani, C. P., Oton, A. B., Gooding, W. E., Taioli, E., et al. (2007). Lung cancer in elderly patients: An analysis of the surveillance, epidemiology, and end results database.</w:t>
      </w:r>
      <w:r w:rsidRPr="00CC7E17">
        <w:rPr>
          <w:rFonts w:ascii="Arial" w:eastAsiaTheme="minorEastAsia" w:hAnsi="Arial" w:cs="Arial"/>
          <w:i/>
          <w:iCs/>
          <w:bdr w:val="none" w:sz="0" w:space="0" w:color="auto"/>
        </w:rPr>
        <w:t xml:space="preserve"> Journal of Clinical Oncology : Official Journal of the American Society of Clinical Oncology, 25</w:t>
      </w:r>
      <w:r w:rsidRPr="00CC7E17">
        <w:rPr>
          <w:rFonts w:ascii="Arial" w:eastAsiaTheme="minorEastAsia" w:hAnsi="Arial" w:cs="Arial"/>
          <w:bdr w:val="none" w:sz="0" w:space="0" w:color="auto"/>
        </w:rPr>
        <w:t>(35), 5570-5577. doi:10.1200/JCO.2007.12.5435</w:t>
      </w:r>
    </w:p>
    <w:p w14:paraId="7A27FA0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Rakha, E. A., El-Sayed, M. E., Green, A. R., Paish, E. C., Powe, D. G., Gee, J., et al. (2007). Biologic and clinical characteristics of breast cancer with single hormone receptor positive phenotype.</w:t>
      </w:r>
      <w:r w:rsidRPr="00CC7E17">
        <w:rPr>
          <w:rFonts w:ascii="Arial" w:eastAsiaTheme="minorEastAsia" w:hAnsi="Arial" w:cs="Arial"/>
          <w:i/>
          <w:iCs/>
          <w:bdr w:val="none" w:sz="0" w:space="0" w:color="auto"/>
        </w:rPr>
        <w:t xml:space="preserve"> Journal of Clinical Oncology : Official Journal of the American Society of Clinical Oncology, 25</w:t>
      </w:r>
      <w:r w:rsidRPr="00CC7E17">
        <w:rPr>
          <w:rFonts w:ascii="Arial" w:eastAsiaTheme="minorEastAsia" w:hAnsi="Arial" w:cs="Arial"/>
          <w:bdr w:val="none" w:sz="0" w:space="0" w:color="auto"/>
        </w:rPr>
        <w:t>(30), 4772-4778. doi:10.1200/JCO.2007.12.2747</w:t>
      </w:r>
    </w:p>
    <w:p w14:paraId="6AAF76A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Ramos-Casals, M., Brito-Zeron, P., Perez-DE-Lis, M., Diaz-Lagares, C., Bove, A., Soto, M. J., et al. (2010). Clinical and prognostic significance of parotid scintigraphy in 405 patients with primary sjogren's syndrome.</w:t>
      </w:r>
      <w:r w:rsidRPr="00CC7E17">
        <w:rPr>
          <w:rFonts w:ascii="Arial" w:eastAsiaTheme="minorEastAsia" w:hAnsi="Arial" w:cs="Arial"/>
          <w:i/>
          <w:iCs/>
          <w:bdr w:val="none" w:sz="0" w:space="0" w:color="auto"/>
        </w:rPr>
        <w:t xml:space="preserve"> The Journal of Rheumatology, 37</w:t>
      </w:r>
      <w:r w:rsidRPr="00CC7E17">
        <w:rPr>
          <w:rFonts w:ascii="Arial" w:eastAsiaTheme="minorEastAsia" w:hAnsi="Arial" w:cs="Arial"/>
          <w:bdr w:val="none" w:sz="0" w:space="0" w:color="auto"/>
        </w:rPr>
        <w:t>(3), 585-590. doi:10.3899/jrheum.090835; 10.3899/jrheum.090835</w:t>
      </w:r>
    </w:p>
    <w:p w14:paraId="68686AD7"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Sacco, S., Marini, C., Totaro, R., Russo, T., Cerone, D., &amp; Carolei, A. (2006). A population-based study of the incidence and prognosis of lacunar stroke.</w:t>
      </w:r>
      <w:r w:rsidRPr="00CC7E17">
        <w:rPr>
          <w:rFonts w:ascii="Arial" w:eastAsiaTheme="minorEastAsia" w:hAnsi="Arial" w:cs="Arial"/>
          <w:i/>
          <w:iCs/>
          <w:bdr w:val="none" w:sz="0" w:space="0" w:color="auto"/>
        </w:rPr>
        <w:t xml:space="preserve"> Neurology, 66</w:t>
      </w:r>
      <w:r w:rsidRPr="00CC7E17">
        <w:rPr>
          <w:rFonts w:ascii="Arial" w:eastAsiaTheme="minorEastAsia" w:hAnsi="Arial" w:cs="Arial"/>
          <w:bdr w:val="none" w:sz="0" w:space="0" w:color="auto"/>
        </w:rPr>
        <w:t>(9), 1335-1338. doi:10.1212/01.wnl.0000210457.89798.0e</w:t>
      </w:r>
    </w:p>
    <w:p w14:paraId="08D7A97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Sagerup, C. M., Smastuen, M., Johannesen, T. B., Helland, A., &amp; Brustugun, O. T. (2011). Sex-specific trends in lung cancer incidence and survival: A population study of 40,118 cases.</w:t>
      </w:r>
      <w:r w:rsidRPr="00CC7E17">
        <w:rPr>
          <w:rFonts w:ascii="Arial" w:eastAsiaTheme="minorEastAsia" w:hAnsi="Arial" w:cs="Arial"/>
          <w:i/>
          <w:iCs/>
          <w:bdr w:val="none" w:sz="0" w:space="0" w:color="auto"/>
        </w:rPr>
        <w:t xml:space="preserve"> Thorax, 66</w:t>
      </w:r>
      <w:r w:rsidRPr="00CC7E17">
        <w:rPr>
          <w:rFonts w:ascii="Arial" w:eastAsiaTheme="minorEastAsia" w:hAnsi="Arial" w:cs="Arial"/>
          <w:bdr w:val="none" w:sz="0" w:space="0" w:color="auto"/>
        </w:rPr>
        <w:t>(4), 301-307. doi:10.1136/thx.2010.151621; 10.1136/thx.2010.151621</w:t>
      </w:r>
    </w:p>
    <w:p w14:paraId="548C777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Schmid, P., Nagai, Y., Agarwal, R., Hancock, B., Savage, P. M., Sebire, N. J., et al. (2009). Prognostic markers and long-term outcome of placental-site trophoblastic tumours: A retrospective observational study.</w:t>
      </w:r>
      <w:r w:rsidRPr="00CC7E17">
        <w:rPr>
          <w:rFonts w:ascii="Arial" w:eastAsiaTheme="minorEastAsia" w:hAnsi="Arial" w:cs="Arial"/>
          <w:i/>
          <w:iCs/>
          <w:bdr w:val="none" w:sz="0" w:space="0" w:color="auto"/>
        </w:rPr>
        <w:t xml:space="preserve"> Lancet, 374</w:t>
      </w:r>
      <w:r w:rsidRPr="00CC7E17">
        <w:rPr>
          <w:rFonts w:ascii="Arial" w:eastAsiaTheme="minorEastAsia" w:hAnsi="Arial" w:cs="Arial"/>
          <w:bdr w:val="none" w:sz="0" w:space="0" w:color="auto"/>
        </w:rPr>
        <w:t>(9683), 48-55. doi:10.1016/S0140-6736(09)60618-8; 10.1016/S0140-6736(09)60618-8</w:t>
      </w:r>
    </w:p>
    <w:p w14:paraId="2BD0168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Sheiner, E., Edri, A., Balaban, E., Levi, I., &amp; Aricha-Tamir, B. (2011). Pregnancy outcome of patients who conceive during or after the first year following bariatric surgery.</w:t>
      </w:r>
      <w:r w:rsidRPr="00CC7E17">
        <w:rPr>
          <w:rFonts w:ascii="Arial" w:eastAsiaTheme="minorEastAsia" w:hAnsi="Arial" w:cs="Arial"/>
          <w:i/>
          <w:iCs/>
          <w:bdr w:val="none" w:sz="0" w:space="0" w:color="auto"/>
        </w:rPr>
        <w:t xml:space="preserve"> American Journal of Obstetrics and Gynecology, 204</w:t>
      </w:r>
      <w:r w:rsidRPr="00CC7E17">
        <w:rPr>
          <w:rFonts w:ascii="Arial" w:eastAsiaTheme="minorEastAsia" w:hAnsi="Arial" w:cs="Arial"/>
          <w:bdr w:val="none" w:sz="0" w:space="0" w:color="auto"/>
        </w:rPr>
        <w:t>(1), 50.e1-50.e6. doi:10.1016/j.ajog.2010.08.027; 10.1016/j.ajog.2010.08.027</w:t>
      </w:r>
    </w:p>
    <w:p w14:paraId="68FC198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Shoesmith, C. L., Findlater, K., Rowe, A., &amp; Strong, M. J. (2007). Prognosis of amyotrophic lateral sclerosis with respiratory onset.</w:t>
      </w:r>
      <w:r w:rsidRPr="00CC7E17">
        <w:rPr>
          <w:rFonts w:ascii="Arial" w:eastAsiaTheme="minorEastAsia" w:hAnsi="Arial" w:cs="Arial"/>
          <w:i/>
          <w:iCs/>
          <w:bdr w:val="none" w:sz="0" w:space="0" w:color="auto"/>
        </w:rPr>
        <w:t xml:space="preserve"> Journal of Neurology, Neurosurgery, and Psychiatry, 78</w:t>
      </w:r>
      <w:r w:rsidRPr="00CC7E17">
        <w:rPr>
          <w:rFonts w:ascii="Arial" w:eastAsiaTheme="minorEastAsia" w:hAnsi="Arial" w:cs="Arial"/>
          <w:bdr w:val="none" w:sz="0" w:space="0" w:color="auto"/>
        </w:rPr>
        <w:t>(6), 629-631. doi:10.1136/jnnp.2006.103564</w:t>
      </w:r>
    </w:p>
    <w:p w14:paraId="2A6BE82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Srokowski, T. P., Fang, S., Hortobagyi, G. N., &amp; Giordano, S. H. (2009). Impact of diabetes mellitus on complications and outcomes of adjuvant chemotherapy in older patients with breast cancer.</w:t>
      </w:r>
      <w:r w:rsidRPr="00CC7E17">
        <w:rPr>
          <w:rFonts w:ascii="Arial" w:eastAsiaTheme="minorEastAsia" w:hAnsi="Arial" w:cs="Arial"/>
          <w:i/>
          <w:iCs/>
          <w:bdr w:val="none" w:sz="0" w:space="0" w:color="auto"/>
        </w:rPr>
        <w:t xml:space="preserve"> Journal of Clinical Oncology : Official Journal of the American Society of Clinical Oncology, 27</w:t>
      </w:r>
      <w:r w:rsidRPr="00CC7E17">
        <w:rPr>
          <w:rFonts w:ascii="Arial" w:eastAsiaTheme="minorEastAsia" w:hAnsi="Arial" w:cs="Arial"/>
          <w:bdr w:val="none" w:sz="0" w:space="0" w:color="auto"/>
        </w:rPr>
        <w:t>(13), 2170-2176. doi:10.1200/JCO.2008.17.5935; 10.1200/JCO.2008.17.5935</w:t>
      </w:r>
    </w:p>
    <w:p w14:paraId="08B6A63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Stearns, A. T., Hole, D., George, W. D., &amp; Kingsmore, D. B. (2007). Comparison of breast cancer mortality rates with those of ovarian and colorectal carcinoma.</w:t>
      </w:r>
      <w:r w:rsidRPr="00CC7E17">
        <w:rPr>
          <w:rFonts w:ascii="Arial" w:eastAsiaTheme="minorEastAsia" w:hAnsi="Arial" w:cs="Arial"/>
          <w:i/>
          <w:iCs/>
          <w:bdr w:val="none" w:sz="0" w:space="0" w:color="auto"/>
        </w:rPr>
        <w:t xml:space="preserve"> The British Journal of Surgery, 94</w:t>
      </w:r>
      <w:r w:rsidRPr="00CC7E17">
        <w:rPr>
          <w:rFonts w:ascii="Arial" w:eastAsiaTheme="minorEastAsia" w:hAnsi="Arial" w:cs="Arial"/>
          <w:bdr w:val="none" w:sz="0" w:space="0" w:color="auto"/>
        </w:rPr>
        <w:t>(8), 957-965. doi:10.1002/bjs.5667</w:t>
      </w:r>
    </w:p>
    <w:p w14:paraId="6212873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Tomlinson, G. E., Breslow, N. E., Dome, J., Guthrie, K. A., Norkool, P., Li, S., et al. (2005). Rhabdoid tumor of the kidney in the national wilms' tumor study: Age at diagnosis as a prognostic factor.</w:t>
      </w:r>
      <w:r w:rsidRPr="00CC7E17">
        <w:rPr>
          <w:rFonts w:ascii="Arial" w:eastAsiaTheme="minorEastAsia" w:hAnsi="Arial" w:cs="Arial"/>
          <w:i/>
          <w:iCs/>
          <w:bdr w:val="none" w:sz="0" w:space="0" w:color="auto"/>
        </w:rPr>
        <w:t xml:space="preserve"> Journal of Clinical Oncology : Official Journal of the American Society of Clinical Oncology, 23</w:t>
      </w:r>
      <w:r w:rsidRPr="00CC7E17">
        <w:rPr>
          <w:rFonts w:ascii="Arial" w:eastAsiaTheme="minorEastAsia" w:hAnsi="Arial" w:cs="Arial"/>
          <w:bdr w:val="none" w:sz="0" w:space="0" w:color="auto"/>
        </w:rPr>
        <w:t>(30), 7641-7645. doi:10.1200/JCO.2004.00.8110</w:t>
      </w:r>
    </w:p>
    <w:p w14:paraId="7BD9DB2F"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Tran, S. H., Cheng, Y. W., Kaimal, A. J., &amp; Caughey, A. B. (2008). Length of rupture of membranes in the setting of premature rupture of membranes at term and infectious maternal morbidity.</w:t>
      </w:r>
      <w:r w:rsidRPr="00CC7E17">
        <w:rPr>
          <w:rFonts w:ascii="Arial" w:eastAsiaTheme="minorEastAsia" w:hAnsi="Arial" w:cs="Arial"/>
          <w:i/>
          <w:iCs/>
          <w:bdr w:val="none" w:sz="0" w:space="0" w:color="auto"/>
        </w:rPr>
        <w:t xml:space="preserve"> American Journal of Obstetrics and Gynecology, 198</w:t>
      </w:r>
      <w:r w:rsidRPr="00CC7E17">
        <w:rPr>
          <w:rFonts w:ascii="Arial" w:eastAsiaTheme="minorEastAsia" w:hAnsi="Arial" w:cs="Arial"/>
          <w:bdr w:val="none" w:sz="0" w:space="0" w:color="auto"/>
        </w:rPr>
        <w:t>(6), 700.e1-700.e5. doi:10.1016/j.ajog.2008.03.031; 10.1016/j.ajog.2008.03.031</w:t>
      </w:r>
    </w:p>
    <w:p w14:paraId="6FBA9F9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Tyson, J. E., Parikh, N. A., Langer, J., Green, C., Higgins, R. D., &amp; National Institute of Child Health and Human Development Neonatal Research Network. (2008). Intensive care for extreme prematurity--moving beyond gestational age.</w:t>
      </w:r>
      <w:r w:rsidRPr="00CC7E17">
        <w:rPr>
          <w:rFonts w:ascii="Arial" w:eastAsiaTheme="minorEastAsia" w:hAnsi="Arial" w:cs="Arial"/>
          <w:i/>
          <w:iCs/>
          <w:bdr w:val="none" w:sz="0" w:space="0" w:color="auto"/>
        </w:rPr>
        <w:t xml:space="preserve"> The New England Journal of Medicine, 358</w:t>
      </w:r>
      <w:r w:rsidRPr="00CC7E17">
        <w:rPr>
          <w:rFonts w:ascii="Arial" w:eastAsiaTheme="minorEastAsia" w:hAnsi="Arial" w:cs="Arial"/>
          <w:bdr w:val="none" w:sz="0" w:space="0" w:color="auto"/>
        </w:rPr>
        <w:t>(16), 1672-1681. doi:10.1056/NEJMoa073059; 10.1056/NEJMoa073059</w:t>
      </w:r>
    </w:p>
    <w:p w14:paraId="65897E6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der Bilt, I., Hasan, D., van den Brink, R., Cramer, M. J., van der Jagt, M., van Kooten, F., et al. (2014). Cardiac dysfunction after aneurysmal subarachnoid hemorrhage: Relationship with outcome.</w:t>
      </w:r>
      <w:r w:rsidRPr="00CC7E17">
        <w:rPr>
          <w:rFonts w:ascii="Arial" w:eastAsiaTheme="minorEastAsia" w:hAnsi="Arial" w:cs="Arial"/>
          <w:i/>
          <w:iCs/>
          <w:bdr w:val="none" w:sz="0" w:space="0" w:color="auto"/>
        </w:rPr>
        <w:t xml:space="preserve"> Neurology, 82</w:t>
      </w:r>
      <w:r w:rsidRPr="00CC7E17">
        <w:rPr>
          <w:rFonts w:ascii="Arial" w:eastAsiaTheme="minorEastAsia" w:hAnsi="Arial" w:cs="Arial"/>
          <w:bdr w:val="none" w:sz="0" w:space="0" w:color="auto"/>
        </w:rPr>
        <w:t>(4), 351-358. doi:10.1212/WNL.0000000000000057; 10.1212/WNL.0000000000000057</w:t>
      </w:r>
    </w:p>
    <w:p w14:paraId="66C437A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Vasudev, B., Hariharan, S., Hussain, S. A., Zhu, Y. R., Bresnahan, B. A., &amp; Cohen, E. P. (2005). BK virus nephritis: Risk factors, timing, and outcome in renal transplant recipients.</w:t>
      </w:r>
      <w:r w:rsidRPr="00CC7E17">
        <w:rPr>
          <w:rFonts w:ascii="Arial" w:eastAsiaTheme="minorEastAsia" w:hAnsi="Arial" w:cs="Arial"/>
          <w:i/>
          <w:iCs/>
          <w:bdr w:val="none" w:sz="0" w:space="0" w:color="auto"/>
        </w:rPr>
        <w:t xml:space="preserve"> Kidney International, 68</w:t>
      </w:r>
      <w:r w:rsidRPr="00CC7E17">
        <w:rPr>
          <w:rFonts w:ascii="Arial" w:eastAsiaTheme="minorEastAsia" w:hAnsi="Arial" w:cs="Arial"/>
          <w:bdr w:val="none" w:sz="0" w:space="0" w:color="auto"/>
        </w:rPr>
        <w:t>(4), 1834-1839. doi:10.1111/j.1523-1755.2005.00602.x</w:t>
      </w:r>
    </w:p>
    <w:p w14:paraId="1098A90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Winkelmayer, W. C., Mehta, J., &amp; Wang, P. S. (2007). Benzodiazepine use and mortality of incident dialysis patients in the united states.</w:t>
      </w:r>
      <w:r w:rsidRPr="00CC7E17">
        <w:rPr>
          <w:rFonts w:ascii="Arial" w:eastAsiaTheme="minorEastAsia" w:hAnsi="Arial" w:cs="Arial"/>
          <w:i/>
          <w:iCs/>
          <w:bdr w:val="none" w:sz="0" w:space="0" w:color="auto"/>
        </w:rPr>
        <w:t xml:space="preserve"> Kidney International, 72</w:t>
      </w:r>
      <w:r w:rsidRPr="00CC7E17">
        <w:rPr>
          <w:rFonts w:ascii="Arial" w:eastAsiaTheme="minorEastAsia" w:hAnsi="Arial" w:cs="Arial"/>
          <w:bdr w:val="none" w:sz="0" w:space="0" w:color="auto"/>
        </w:rPr>
        <w:t>(11), 1388-1393. doi:10.1038/sj.ki.5002548</w:t>
      </w:r>
    </w:p>
    <w:p w14:paraId="4B99992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Woo, D. K., Jones, C. R., Vanoli-Storz, M. N., Kohler, S., Reddy, S., Advani, R., et al. (2009). Prognostic factors in primary cutaneous anaplastic large cell lymphoma: Characterization of clinical subset with worse outcome.</w:t>
      </w:r>
      <w:r w:rsidRPr="00CC7E17">
        <w:rPr>
          <w:rFonts w:ascii="Arial" w:eastAsiaTheme="minorEastAsia" w:hAnsi="Arial" w:cs="Arial"/>
          <w:i/>
          <w:iCs/>
          <w:bdr w:val="none" w:sz="0" w:space="0" w:color="auto"/>
        </w:rPr>
        <w:t xml:space="preserve"> Archives of Dermatology, 145</w:t>
      </w:r>
      <w:r w:rsidRPr="00CC7E17">
        <w:rPr>
          <w:rFonts w:ascii="Arial" w:eastAsiaTheme="minorEastAsia" w:hAnsi="Arial" w:cs="Arial"/>
          <w:bdr w:val="none" w:sz="0" w:space="0" w:color="auto"/>
        </w:rPr>
        <w:t>(6), 667-674. doi:10.1001/archdermatol.2009.74; 10.1001/archdermatol.2009.74</w:t>
      </w:r>
    </w:p>
    <w:p w14:paraId="5E957A0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Ye, C., Masterman, J. R., Huberman, M. S., Gangadharan, S. P., McDonald, D. C., Kent, M. S., et al. (2009). Subdivision of the T1 size descriptor for stage I non-small cell lung cancer has prognostic value: A single institution experience.</w:t>
      </w:r>
      <w:r w:rsidRPr="00CC7E17">
        <w:rPr>
          <w:rFonts w:ascii="Arial" w:eastAsiaTheme="minorEastAsia" w:hAnsi="Arial" w:cs="Arial"/>
          <w:i/>
          <w:iCs/>
          <w:bdr w:val="none" w:sz="0" w:space="0" w:color="auto"/>
        </w:rPr>
        <w:t xml:space="preserve"> Chest, 136</w:t>
      </w:r>
      <w:r w:rsidRPr="00CC7E17">
        <w:rPr>
          <w:rFonts w:ascii="Arial" w:eastAsiaTheme="minorEastAsia" w:hAnsi="Arial" w:cs="Arial"/>
          <w:bdr w:val="none" w:sz="0" w:space="0" w:color="auto"/>
        </w:rPr>
        <w:t>(3), 710-715. doi:10.1378/chest.09-0823; 10.1378/chest.09-0823</w:t>
      </w:r>
    </w:p>
    <w:p w14:paraId="2777715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Yuhara, H., Steinmaus, C., Cohen, S. E., Corley, D. A., Tei, Y., &amp; Buffler, P. A. (2011). Is diabetes mellitus an independent risk factor for colon cancer and rectal cancer?</w:t>
      </w:r>
      <w:r w:rsidRPr="00CC7E17">
        <w:rPr>
          <w:rFonts w:ascii="Arial" w:eastAsiaTheme="minorEastAsia" w:hAnsi="Arial" w:cs="Arial"/>
          <w:i/>
          <w:iCs/>
          <w:bdr w:val="none" w:sz="0" w:space="0" w:color="auto"/>
        </w:rPr>
        <w:t xml:space="preserve"> The American Journal of Gastroenterology, 106</w:t>
      </w:r>
      <w:r w:rsidRPr="00CC7E17">
        <w:rPr>
          <w:rFonts w:ascii="Arial" w:eastAsiaTheme="minorEastAsia" w:hAnsi="Arial" w:cs="Arial"/>
          <w:bdr w:val="none" w:sz="0" w:space="0" w:color="auto"/>
        </w:rPr>
        <w:t>(11), 1911-21; quiz 1922. doi:10.1038/ajg.2011.301; 10.1038/ajg.2011.301</w:t>
      </w:r>
    </w:p>
    <w:p w14:paraId="2C4376F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Zeitlin, J., El Ayoubi, M., Jarreau, P. H., Draper, E. S., Blondel, B., Kunzel, W., et al. (2010). Impact of fetal growth restriction on mortality and morbidity in a very preterm birth cohort.</w:t>
      </w:r>
      <w:r w:rsidRPr="00CC7E17">
        <w:rPr>
          <w:rFonts w:ascii="Arial" w:eastAsiaTheme="minorEastAsia" w:hAnsi="Arial" w:cs="Arial"/>
          <w:i/>
          <w:iCs/>
          <w:bdr w:val="none" w:sz="0" w:space="0" w:color="auto"/>
        </w:rPr>
        <w:t xml:space="preserve"> The Journal of Pediatrics, 157</w:t>
      </w:r>
      <w:r w:rsidRPr="00CC7E17">
        <w:rPr>
          <w:rFonts w:ascii="Arial" w:eastAsiaTheme="minorEastAsia" w:hAnsi="Arial" w:cs="Arial"/>
          <w:bdr w:val="none" w:sz="0" w:space="0" w:color="auto"/>
        </w:rPr>
        <w:t>(5), 733-9.e1. doi:10.1016/j.jpeds.2010.05.002; 10.1016/j.jpeds.2010.05.002</w:t>
      </w:r>
    </w:p>
    <w:p w14:paraId="5D1CBB8C" w14:textId="333888B9" w:rsidR="00D65CCC" w:rsidRPr="00CC7E17" w:rsidRDefault="00544F95" w:rsidP="0009624B">
      <w:pPr>
        <w:spacing w:line="360" w:lineRule="auto"/>
        <w:ind w:left="567" w:hanging="567"/>
        <w:rPr>
          <w:rFonts w:ascii="Arial" w:hAnsi="Arial" w:cs="Arial"/>
        </w:rPr>
      </w:pPr>
      <w:r w:rsidRPr="00CC7E17">
        <w:rPr>
          <w:rFonts w:ascii="Arial" w:eastAsiaTheme="minorEastAsia" w:hAnsi="Arial" w:cs="Arial"/>
          <w:bdr w:val="none" w:sz="0" w:space="0" w:color="auto"/>
        </w:rPr>
        <w:t>Zia, E., Engstrom, G., Svensson, P. J., Norrving, B., &amp; Pessah-Rasmussen, H. (2009). Three-year survival and stroke recurrence rates in patients with primary intracerebral hemorrhage.</w:t>
      </w:r>
      <w:r w:rsidRPr="00CC7E17">
        <w:rPr>
          <w:rFonts w:ascii="Arial" w:eastAsiaTheme="minorEastAsia" w:hAnsi="Arial" w:cs="Arial"/>
          <w:i/>
          <w:iCs/>
          <w:bdr w:val="none" w:sz="0" w:space="0" w:color="auto"/>
        </w:rPr>
        <w:t xml:space="preserve"> Stroke; a Journal of Cerebral Circulation, 40</w:t>
      </w:r>
      <w:r w:rsidRPr="00CC7E17">
        <w:rPr>
          <w:rFonts w:ascii="Arial" w:eastAsiaTheme="minorEastAsia" w:hAnsi="Arial" w:cs="Arial"/>
          <w:bdr w:val="none" w:sz="0" w:space="0" w:color="auto"/>
        </w:rPr>
        <w:t>(11), 3567-3573. doi:10.1161/STROKEAHA.109.556324; 10.1161/STROKEAHA.109.556324</w:t>
      </w:r>
    </w:p>
    <w:p w14:paraId="6B46990C" w14:textId="77777777" w:rsidR="00544F95" w:rsidRPr="00CC7E17" w:rsidRDefault="00544F95" w:rsidP="0009624B">
      <w:pPr>
        <w:spacing w:line="360" w:lineRule="auto"/>
        <w:rPr>
          <w:rFonts w:ascii="Arial" w:hAnsi="Arial" w:cs="Arial"/>
        </w:rPr>
      </w:pPr>
    </w:p>
    <w:p w14:paraId="0E6A61F1" w14:textId="77777777" w:rsidR="00544F95" w:rsidRPr="00CC7E17" w:rsidRDefault="00544F95" w:rsidP="0009624B">
      <w:pPr>
        <w:pStyle w:val="NoSpacing"/>
        <w:spacing w:line="360" w:lineRule="auto"/>
        <w:rPr>
          <w:rFonts w:ascii="Arial" w:hAnsi="Arial" w:cs="Arial"/>
        </w:rPr>
      </w:pPr>
    </w:p>
    <w:p w14:paraId="044D85BE" w14:textId="0094D038" w:rsidR="006C5E8D" w:rsidRPr="00CC7E17" w:rsidRDefault="006C5E8D" w:rsidP="0009624B">
      <w:pPr>
        <w:pStyle w:val="Heading3"/>
        <w:spacing w:line="360" w:lineRule="auto"/>
        <w:rPr>
          <w:rFonts w:ascii="Arial" w:hAnsi="Arial" w:cs="Arial"/>
        </w:rPr>
      </w:pPr>
      <w:bookmarkStart w:id="54" w:name="_Toc286437138"/>
      <w:r w:rsidRPr="00CC7E17">
        <w:rPr>
          <w:rFonts w:ascii="Arial" w:hAnsi="Arial" w:cs="Arial"/>
        </w:rPr>
        <w:t xml:space="preserve">Articles Deemed not of Interest – </w:t>
      </w:r>
      <w:r w:rsidR="003616E0" w:rsidRPr="00CC7E17">
        <w:rPr>
          <w:rFonts w:ascii="Arial" w:hAnsi="Arial" w:cs="Arial"/>
        </w:rPr>
        <w:t>More than 10 outcomes reported</w:t>
      </w:r>
      <w:bookmarkEnd w:id="54"/>
      <w:r w:rsidRPr="00CC7E17">
        <w:rPr>
          <w:rFonts w:ascii="Arial" w:hAnsi="Arial" w:cs="Arial"/>
        </w:rPr>
        <w:t xml:space="preserve"> </w:t>
      </w:r>
    </w:p>
    <w:p w14:paraId="1155EAE3"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Akikusa, J. D., Schneider, R., Harvey, E. A., Hebert, D., Thorner, P. S., Laxer, R. M., et al. (2007). Clinical features and outcome of pediatric wegener's granulomatosis.</w:t>
      </w:r>
      <w:r w:rsidRPr="00CC7E17">
        <w:rPr>
          <w:rFonts w:ascii="Arial" w:eastAsiaTheme="minorEastAsia" w:hAnsi="Arial" w:cs="Arial"/>
          <w:i/>
          <w:iCs/>
          <w:bdr w:val="none" w:sz="0" w:space="0" w:color="auto"/>
        </w:rPr>
        <w:t xml:space="preserve"> Arthritis and Rheumatism, 57</w:t>
      </w:r>
      <w:r w:rsidRPr="00CC7E17">
        <w:rPr>
          <w:rFonts w:ascii="Arial" w:eastAsiaTheme="minorEastAsia" w:hAnsi="Arial" w:cs="Arial"/>
          <w:bdr w:val="none" w:sz="0" w:space="0" w:color="auto"/>
        </w:rPr>
        <w:t>(5), 837-844. doi:10.1002/art.22774</w:t>
      </w:r>
    </w:p>
    <w:p w14:paraId="2820BA3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Al-Taiar, A., Hammoud, M. S., Cuiqing, L., Lee, J. K., Lui, K. M., Nakwan, N., et al. (2013). Neonatal infections in china, malaysia, hong kong and thailand.</w:t>
      </w:r>
      <w:r w:rsidRPr="00CC7E17">
        <w:rPr>
          <w:rFonts w:ascii="Arial" w:eastAsiaTheme="minorEastAsia" w:hAnsi="Arial" w:cs="Arial"/>
          <w:i/>
          <w:iCs/>
          <w:bdr w:val="none" w:sz="0" w:space="0" w:color="auto"/>
        </w:rPr>
        <w:t xml:space="preserve"> Archives of Disease in Childhood.Fetal and Neonatal Edition, 98</w:t>
      </w:r>
      <w:r w:rsidRPr="00CC7E17">
        <w:rPr>
          <w:rFonts w:ascii="Arial" w:eastAsiaTheme="minorEastAsia" w:hAnsi="Arial" w:cs="Arial"/>
          <w:bdr w:val="none" w:sz="0" w:space="0" w:color="auto"/>
        </w:rPr>
        <w:t>(3), F249-55. doi:10.1136/archdischild-2012-301767; 10.1136/archdischild-2012-301767</w:t>
      </w:r>
    </w:p>
    <w:p w14:paraId="0A95A3B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Bethel, M. A., Sloan, F. A., Belsky, D., &amp; Feinglos, M. N. (2007). Longitudinal incidence and prevalence of adverse outcomes of diabetes mellitus in elderly patients.</w:t>
      </w:r>
      <w:r w:rsidRPr="00CC7E17">
        <w:rPr>
          <w:rFonts w:ascii="Arial" w:eastAsiaTheme="minorEastAsia" w:hAnsi="Arial" w:cs="Arial"/>
          <w:i/>
          <w:iCs/>
          <w:bdr w:val="none" w:sz="0" w:space="0" w:color="auto"/>
        </w:rPr>
        <w:t xml:space="preserve"> Archives of Internal Medicine, 167</w:t>
      </w:r>
      <w:r w:rsidRPr="00CC7E17">
        <w:rPr>
          <w:rFonts w:ascii="Arial" w:eastAsiaTheme="minorEastAsia" w:hAnsi="Arial" w:cs="Arial"/>
          <w:bdr w:val="none" w:sz="0" w:space="0" w:color="auto"/>
        </w:rPr>
        <w:t>(9), 921-927. doi:10.1001/archinte.167.9.921</w:t>
      </w:r>
    </w:p>
    <w:p w14:paraId="29B61FA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Bhatia, R. S., Tu, J. V., Lee, D. S., Austin, P. C., Fang, J., Haouzi, A., et al. (2006). Outcome of heart failure with preserved ejection fraction in a population-based study.</w:t>
      </w:r>
      <w:r w:rsidRPr="00CC7E17">
        <w:rPr>
          <w:rFonts w:ascii="Arial" w:eastAsiaTheme="minorEastAsia" w:hAnsi="Arial" w:cs="Arial"/>
          <w:i/>
          <w:iCs/>
          <w:bdr w:val="none" w:sz="0" w:space="0" w:color="auto"/>
        </w:rPr>
        <w:t xml:space="preserve"> The New England Journal of Medicine, 355</w:t>
      </w:r>
      <w:r w:rsidRPr="00CC7E17">
        <w:rPr>
          <w:rFonts w:ascii="Arial" w:eastAsiaTheme="minorEastAsia" w:hAnsi="Arial" w:cs="Arial"/>
          <w:bdr w:val="none" w:sz="0" w:space="0" w:color="auto"/>
        </w:rPr>
        <w:t>(3), 260-269. doi:10.1056/NEJMoa051530</w:t>
      </w:r>
    </w:p>
    <w:p w14:paraId="4AE9661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Blumenfeld, Y. J., Lee, H. C., Gould, J. B., Langen, E. S., Jafari, A., &amp; El-Sayed, Y. Y. (2010). The effect of preterm premature rupture of membranes on neonatal mortality rates.</w:t>
      </w:r>
      <w:r w:rsidRPr="00CC7E17">
        <w:rPr>
          <w:rFonts w:ascii="Arial" w:eastAsiaTheme="minorEastAsia" w:hAnsi="Arial" w:cs="Arial"/>
          <w:i/>
          <w:iCs/>
          <w:bdr w:val="none" w:sz="0" w:space="0" w:color="auto"/>
        </w:rPr>
        <w:t xml:space="preserve"> Obstetrics and Gynecology, 116</w:t>
      </w:r>
      <w:r w:rsidRPr="00CC7E17">
        <w:rPr>
          <w:rFonts w:ascii="Arial" w:eastAsiaTheme="minorEastAsia" w:hAnsi="Arial" w:cs="Arial"/>
          <w:bdr w:val="none" w:sz="0" w:space="0" w:color="auto"/>
        </w:rPr>
        <w:t>(6), 1381-1386. doi:10.1097/AOG.0b013e3181fe3d28; 10.1097/AOG.0b013e3181fe3d28</w:t>
      </w:r>
    </w:p>
    <w:p w14:paraId="76FF70E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Bodeau-Livinec, F., Marlow, N., Ancel, P. Y., Kurinczuk, J. J., Costeloe, K., &amp; Kaminski, M. (2008). Impact of intensive care practices on short-term and long-term outcomes for extremely preterm infants: Comparison between the british isles and france.</w:t>
      </w:r>
      <w:r w:rsidRPr="00CC7E17">
        <w:rPr>
          <w:rFonts w:ascii="Arial" w:eastAsiaTheme="minorEastAsia" w:hAnsi="Arial" w:cs="Arial"/>
          <w:i/>
          <w:iCs/>
          <w:bdr w:val="none" w:sz="0" w:space="0" w:color="auto"/>
        </w:rPr>
        <w:t xml:space="preserve"> Pediatrics, 122</w:t>
      </w:r>
      <w:r w:rsidRPr="00CC7E17">
        <w:rPr>
          <w:rFonts w:ascii="Arial" w:eastAsiaTheme="minorEastAsia" w:hAnsi="Arial" w:cs="Arial"/>
          <w:bdr w:val="none" w:sz="0" w:space="0" w:color="auto"/>
        </w:rPr>
        <w:t>(5), e1014-21. doi:10.1542/peds.2007-2976; 10.1542/peds.2007-2976</w:t>
      </w:r>
    </w:p>
    <w:p w14:paraId="409C20B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Catena, C., Colussi, G., Nadalini, E., Chiuch, A., Baroselli, S., Lapenna, R., et al. (2008). Cardiovascular outcomes in patients with primary aldosteronism after treatment.</w:t>
      </w:r>
      <w:r w:rsidRPr="00CC7E17">
        <w:rPr>
          <w:rFonts w:ascii="Arial" w:eastAsiaTheme="minorEastAsia" w:hAnsi="Arial" w:cs="Arial"/>
          <w:i/>
          <w:iCs/>
          <w:bdr w:val="none" w:sz="0" w:space="0" w:color="auto"/>
        </w:rPr>
        <w:t xml:space="preserve"> Archives of Internal Medicine, 168</w:t>
      </w:r>
      <w:r w:rsidRPr="00CC7E17">
        <w:rPr>
          <w:rFonts w:ascii="Arial" w:eastAsiaTheme="minorEastAsia" w:hAnsi="Arial" w:cs="Arial"/>
          <w:bdr w:val="none" w:sz="0" w:space="0" w:color="auto"/>
        </w:rPr>
        <w:t>(1), 80-85. doi:10.1001/archinternmed.2007.33; 10.1001/archinternmed.2007.33</w:t>
      </w:r>
    </w:p>
    <w:p w14:paraId="40A1018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Center, J. R., Bliuc, D., Nguyen, T. V., &amp; Eisman, J. A. (2007). Risk of subsequent fracture after low-trauma fracture in men and women.</w:t>
      </w:r>
      <w:r w:rsidRPr="00CC7E17">
        <w:rPr>
          <w:rFonts w:ascii="Arial" w:eastAsiaTheme="minorEastAsia" w:hAnsi="Arial" w:cs="Arial"/>
          <w:i/>
          <w:iCs/>
          <w:bdr w:val="none" w:sz="0" w:space="0" w:color="auto"/>
        </w:rPr>
        <w:t xml:space="preserve"> JAMA : The Journal of the American Medical Association, 297</w:t>
      </w:r>
      <w:r w:rsidRPr="00CC7E17">
        <w:rPr>
          <w:rFonts w:ascii="Arial" w:eastAsiaTheme="minorEastAsia" w:hAnsi="Arial" w:cs="Arial"/>
          <w:bdr w:val="none" w:sz="0" w:space="0" w:color="auto"/>
        </w:rPr>
        <w:t>(4), 387-394. doi:10.1001/jama.297.4.387</w:t>
      </w:r>
    </w:p>
    <w:p w14:paraId="7BC5409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Chen, Y. X., Yu, H. J., Ni, L. Y., Zhang, W., Xu, Y. W., Ren, H., et al. (2007). Propylthiouracil-associated antineutrophil cytoplasmic autoantibody-positive vasculitis: Retrospective study of 19 cases.</w:t>
      </w:r>
      <w:r w:rsidRPr="00CC7E17">
        <w:rPr>
          <w:rFonts w:ascii="Arial" w:eastAsiaTheme="minorEastAsia" w:hAnsi="Arial" w:cs="Arial"/>
          <w:i/>
          <w:iCs/>
          <w:bdr w:val="none" w:sz="0" w:space="0" w:color="auto"/>
        </w:rPr>
        <w:t xml:space="preserve"> The Journal of Rheumatology, 34</w:t>
      </w:r>
      <w:r w:rsidRPr="00CC7E17">
        <w:rPr>
          <w:rFonts w:ascii="Arial" w:eastAsiaTheme="minorEastAsia" w:hAnsi="Arial" w:cs="Arial"/>
          <w:bdr w:val="none" w:sz="0" w:space="0" w:color="auto"/>
        </w:rPr>
        <w:t>(12), 2451-2456.</w:t>
      </w:r>
    </w:p>
    <w:p w14:paraId="594C77F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Christensen, J., Pedersen, M. G., Pedersen, C. B., Sidenius, P., Olsen, J., &amp; Vestergaard, M. (2009). Long-term risk of epilepsy after traumatic brain injury in children and young adults: A population-based cohort study.</w:t>
      </w:r>
      <w:r w:rsidRPr="00CC7E17">
        <w:rPr>
          <w:rFonts w:ascii="Arial" w:eastAsiaTheme="minorEastAsia" w:hAnsi="Arial" w:cs="Arial"/>
          <w:i/>
          <w:iCs/>
          <w:bdr w:val="none" w:sz="0" w:space="0" w:color="auto"/>
        </w:rPr>
        <w:t xml:space="preserve"> Lancet, 373</w:t>
      </w:r>
      <w:r w:rsidRPr="00CC7E17">
        <w:rPr>
          <w:rFonts w:ascii="Arial" w:eastAsiaTheme="minorEastAsia" w:hAnsi="Arial" w:cs="Arial"/>
          <w:bdr w:val="none" w:sz="0" w:space="0" w:color="auto"/>
        </w:rPr>
        <w:t>(9669), 1105-1110. doi:10.1016/S0140-6736(09)60214-2; 10.1016/S0140-6736(09)60214-2</w:t>
      </w:r>
    </w:p>
    <w:p w14:paraId="65A309B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Coleman, M. P., Quaresma, M., Berrino, F., Lutz, J. M., De Angelis, R., Capocaccia, R., et al. (2008). Cancer survival in five continents: A worldwide population-based study (CONCORD).</w:t>
      </w:r>
      <w:r w:rsidRPr="00CC7E17">
        <w:rPr>
          <w:rFonts w:ascii="Arial" w:eastAsiaTheme="minorEastAsia" w:hAnsi="Arial" w:cs="Arial"/>
          <w:i/>
          <w:iCs/>
          <w:bdr w:val="none" w:sz="0" w:space="0" w:color="auto"/>
        </w:rPr>
        <w:t xml:space="preserve"> The Lancet.Oncology, 9</w:t>
      </w:r>
      <w:r w:rsidRPr="00CC7E17">
        <w:rPr>
          <w:rFonts w:ascii="Arial" w:eastAsiaTheme="minorEastAsia" w:hAnsi="Arial" w:cs="Arial"/>
          <w:bdr w:val="none" w:sz="0" w:space="0" w:color="auto"/>
        </w:rPr>
        <w:t>(8), 730-756. doi:10.1016/S1470-2045(08)70179-7; 10.1016/S1470-2045(08)70179-7</w:t>
      </w:r>
    </w:p>
    <w:p w14:paraId="3AB9445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Costeloe, K. L., Hennessy, E. M., Haider, S., Stacey, F., Marlow, N., &amp; Draper, E. S. (2012). Short term outcomes after extreme preterm birth in england: Comparison of two birth cohorts in 1995 and 2006 (the EPICure studies).</w:t>
      </w:r>
      <w:r w:rsidRPr="00CC7E17">
        <w:rPr>
          <w:rFonts w:ascii="Arial" w:eastAsiaTheme="minorEastAsia" w:hAnsi="Arial" w:cs="Arial"/>
          <w:i/>
          <w:iCs/>
          <w:bdr w:val="none" w:sz="0" w:space="0" w:color="auto"/>
        </w:rPr>
        <w:t xml:space="preserve"> BMJ (Clinical Research Ed.), 345</w:t>
      </w:r>
      <w:r w:rsidRPr="00CC7E17">
        <w:rPr>
          <w:rFonts w:ascii="Arial" w:eastAsiaTheme="minorEastAsia" w:hAnsi="Arial" w:cs="Arial"/>
          <w:bdr w:val="none" w:sz="0" w:space="0" w:color="auto"/>
        </w:rPr>
        <w:t>, e7976. doi:10.1136/bmj.e7976</w:t>
      </w:r>
    </w:p>
    <w:p w14:paraId="707EBB27"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Crump, C., Sundquist, K., Sundquist, J., &amp; Winkleby, M. A. (2011). Gestational age at birth and mortality in young adulthood.</w:t>
      </w:r>
      <w:r w:rsidRPr="00CC7E17">
        <w:rPr>
          <w:rFonts w:ascii="Arial" w:eastAsiaTheme="minorEastAsia" w:hAnsi="Arial" w:cs="Arial"/>
          <w:i/>
          <w:iCs/>
          <w:bdr w:val="none" w:sz="0" w:space="0" w:color="auto"/>
        </w:rPr>
        <w:t xml:space="preserve"> JAMA : The Journal of the American Medical Association, 306</w:t>
      </w:r>
      <w:r w:rsidRPr="00CC7E17">
        <w:rPr>
          <w:rFonts w:ascii="Arial" w:eastAsiaTheme="minorEastAsia" w:hAnsi="Arial" w:cs="Arial"/>
          <w:bdr w:val="none" w:sz="0" w:space="0" w:color="auto"/>
        </w:rPr>
        <w:t>(11), 1233-1240. doi:10.1001/jama.2011.1331; 10.1001/jama.2011.1331</w:t>
      </w:r>
    </w:p>
    <w:p w14:paraId="48DEBE4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Cvetkovski, R. S., Zachariae, R., Jensen, H., Olsen, J., Johansen, J. D., &amp; Agner, T. (2006). Prognosis of occupational hand eczema: A follow-up study.</w:t>
      </w:r>
      <w:r w:rsidRPr="00CC7E17">
        <w:rPr>
          <w:rFonts w:ascii="Arial" w:eastAsiaTheme="minorEastAsia" w:hAnsi="Arial" w:cs="Arial"/>
          <w:i/>
          <w:iCs/>
          <w:bdr w:val="none" w:sz="0" w:space="0" w:color="auto"/>
        </w:rPr>
        <w:t xml:space="preserve"> Archives of Dermatology, 142</w:t>
      </w:r>
      <w:r w:rsidRPr="00CC7E17">
        <w:rPr>
          <w:rFonts w:ascii="Arial" w:eastAsiaTheme="minorEastAsia" w:hAnsi="Arial" w:cs="Arial"/>
          <w:bdr w:val="none" w:sz="0" w:space="0" w:color="auto"/>
        </w:rPr>
        <w:t>(3), 305-311. doi:10.1001/archderm.142.3.305</w:t>
      </w:r>
    </w:p>
    <w:p w14:paraId="243788F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D'Amore, A., Broster, S., Le Fort, W., Curley, A., &amp; East Anglian Very Low Birthweight Project. (2011). Two-year outcomes from very low birthweight infants in a geographically defined population across 10 years, 1993-2002: Comparing 1993-1997 with 1998-2002.</w:t>
      </w:r>
      <w:r w:rsidRPr="00CC7E17">
        <w:rPr>
          <w:rFonts w:ascii="Arial" w:eastAsiaTheme="minorEastAsia" w:hAnsi="Arial" w:cs="Arial"/>
          <w:i/>
          <w:iCs/>
          <w:bdr w:val="none" w:sz="0" w:space="0" w:color="auto"/>
        </w:rPr>
        <w:t xml:space="preserve"> Archives of Disease in Childhood.Fetal and Neonatal Edition, 96</w:t>
      </w:r>
      <w:r w:rsidRPr="00CC7E17">
        <w:rPr>
          <w:rFonts w:ascii="Arial" w:eastAsiaTheme="minorEastAsia" w:hAnsi="Arial" w:cs="Arial"/>
          <w:bdr w:val="none" w:sz="0" w:space="0" w:color="auto"/>
        </w:rPr>
        <w:t>(3), F178-85. doi:10.1136/adc.2009.171876; 10.1136/adc.2009.171876</w:t>
      </w:r>
    </w:p>
    <w:p w14:paraId="018EEC7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Drenthen, W., Pieper, P. G., Roos-Hesselink, J. W., van Lottum, W. A., Voors, A. A., Mulder, B. J., et al. (2007). Outcome of pregnancy in women with congenital heart disease: A literature review.</w:t>
      </w:r>
      <w:r w:rsidRPr="00CC7E17">
        <w:rPr>
          <w:rFonts w:ascii="Arial" w:eastAsiaTheme="minorEastAsia" w:hAnsi="Arial" w:cs="Arial"/>
          <w:i/>
          <w:iCs/>
          <w:bdr w:val="none" w:sz="0" w:space="0" w:color="auto"/>
        </w:rPr>
        <w:t xml:space="preserve"> Journal of the American College of Cardiology, 49</w:t>
      </w:r>
      <w:r w:rsidRPr="00CC7E17">
        <w:rPr>
          <w:rFonts w:ascii="Arial" w:eastAsiaTheme="minorEastAsia" w:hAnsi="Arial" w:cs="Arial"/>
          <w:bdr w:val="none" w:sz="0" w:space="0" w:color="auto"/>
        </w:rPr>
        <w:t>(24), 2303-2311. doi:10.1016/j.jacc.2007.03.027</w:t>
      </w:r>
    </w:p>
    <w:p w14:paraId="631143B3"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Fisher, P. G., Reynolds, P., Von Behren, J., Carmichael, S. L., Rasmussen, S. A., &amp; Shaw, G. M. (2012). Cancer in children with nonchromosomal birth defects.</w:t>
      </w:r>
      <w:r w:rsidRPr="00CC7E17">
        <w:rPr>
          <w:rFonts w:ascii="Arial" w:eastAsiaTheme="minorEastAsia" w:hAnsi="Arial" w:cs="Arial"/>
          <w:i/>
          <w:iCs/>
          <w:bdr w:val="none" w:sz="0" w:space="0" w:color="auto"/>
        </w:rPr>
        <w:t xml:space="preserve"> The Journal of Pediatrics, 160</w:t>
      </w:r>
      <w:r w:rsidRPr="00CC7E17">
        <w:rPr>
          <w:rFonts w:ascii="Arial" w:eastAsiaTheme="minorEastAsia" w:hAnsi="Arial" w:cs="Arial"/>
          <w:bdr w:val="none" w:sz="0" w:space="0" w:color="auto"/>
        </w:rPr>
        <w:t>(6), 978-983. doi:10.1016/j.jpeds.2011.12.006; 10.1016/j.jpeds.2011.12.006</w:t>
      </w:r>
    </w:p>
    <w:p w14:paraId="285F210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Goodson, N. J., Symmons, D. P., Scott, D. G., Bunn, D., Lunt, M., &amp; Silman, A. J. (2005). Baseline levels of C-reactive protein and prediction of death from cardiovascular disease in patients with inflammatory polyarthritis: A ten-year followup study of a primary care-based inception cohort.</w:t>
      </w:r>
      <w:r w:rsidRPr="00CC7E17">
        <w:rPr>
          <w:rFonts w:ascii="Arial" w:eastAsiaTheme="minorEastAsia" w:hAnsi="Arial" w:cs="Arial"/>
          <w:i/>
          <w:iCs/>
          <w:bdr w:val="none" w:sz="0" w:space="0" w:color="auto"/>
        </w:rPr>
        <w:t xml:space="preserve"> Arthritis and Rheumatism, 52</w:t>
      </w:r>
      <w:r w:rsidRPr="00CC7E17">
        <w:rPr>
          <w:rFonts w:ascii="Arial" w:eastAsiaTheme="minorEastAsia" w:hAnsi="Arial" w:cs="Arial"/>
          <w:bdr w:val="none" w:sz="0" w:space="0" w:color="auto"/>
        </w:rPr>
        <w:t>(8), 2293-2299. doi:10.1002/art.21204</w:t>
      </w:r>
    </w:p>
    <w:p w14:paraId="6482667A"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Gunderson, L. L., Jessup, J. M., Sargent, D. J., Greene, F. L., &amp; Stewart, A. (2010). Revised tumor and node categorization for rectal cancer based on surveillance, epidemiology, and end results and rectal pooled analysis outcomes.</w:t>
      </w:r>
      <w:r w:rsidRPr="00CC7E17">
        <w:rPr>
          <w:rFonts w:ascii="Arial" w:eastAsiaTheme="minorEastAsia" w:hAnsi="Arial" w:cs="Arial"/>
          <w:i/>
          <w:iCs/>
          <w:bdr w:val="none" w:sz="0" w:space="0" w:color="auto"/>
        </w:rPr>
        <w:t xml:space="preserve"> Journal of Clinical Oncology : Official Journal of the American Society of Clinical Oncology, 28</w:t>
      </w:r>
      <w:r w:rsidRPr="00CC7E17">
        <w:rPr>
          <w:rFonts w:ascii="Arial" w:eastAsiaTheme="minorEastAsia" w:hAnsi="Arial" w:cs="Arial"/>
          <w:bdr w:val="none" w:sz="0" w:space="0" w:color="auto"/>
        </w:rPr>
        <w:t>(2), 256-263. doi:10.1200/JCO.2009.23.9194; 10.1200/JCO.2009.23.9194</w:t>
      </w:r>
    </w:p>
    <w:p w14:paraId="79A22FD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Gunderson, L. L., Jessup, J. M., Sargent, D. J., Greene, F. L., &amp; Stewart, A. K. (2010). Revised TN categorization for colon cancer based on national survival outcomes data.</w:t>
      </w:r>
      <w:r w:rsidRPr="00CC7E17">
        <w:rPr>
          <w:rFonts w:ascii="Arial" w:eastAsiaTheme="minorEastAsia" w:hAnsi="Arial" w:cs="Arial"/>
          <w:i/>
          <w:iCs/>
          <w:bdr w:val="none" w:sz="0" w:space="0" w:color="auto"/>
        </w:rPr>
        <w:t xml:space="preserve"> Journal of Clinical Oncology : Official Journal of the American Society of Clinical Oncology, 28</w:t>
      </w:r>
      <w:r w:rsidRPr="00CC7E17">
        <w:rPr>
          <w:rFonts w:ascii="Arial" w:eastAsiaTheme="minorEastAsia" w:hAnsi="Arial" w:cs="Arial"/>
          <w:bdr w:val="none" w:sz="0" w:space="0" w:color="auto"/>
        </w:rPr>
        <w:t>(2), 264-271. doi:10.1200/JCO.2009.24.0952; 10.1200/JCO.2009.24.0952</w:t>
      </w:r>
    </w:p>
    <w:p w14:paraId="5E12E71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Hemminki, K., Ji, J., Forsti, A., Sundquist, J., &amp; Lenner, P. (2008). Concordance of survival in family members with prostate cancer.</w:t>
      </w:r>
      <w:r w:rsidRPr="00CC7E17">
        <w:rPr>
          <w:rFonts w:ascii="Arial" w:eastAsiaTheme="minorEastAsia" w:hAnsi="Arial" w:cs="Arial"/>
          <w:i/>
          <w:iCs/>
          <w:bdr w:val="none" w:sz="0" w:space="0" w:color="auto"/>
        </w:rPr>
        <w:t xml:space="preserve"> Journal of Clinical Oncology : Official Journal of the American Society of Clinical Oncology, 26</w:t>
      </w:r>
      <w:r w:rsidRPr="00CC7E17">
        <w:rPr>
          <w:rFonts w:ascii="Arial" w:eastAsiaTheme="minorEastAsia" w:hAnsi="Arial" w:cs="Arial"/>
          <w:bdr w:val="none" w:sz="0" w:space="0" w:color="auto"/>
        </w:rPr>
        <w:t>(10), 1705-1709. doi:10.1200/JCO.2007.13.3355; 10.1200/JCO.2007.13.3355</w:t>
      </w:r>
    </w:p>
    <w:p w14:paraId="1637FAA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Hernandez, S., Lopez-Knowles, E., Lloreta, J., Kogevinas, M., Amoros, A., Tardon, A., et al. (2006). Prospective study of FGFR3 mutations as a prognostic factor in nonmuscle invasive urothelial bladder carcinomas.</w:t>
      </w:r>
      <w:r w:rsidRPr="00CC7E17">
        <w:rPr>
          <w:rFonts w:ascii="Arial" w:eastAsiaTheme="minorEastAsia" w:hAnsi="Arial" w:cs="Arial"/>
          <w:i/>
          <w:iCs/>
          <w:bdr w:val="none" w:sz="0" w:space="0" w:color="auto"/>
        </w:rPr>
        <w:t xml:space="preserve"> Journal of Clinical Oncology : Official Journal of the American Society of Clinical Oncology, 24</w:t>
      </w:r>
      <w:r w:rsidRPr="00CC7E17">
        <w:rPr>
          <w:rFonts w:ascii="Arial" w:eastAsiaTheme="minorEastAsia" w:hAnsi="Arial" w:cs="Arial"/>
          <w:bdr w:val="none" w:sz="0" w:space="0" w:color="auto"/>
        </w:rPr>
        <w:t>(22), 3664-3671. doi:10.1200/JCO.2005.05.1771</w:t>
      </w:r>
    </w:p>
    <w:p w14:paraId="7C97B354"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Hiraki, L. T., Benseler, S. M., Tyrrell, P. N., Hebert, D., Harvey, E., &amp; Silverman, E. D. (2008). Clinical and laboratory characteristics and long-term outcome of pediatric systemic lupus erythematosus: A longitudinal study.</w:t>
      </w:r>
      <w:r w:rsidRPr="00CC7E17">
        <w:rPr>
          <w:rFonts w:ascii="Arial" w:eastAsiaTheme="minorEastAsia" w:hAnsi="Arial" w:cs="Arial"/>
          <w:i/>
          <w:iCs/>
          <w:bdr w:val="none" w:sz="0" w:space="0" w:color="auto"/>
        </w:rPr>
        <w:t xml:space="preserve"> The Journal of Pediatrics, 152</w:t>
      </w:r>
      <w:r w:rsidRPr="00CC7E17">
        <w:rPr>
          <w:rFonts w:ascii="Arial" w:eastAsiaTheme="minorEastAsia" w:hAnsi="Arial" w:cs="Arial"/>
          <w:bdr w:val="none" w:sz="0" w:space="0" w:color="auto"/>
        </w:rPr>
        <w:t>(4), 550-556. doi:10.1016/j.jpeds.2007.09.019; 10.1016/j.jpeds.2007.09.019</w:t>
      </w:r>
    </w:p>
    <w:p w14:paraId="62C7957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Hsiao, R., &amp; Omar, S. A. (2005). Outcome of extremely low birth weight infants with leukemoid reaction.</w:t>
      </w:r>
      <w:r w:rsidRPr="00CC7E17">
        <w:rPr>
          <w:rFonts w:ascii="Arial" w:eastAsiaTheme="minorEastAsia" w:hAnsi="Arial" w:cs="Arial"/>
          <w:i/>
          <w:iCs/>
          <w:bdr w:val="none" w:sz="0" w:space="0" w:color="auto"/>
        </w:rPr>
        <w:t xml:space="preserve"> Pediatrics, 116</w:t>
      </w:r>
      <w:r w:rsidRPr="00CC7E17">
        <w:rPr>
          <w:rFonts w:ascii="Arial" w:eastAsiaTheme="minorEastAsia" w:hAnsi="Arial" w:cs="Arial"/>
          <w:bdr w:val="none" w:sz="0" w:space="0" w:color="auto"/>
        </w:rPr>
        <w:t>(1), e43-51. doi:10.1542/peds.2004-1379</w:t>
      </w:r>
    </w:p>
    <w:p w14:paraId="1DBE3BD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Kamoji, V. M., Dorling, J. S., Manktelow, B. N., Draper, E. S., &amp; Field, D. J. (2006). Extremely growth-retarded infants: Is there a viability centile?</w:t>
      </w:r>
      <w:r w:rsidRPr="00CC7E17">
        <w:rPr>
          <w:rFonts w:ascii="Arial" w:eastAsiaTheme="minorEastAsia" w:hAnsi="Arial" w:cs="Arial"/>
          <w:i/>
          <w:iCs/>
          <w:bdr w:val="none" w:sz="0" w:space="0" w:color="auto"/>
        </w:rPr>
        <w:t xml:space="preserve"> Pediatrics, 118</w:t>
      </w:r>
      <w:r w:rsidRPr="00CC7E17">
        <w:rPr>
          <w:rFonts w:ascii="Arial" w:eastAsiaTheme="minorEastAsia" w:hAnsi="Arial" w:cs="Arial"/>
          <w:bdr w:val="none" w:sz="0" w:space="0" w:color="auto"/>
        </w:rPr>
        <w:t>(2), 758-763. doi:10.1542/peds.2005-2399</w:t>
      </w:r>
    </w:p>
    <w:p w14:paraId="26099A3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Kapetanovic, M. C., Lindqvist, E., Saxne, T., &amp; Eberhardt, K. (2008). Orthopaedic surgery in patients with rheumatoid arthritis over 20 years: Prevalence and predictive factors of large joint replacement.</w:t>
      </w:r>
      <w:r w:rsidRPr="00CC7E17">
        <w:rPr>
          <w:rFonts w:ascii="Arial" w:eastAsiaTheme="minorEastAsia" w:hAnsi="Arial" w:cs="Arial"/>
          <w:i/>
          <w:iCs/>
          <w:bdr w:val="none" w:sz="0" w:space="0" w:color="auto"/>
        </w:rPr>
        <w:t xml:space="preserve"> Annals of the Rheumatic Diseases, 67</w:t>
      </w:r>
      <w:r w:rsidRPr="00CC7E17">
        <w:rPr>
          <w:rFonts w:ascii="Arial" w:eastAsiaTheme="minorEastAsia" w:hAnsi="Arial" w:cs="Arial"/>
          <w:bdr w:val="none" w:sz="0" w:space="0" w:color="auto"/>
        </w:rPr>
        <w:t>(10), 1412-1416. doi:10.1136/ard.2007.086710; 10.1136/ard.2007.086710</w:t>
      </w:r>
    </w:p>
    <w:p w14:paraId="596F03C7"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Lai, H. J., Cheng, Y., &amp; Farrell, P. M. (2005). The survival advantage of patients with cystic fibrosis diagnosed through neonatal screening: Evidence from the united states cystic fibrosis foundation registry data.</w:t>
      </w:r>
      <w:r w:rsidRPr="00CC7E17">
        <w:rPr>
          <w:rFonts w:ascii="Arial" w:eastAsiaTheme="minorEastAsia" w:hAnsi="Arial" w:cs="Arial"/>
          <w:i/>
          <w:iCs/>
          <w:bdr w:val="none" w:sz="0" w:space="0" w:color="auto"/>
        </w:rPr>
        <w:t xml:space="preserve"> The Journal of Pediatrics, 147</w:t>
      </w:r>
      <w:r w:rsidRPr="00CC7E17">
        <w:rPr>
          <w:rFonts w:ascii="Arial" w:eastAsiaTheme="minorEastAsia" w:hAnsi="Arial" w:cs="Arial"/>
          <w:bdr w:val="none" w:sz="0" w:space="0" w:color="auto"/>
        </w:rPr>
        <w:t>(3 Suppl), S57-63. doi:10.1016/j.jpeds.2005.08.014</w:t>
      </w:r>
    </w:p>
    <w:p w14:paraId="12F0DF8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Landgren, O., Pfeiffer, R. M., Kristinsson, S. Y., &amp; Bjorkholm, M. (2010). Survival patterns in patients with hodgkin's lymphoma with a pre-existing hospital discharge diagnosis of autoimmune disease.</w:t>
      </w:r>
      <w:r w:rsidRPr="00CC7E17">
        <w:rPr>
          <w:rFonts w:ascii="Arial" w:eastAsiaTheme="minorEastAsia" w:hAnsi="Arial" w:cs="Arial"/>
          <w:i/>
          <w:iCs/>
          <w:bdr w:val="none" w:sz="0" w:space="0" w:color="auto"/>
        </w:rPr>
        <w:t xml:space="preserve"> Journal of Clinical Oncology : Official Journal of the American Society of Clinical Oncology, 28</w:t>
      </w:r>
      <w:r w:rsidRPr="00CC7E17">
        <w:rPr>
          <w:rFonts w:ascii="Arial" w:eastAsiaTheme="minorEastAsia" w:hAnsi="Arial" w:cs="Arial"/>
          <w:bdr w:val="none" w:sz="0" w:space="0" w:color="auto"/>
        </w:rPr>
        <w:t>(34), 5081-5087. doi:10.1200/JCO.2010.29.2243; 10.1200/JCO.2010.29.2243</w:t>
      </w:r>
    </w:p>
    <w:p w14:paraId="3DBC300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Lankisch, P. G., Breuer, N., Bruns, A., Weber-Dany, B., Lowenfels, A. B., &amp; Maisonneuve, P. (2009). Natural history of acute pancreatitis: A long-term population-based study.</w:t>
      </w:r>
      <w:r w:rsidRPr="00CC7E17">
        <w:rPr>
          <w:rFonts w:ascii="Arial" w:eastAsiaTheme="minorEastAsia" w:hAnsi="Arial" w:cs="Arial"/>
          <w:i/>
          <w:iCs/>
          <w:bdr w:val="none" w:sz="0" w:space="0" w:color="auto"/>
        </w:rPr>
        <w:t xml:space="preserve"> The American Journal of Gastroenterology, 104</w:t>
      </w:r>
      <w:r w:rsidRPr="00CC7E17">
        <w:rPr>
          <w:rFonts w:ascii="Arial" w:eastAsiaTheme="minorEastAsia" w:hAnsi="Arial" w:cs="Arial"/>
          <w:bdr w:val="none" w:sz="0" w:space="0" w:color="auto"/>
        </w:rPr>
        <w:t>(11), 2797-805; quiz 2806. doi:10.1038/ajg.2009.405; 10.1038/ajg.2009.405</w:t>
      </w:r>
    </w:p>
    <w:p w14:paraId="778AA12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Liang, K. P., Liang, K. V., Matteson, E. L., McClelland, R. L., Christianson, T. J., &amp; Turesson, C. (2006). Incidence of noncardiac vascular disease in rheumatoid arthritis and relationship to extraarticular disease manifestations.</w:t>
      </w:r>
      <w:r w:rsidRPr="00CC7E17">
        <w:rPr>
          <w:rFonts w:ascii="Arial" w:eastAsiaTheme="minorEastAsia" w:hAnsi="Arial" w:cs="Arial"/>
          <w:i/>
          <w:iCs/>
          <w:bdr w:val="none" w:sz="0" w:space="0" w:color="auto"/>
        </w:rPr>
        <w:t xml:space="preserve"> Arthritis and Rheumatism, 54</w:t>
      </w:r>
      <w:r w:rsidRPr="00CC7E17">
        <w:rPr>
          <w:rFonts w:ascii="Arial" w:eastAsiaTheme="minorEastAsia" w:hAnsi="Arial" w:cs="Arial"/>
          <w:bdr w:val="none" w:sz="0" w:space="0" w:color="auto"/>
        </w:rPr>
        <w:t>(2), 642-648. doi:10.1002/art.21628</w:t>
      </w:r>
    </w:p>
    <w:p w14:paraId="1C54581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Lykke, J. A., Paidas, M. J., Damm, P., Triche, E. W., Kuczynski, E., &amp; Langhoff-Roos, J. (2010). Preterm delivery and risk of subsequent cardiovascular morbidity and type-II diabetes in the mother.</w:t>
      </w:r>
      <w:r w:rsidRPr="00CC7E17">
        <w:rPr>
          <w:rFonts w:ascii="Arial" w:eastAsiaTheme="minorEastAsia" w:hAnsi="Arial" w:cs="Arial"/>
          <w:i/>
          <w:iCs/>
          <w:bdr w:val="none" w:sz="0" w:space="0" w:color="auto"/>
        </w:rPr>
        <w:t xml:space="preserve"> BJOG : An International Journal of Obstetrics and Gynaecology, 117</w:t>
      </w:r>
      <w:r w:rsidRPr="00CC7E17">
        <w:rPr>
          <w:rFonts w:ascii="Arial" w:eastAsiaTheme="minorEastAsia" w:hAnsi="Arial" w:cs="Arial"/>
          <w:bdr w:val="none" w:sz="0" w:space="0" w:color="auto"/>
        </w:rPr>
        <w:t>(3), 274-281. doi:10.1111/j.1471-0528.2009.02448.x; 10.1111/j.1471-0528.2009.02448.x</w:t>
      </w:r>
    </w:p>
    <w:p w14:paraId="6AC52461"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McCredie, M. R., Sharples, K. J., Paul, C., Baranyai, J., Medley, G., Jones, R. W., et al. (2008). Natural history of cervical neoplasia and risk of invasive cancer in women with cervical intraepithelial neoplasia 3: A retrospective cohort study.</w:t>
      </w:r>
      <w:r w:rsidRPr="00CC7E17">
        <w:rPr>
          <w:rFonts w:ascii="Arial" w:eastAsiaTheme="minorEastAsia" w:hAnsi="Arial" w:cs="Arial"/>
          <w:i/>
          <w:iCs/>
          <w:bdr w:val="none" w:sz="0" w:space="0" w:color="auto"/>
        </w:rPr>
        <w:t xml:space="preserve"> The Lancet.Oncology, 9</w:t>
      </w:r>
      <w:r w:rsidRPr="00CC7E17">
        <w:rPr>
          <w:rFonts w:ascii="Arial" w:eastAsiaTheme="minorEastAsia" w:hAnsi="Arial" w:cs="Arial"/>
          <w:bdr w:val="none" w:sz="0" w:space="0" w:color="auto"/>
        </w:rPr>
        <w:t>(5), 425-434. doi:10.1016/S1470-2045(08)70103-7; 10.1016/S1470-2045(08)70103-7</w:t>
      </w:r>
    </w:p>
    <w:p w14:paraId="281180E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McManus, D. D., Huang, W., Domakonda, K. V., Ward, J., Saczysnki, J. S., Gore, J. M., et al. (2012). Trends in atrial fibrillation in patients hospitalized with an acute coronary syndrome.</w:t>
      </w:r>
      <w:r w:rsidRPr="00CC7E17">
        <w:rPr>
          <w:rFonts w:ascii="Arial" w:eastAsiaTheme="minorEastAsia" w:hAnsi="Arial" w:cs="Arial"/>
          <w:i/>
          <w:iCs/>
          <w:bdr w:val="none" w:sz="0" w:space="0" w:color="auto"/>
        </w:rPr>
        <w:t xml:space="preserve"> The American Journal of Medicine, 125</w:t>
      </w:r>
      <w:r w:rsidRPr="00CC7E17">
        <w:rPr>
          <w:rFonts w:ascii="Arial" w:eastAsiaTheme="minorEastAsia" w:hAnsi="Arial" w:cs="Arial"/>
          <w:bdr w:val="none" w:sz="0" w:space="0" w:color="auto"/>
        </w:rPr>
        <w:t>(11), 1076-1084. doi:10.1016/j.amjmed.2012.05.024; 10.1016/j.amjmed.2012.05.024</w:t>
      </w:r>
    </w:p>
    <w:p w14:paraId="428A9B2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Osborn, D. A., Evans, N., Kluckow, M., Bowen, J. R., &amp; Rieger, I. (2007). Low superior vena cava flow and effect of inotropes on neurodevelopment to 3 years in preterm infants.</w:t>
      </w:r>
      <w:r w:rsidRPr="00CC7E17">
        <w:rPr>
          <w:rFonts w:ascii="Arial" w:eastAsiaTheme="minorEastAsia" w:hAnsi="Arial" w:cs="Arial"/>
          <w:i/>
          <w:iCs/>
          <w:bdr w:val="none" w:sz="0" w:space="0" w:color="auto"/>
        </w:rPr>
        <w:t xml:space="preserve"> Pediatrics, 120</w:t>
      </w:r>
      <w:r w:rsidRPr="00CC7E17">
        <w:rPr>
          <w:rFonts w:ascii="Arial" w:eastAsiaTheme="minorEastAsia" w:hAnsi="Arial" w:cs="Arial"/>
          <w:bdr w:val="none" w:sz="0" w:space="0" w:color="auto"/>
        </w:rPr>
        <w:t>(2), 372-380. doi:10.1542/peds.2006-3398</w:t>
      </w:r>
    </w:p>
    <w:p w14:paraId="5A6EBEF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Patra, S., Kumar, A., Trivedi, S. S., Puri, M., &amp; Sarin, S. K. (2007). Maternal and fetal outcomes in pregnant women with acute hepatitis E virus infection.</w:t>
      </w:r>
      <w:r w:rsidRPr="00CC7E17">
        <w:rPr>
          <w:rFonts w:ascii="Arial" w:eastAsiaTheme="minorEastAsia" w:hAnsi="Arial" w:cs="Arial"/>
          <w:i/>
          <w:iCs/>
          <w:bdr w:val="none" w:sz="0" w:space="0" w:color="auto"/>
        </w:rPr>
        <w:t xml:space="preserve"> Annals of Internal Medicine, 147</w:t>
      </w:r>
      <w:r w:rsidRPr="00CC7E17">
        <w:rPr>
          <w:rFonts w:ascii="Arial" w:eastAsiaTheme="minorEastAsia" w:hAnsi="Arial" w:cs="Arial"/>
          <w:bdr w:val="none" w:sz="0" w:space="0" w:color="auto"/>
        </w:rPr>
        <w:t>(1), 28-33.</w:t>
      </w:r>
    </w:p>
    <w:p w14:paraId="65A20D55"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Ray, B., &amp; Platt, M. P. (2009). Mortality of twin and singleton livebirths under 30 weeks' gestation: A population-based study.</w:t>
      </w:r>
      <w:r w:rsidRPr="00CC7E17">
        <w:rPr>
          <w:rFonts w:ascii="Arial" w:eastAsiaTheme="minorEastAsia" w:hAnsi="Arial" w:cs="Arial"/>
          <w:i/>
          <w:iCs/>
          <w:bdr w:val="none" w:sz="0" w:space="0" w:color="auto"/>
        </w:rPr>
        <w:t xml:space="preserve"> Archives of Disease in Childhood.Fetal and Neonatal Edition, 94</w:t>
      </w:r>
      <w:r w:rsidRPr="00CC7E17">
        <w:rPr>
          <w:rFonts w:ascii="Arial" w:eastAsiaTheme="minorEastAsia" w:hAnsi="Arial" w:cs="Arial"/>
          <w:bdr w:val="none" w:sz="0" w:space="0" w:color="auto"/>
        </w:rPr>
        <w:t>(2), F140-3. doi:10.1136/adc.2008.143016; 10.1136/adc.2008.143016</w:t>
      </w:r>
    </w:p>
    <w:p w14:paraId="14E667C6"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Sennerby, U., Melhus, H., Gedeborg, R., Byberg, L., Garmo, H., Ahlbom, A., et al. (2009). Cardiovascular diseases and risk of hip fracture.</w:t>
      </w:r>
      <w:r w:rsidRPr="00CC7E17">
        <w:rPr>
          <w:rFonts w:ascii="Arial" w:eastAsiaTheme="minorEastAsia" w:hAnsi="Arial" w:cs="Arial"/>
          <w:i/>
          <w:iCs/>
          <w:bdr w:val="none" w:sz="0" w:space="0" w:color="auto"/>
        </w:rPr>
        <w:t xml:space="preserve"> JAMA : The Journal of the American Medical Association, 302</w:t>
      </w:r>
      <w:r w:rsidRPr="00CC7E17">
        <w:rPr>
          <w:rFonts w:ascii="Arial" w:eastAsiaTheme="minorEastAsia" w:hAnsi="Arial" w:cs="Arial"/>
          <w:bdr w:val="none" w:sz="0" w:space="0" w:color="auto"/>
        </w:rPr>
        <w:t>(15), 1666-1673. doi:10.1001/jama.2009.1463; 10.1001/jama.2009.1463</w:t>
      </w:r>
    </w:p>
    <w:p w14:paraId="6627CE0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Serjeant, G. R., Hambleton, I., &amp; Thame, M. (2005). Fecundity and pregnancy outcome in a cohort with sickle cell-haemoglobin C disease followed from birth.</w:t>
      </w:r>
      <w:r w:rsidRPr="00CC7E17">
        <w:rPr>
          <w:rFonts w:ascii="Arial" w:eastAsiaTheme="minorEastAsia" w:hAnsi="Arial" w:cs="Arial"/>
          <w:i/>
          <w:iCs/>
          <w:bdr w:val="none" w:sz="0" w:space="0" w:color="auto"/>
        </w:rPr>
        <w:t xml:space="preserve"> BJOG : An International Journal of Obstetrics and Gynaecology, 112</w:t>
      </w:r>
      <w:r w:rsidRPr="00CC7E17">
        <w:rPr>
          <w:rFonts w:ascii="Arial" w:eastAsiaTheme="minorEastAsia" w:hAnsi="Arial" w:cs="Arial"/>
          <w:bdr w:val="none" w:sz="0" w:space="0" w:color="auto"/>
        </w:rPr>
        <w:t>(9), 1308-1314. doi:10.1111/j.1471-0528.2005.00678.x</w:t>
      </w:r>
    </w:p>
    <w:p w14:paraId="2016C33F"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Silveira, M. G., Talwalkar, J. A., Angulo, P., &amp; Lindor, K. D. (2007). Overlap of autoimmune hepatitis and primary biliary cirrhosis: Long-term outcomes.</w:t>
      </w:r>
      <w:r w:rsidRPr="00CC7E17">
        <w:rPr>
          <w:rFonts w:ascii="Arial" w:eastAsiaTheme="minorEastAsia" w:hAnsi="Arial" w:cs="Arial"/>
          <w:i/>
          <w:iCs/>
          <w:bdr w:val="none" w:sz="0" w:space="0" w:color="auto"/>
        </w:rPr>
        <w:t xml:space="preserve"> The American Journal of Gastroenterology, 102</w:t>
      </w:r>
      <w:r w:rsidRPr="00CC7E17">
        <w:rPr>
          <w:rFonts w:ascii="Arial" w:eastAsiaTheme="minorEastAsia" w:hAnsi="Arial" w:cs="Arial"/>
          <w:bdr w:val="none" w:sz="0" w:space="0" w:color="auto"/>
        </w:rPr>
        <w:t>(6), 1244-1250. doi:10.1111/j.1572-0241.2007.01136.x</w:t>
      </w:r>
    </w:p>
    <w:p w14:paraId="244D1B49"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Sloan, F. A., Bethel, M. A., Ruiz, D.,Jr, Shea, A. M., &amp; Feinglos, M. N. (2008). The growing burden of diabetes mellitus in the US elderly population.</w:t>
      </w:r>
      <w:r w:rsidRPr="00CC7E17">
        <w:rPr>
          <w:rFonts w:ascii="Arial" w:eastAsiaTheme="minorEastAsia" w:hAnsi="Arial" w:cs="Arial"/>
          <w:i/>
          <w:iCs/>
          <w:bdr w:val="none" w:sz="0" w:space="0" w:color="auto"/>
        </w:rPr>
        <w:t xml:space="preserve"> Archives of Internal Medicine, 168</w:t>
      </w:r>
      <w:r w:rsidRPr="00CC7E17">
        <w:rPr>
          <w:rFonts w:ascii="Arial" w:eastAsiaTheme="minorEastAsia" w:hAnsi="Arial" w:cs="Arial"/>
          <w:bdr w:val="none" w:sz="0" w:space="0" w:color="auto"/>
        </w:rPr>
        <w:t>(2), 192-9; discussion 199. doi:10.1001/archinternmed.2007.35; 10.1001/archinternmed.2007.35</w:t>
      </w:r>
    </w:p>
    <w:p w14:paraId="3D1C795D"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Smith, N. L., Barzilay, J. I., Kronmal, R., Lumley, T., Enquobahrie, D., &amp; Psaty, B. M. (2006). New-onset diabetes and risk of all-cause and cardiovascular mortality: The cardiovascular health study.</w:t>
      </w:r>
      <w:r w:rsidRPr="00CC7E17">
        <w:rPr>
          <w:rFonts w:ascii="Arial" w:eastAsiaTheme="minorEastAsia" w:hAnsi="Arial" w:cs="Arial"/>
          <w:i/>
          <w:iCs/>
          <w:bdr w:val="none" w:sz="0" w:space="0" w:color="auto"/>
        </w:rPr>
        <w:t xml:space="preserve"> Diabetes Care, 29</w:t>
      </w:r>
      <w:r w:rsidRPr="00CC7E17">
        <w:rPr>
          <w:rFonts w:ascii="Arial" w:eastAsiaTheme="minorEastAsia" w:hAnsi="Arial" w:cs="Arial"/>
          <w:bdr w:val="none" w:sz="0" w:space="0" w:color="auto"/>
        </w:rPr>
        <w:t>(9), 2012-2017. doi:10.2337/dc06-0574</w:t>
      </w:r>
    </w:p>
    <w:p w14:paraId="0868C75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Solans-Domenech, M., Sanchez, E., Espuna-Pons, M., Pelvic Floor Research Group (Grup de Recerca del Sol Pelvia, &amp; GRESP). (2010). Urinary and anal incontinence during pregnancy and postpartum: Incidence, severity, and risk factors.</w:t>
      </w:r>
      <w:r w:rsidRPr="00CC7E17">
        <w:rPr>
          <w:rFonts w:ascii="Arial" w:eastAsiaTheme="minorEastAsia" w:hAnsi="Arial" w:cs="Arial"/>
          <w:i/>
          <w:iCs/>
          <w:bdr w:val="none" w:sz="0" w:space="0" w:color="auto"/>
        </w:rPr>
        <w:t xml:space="preserve"> Obstetrics and Gynecology, 115</w:t>
      </w:r>
      <w:r w:rsidRPr="00CC7E17">
        <w:rPr>
          <w:rFonts w:ascii="Arial" w:eastAsiaTheme="minorEastAsia" w:hAnsi="Arial" w:cs="Arial"/>
          <w:bdr w:val="none" w:sz="0" w:space="0" w:color="auto"/>
        </w:rPr>
        <w:t>(3), 618-628. doi:10.1097/AOG.0b013e3181d04dff; 10.1097/AOG.0b013e3181d04dff</w:t>
      </w:r>
    </w:p>
    <w:p w14:paraId="36B342CC"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Sorensen, H. T., Horvath-Puho, E., Pedersen, L., Baron, J. A., &amp; Prandoni, P. (2007). Venous thromboembolism and subsequent hospitalisation due to acute arterial cardiovascular events: A 20-year cohort study.</w:t>
      </w:r>
      <w:r w:rsidRPr="00CC7E17">
        <w:rPr>
          <w:rFonts w:ascii="Arial" w:eastAsiaTheme="minorEastAsia" w:hAnsi="Arial" w:cs="Arial"/>
          <w:i/>
          <w:iCs/>
          <w:bdr w:val="none" w:sz="0" w:space="0" w:color="auto"/>
        </w:rPr>
        <w:t xml:space="preserve"> Lancet, 370</w:t>
      </w:r>
      <w:r w:rsidRPr="00CC7E17">
        <w:rPr>
          <w:rFonts w:ascii="Arial" w:eastAsiaTheme="minorEastAsia" w:hAnsi="Arial" w:cs="Arial"/>
          <w:bdr w:val="none" w:sz="0" w:space="0" w:color="auto"/>
        </w:rPr>
        <w:t>(9601), 1773-1779. doi:10.1016/S0140-6736(07)61745-0</w:t>
      </w:r>
    </w:p>
    <w:p w14:paraId="161653D2"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Stensheim, H., Moller, B., van Dijk, T., &amp; Fossa, S. D. (2009). Cause-specific survival for women diagnosed with cancer during pregnancy or lactation: A registry-based cohort study.</w:t>
      </w:r>
      <w:r w:rsidRPr="00CC7E17">
        <w:rPr>
          <w:rFonts w:ascii="Arial" w:eastAsiaTheme="minorEastAsia" w:hAnsi="Arial" w:cs="Arial"/>
          <w:i/>
          <w:iCs/>
          <w:bdr w:val="none" w:sz="0" w:space="0" w:color="auto"/>
        </w:rPr>
        <w:t xml:space="preserve"> Journal of Clinical Oncology : Official Journal of the American Society of Clinical Oncology, 27</w:t>
      </w:r>
      <w:r w:rsidRPr="00CC7E17">
        <w:rPr>
          <w:rFonts w:ascii="Arial" w:eastAsiaTheme="minorEastAsia" w:hAnsi="Arial" w:cs="Arial"/>
          <w:bdr w:val="none" w:sz="0" w:space="0" w:color="auto"/>
        </w:rPr>
        <w:t>(1), 45-51. doi:10.1200/JCO.2008.17.4110; 10.1200/JCO.2008.17.4110</w:t>
      </w:r>
    </w:p>
    <w:p w14:paraId="719A4C3E"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Tata, L. J., Lewis, S. A., McKeever, T. M., Smith, C. J., Doyle, P., Smeeth, L., et al. (2007). A comprehensive analysis of adverse obstetric and pediatric complications in women with asthma.</w:t>
      </w:r>
      <w:r w:rsidRPr="00CC7E17">
        <w:rPr>
          <w:rFonts w:ascii="Arial" w:eastAsiaTheme="minorEastAsia" w:hAnsi="Arial" w:cs="Arial"/>
          <w:i/>
          <w:iCs/>
          <w:bdr w:val="none" w:sz="0" w:space="0" w:color="auto"/>
        </w:rPr>
        <w:t xml:space="preserve"> American Journal of Respiratory and Critical Care Medicine, 175</w:t>
      </w:r>
      <w:r w:rsidRPr="00CC7E17">
        <w:rPr>
          <w:rFonts w:ascii="Arial" w:eastAsiaTheme="minorEastAsia" w:hAnsi="Arial" w:cs="Arial"/>
          <w:bdr w:val="none" w:sz="0" w:space="0" w:color="auto"/>
        </w:rPr>
        <w:t>(10), 991-997. doi:10.1164/rccm.200611-1641OC</w:t>
      </w:r>
    </w:p>
    <w:p w14:paraId="476BE620"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Tennant, P. W., Pearce, M. S., Bythell, M., &amp; Rankin, J. (2010). 20-year survival of children born with congenital anomalies: A population-based study.</w:t>
      </w:r>
      <w:r w:rsidRPr="00CC7E17">
        <w:rPr>
          <w:rFonts w:ascii="Arial" w:eastAsiaTheme="minorEastAsia" w:hAnsi="Arial" w:cs="Arial"/>
          <w:i/>
          <w:iCs/>
          <w:bdr w:val="none" w:sz="0" w:space="0" w:color="auto"/>
        </w:rPr>
        <w:t xml:space="preserve"> Lancet, 375</w:t>
      </w:r>
      <w:r w:rsidRPr="00CC7E17">
        <w:rPr>
          <w:rFonts w:ascii="Arial" w:eastAsiaTheme="minorEastAsia" w:hAnsi="Arial" w:cs="Arial"/>
          <w:bdr w:val="none" w:sz="0" w:space="0" w:color="auto"/>
        </w:rPr>
        <w:t>(9715), 649-656. doi:10.1016/S0140-6736(09)61922-X; 10.1016/S0140-6736(09)61922-X</w:t>
      </w:r>
    </w:p>
    <w:p w14:paraId="1168405B"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Thompson, I. M., Tangen, C. M., Goodman, P. J., Probstfield, J. L., Moinpour, C. M., &amp; Coltman, C. A. (2005). Erectile dysfunction and subsequent cardiovascular disease.</w:t>
      </w:r>
      <w:r w:rsidRPr="00CC7E17">
        <w:rPr>
          <w:rFonts w:ascii="Arial" w:eastAsiaTheme="minorEastAsia" w:hAnsi="Arial" w:cs="Arial"/>
          <w:i/>
          <w:iCs/>
          <w:bdr w:val="none" w:sz="0" w:space="0" w:color="auto"/>
        </w:rPr>
        <w:t xml:space="preserve"> JAMA : The Journal of the American Medical Association, 294</w:t>
      </w:r>
      <w:r w:rsidRPr="00CC7E17">
        <w:rPr>
          <w:rFonts w:ascii="Arial" w:eastAsiaTheme="minorEastAsia" w:hAnsi="Arial" w:cs="Arial"/>
          <w:bdr w:val="none" w:sz="0" w:space="0" w:color="auto"/>
        </w:rPr>
        <w:t>(23), 2996-3002. doi:10.1001/jama.294.23.2996</w:t>
      </w:r>
    </w:p>
    <w:p w14:paraId="677997A8" w14:textId="77777777" w:rsidR="00544F95" w:rsidRPr="00CC7E17" w:rsidRDefault="00544F95"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Wilcken, B., Haas, M., Joy, P., Wiley, V., Bowling, F., Carpenter, K., et al. (2009). Expanded newborn screening: Outcome in screened and unscreened patients at age 6 years.</w:t>
      </w:r>
      <w:r w:rsidRPr="00CC7E17">
        <w:rPr>
          <w:rFonts w:ascii="Arial" w:eastAsiaTheme="minorEastAsia" w:hAnsi="Arial" w:cs="Arial"/>
          <w:i/>
          <w:iCs/>
          <w:bdr w:val="none" w:sz="0" w:space="0" w:color="auto"/>
        </w:rPr>
        <w:t xml:space="preserve"> Pediatrics, 124</w:t>
      </w:r>
      <w:r w:rsidRPr="00CC7E17">
        <w:rPr>
          <w:rFonts w:ascii="Arial" w:eastAsiaTheme="minorEastAsia" w:hAnsi="Arial" w:cs="Arial"/>
          <w:bdr w:val="none" w:sz="0" w:space="0" w:color="auto"/>
        </w:rPr>
        <w:t>(2), e241-8. doi:10.1542/peds.2008-0586; 10.1542/peds.2008-0586</w:t>
      </w:r>
    </w:p>
    <w:p w14:paraId="7C744494" w14:textId="3EBBF580" w:rsidR="00544F95" w:rsidRPr="00CC7E17" w:rsidRDefault="00544F95" w:rsidP="0009624B">
      <w:pPr>
        <w:spacing w:line="360" w:lineRule="auto"/>
        <w:ind w:left="567" w:hanging="567"/>
        <w:rPr>
          <w:rFonts w:ascii="Arial" w:hAnsi="Arial" w:cs="Arial"/>
        </w:rPr>
      </w:pPr>
      <w:r w:rsidRPr="00CC7E17">
        <w:rPr>
          <w:rFonts w:ascii="Arial" w:eastAsiaTheme="minorEastAsia" w:hAnsi="Arial" w:cs="Arial"/>
          <w:bdr w:val="none" w:sz="0" w:space="0" w:color="auto"/>
        </w:rPr>
        <w:t>Wilson-Costello, D., Friedman, H., Minich, N., Siner, B., Taylor, G., Schluchter, M., et al. (2007). Improved neurodevelopmental outcomes for extremely low birth weight infants in 2000-2002.</w:t>
      </w:r>
      <w:r w:rsidRPr="00CC7E17">
        <w:rPr>
          <w:rFonts w:ascii="Arial" w:eastAsiaTheme="minorEastAsia" w:hAnsi="Arial" w:cs="Arial"/>
          <w:i/>
          <w:iCs/>
          <w:bdr w:val="none" w:sz="0" w:space="0" w:color="auto"/>
        </w:rPr>
        <w:t xml:space="preserve"> Pediatrics, 119</w:t>
      </w:r>
      <w:r w:rsidRPr="00CC7E17">
        <w:rPr>
          <w:rFonts w:ascii="Arial" w:eastAsiaTheme="minorEastAsia" w:hAnsi="Arial" w:cs="Arial"/>
          <w:bdr w:val="none" w:sz="0" w:space="0" w:color="auto"/>
        </w:rPr>
        <w:t>(1), 37-45. doi:10.1542/peds.2006-1416</w:t>
      </w:r>
    </w:p>
    <w:p w14:paraId="1377CA38" w14:textId="77777777" w:rsidR="00544F95" w:rsidRPr="00CC7E17" w:rsidRDefault="00544F95" w:rsidP="0009624B">
      <w:pPr>
        <w:pStyle w:val="NoSpacing"/>
        <w:spacing w:line="360" w:lineRule="auto"/>
        <w:rPr>
          <w:rFonts w:ascii="Arial" w:hAnsi="Arial" w:cs="Arial"/>
        </w:rPr>
      </w:pPr>
    </w:p>
    <w:p w14:paraId="50EFB5D3" w14:textId="17EF50DF" w:rsidR="006C5E8D" w:rsidRPr="00CC7E17" w:rsidRDefault="006C5E8D" w:rsidP="0009624B">
      <w:pPr>
        <w:pStyle w:val="Heading3"/>
        <w:spacing w:line="360" w:lineRule="auto"/>
        <w:rPr>
          <w:rFonts w:ascii="Arial" w:hAnsi="Arial" w:cs="Arial"/>
        </w:rPr>
      </w:pPr>
      <w:bookmarkStart w:id="55" w:name="_Toc286437139"/>
      <w:r w:rsidRPr="00CC7E17">
        <w:rPr>
          <w:rFonts w:ascii="Arial" w:hAnsi="Arial" w:cs="Arial"/>
        </w:rPr>
        <w:t>Articles Deemed not of Interest – Not suitable</w:t>
      </w:r>
      <w:bookmarkEnd w:id="55"/>
    </w:p>
    <w:p w14:paraId="7E32137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Al-Shahi Salman, R., Hall, J. M., Horne, M. A., Moultrie, F., Josephson, C. B., Bhattacharya, J. J., et al. (2012). Untreated clinical course of cerebral cavernous malformations: A prospective, population-based cohort study.</w:t>
      </w:r>
      <w:r w:rsidRPr="00CC7E17">
        <w:rPr>
          <w:rFonts w:ascii="Arial" w:eastAsiaTheme="minorEastAsia" w:hAnsi="Arial" w:cs="Arial"/>
          <w:i/>
          <w:iCs/>
          <w:bdr w:val="none" w:sz="0" w:space="0" w:color="auto"/>
        </w:rPr>
        <w:t xml:space="preserve"> The Lancet.Neurology, 11</w:t>
      </w:r>
      <w:r w:rsidRPr="00CC7E17">
        <w:rPr>
          <w:rFonts w:ascii="Arial" w:eastAsiaTheme="minorEastAsia" w:hAnsi="Arial" w:cs="Arial"/>
          <w:bdr w:val="none" w:sz="0" w:space="0" w:color="auto"/>
        </w:rPr>
        <w:t>(3), 217-224. doi:10.1016/S1474-4422(12)70004-2; 10.1016/S1474-4422(12)70004-2</w:t>
      </w:r>
    </w:p>
    <w:p w14:paraId="62227940"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Amin, R., Turner, C., van Aken, S., Bahu, T. K., Watts, A., Lindsell, D. R., et al. (2005). The relationship between microalbuminuria and glomerular filtration rate in young type 1 diabetic subjects: The oxford regional prospective study.</w:t>
      </w:r>
      <w:r w:rsidRPr="00CC7E17">
        <w:rPr>
          <w:rFonts w:ascii="Arial" w:eastAsiaTheme="minorEastAsia" w:hAnsi="Arial" w:cs="Arial"/>
          <w:i/>
          <w:iCs/>
          <w:bdr w:val="none" w:sz="0" w:space="0" w:color="auto"/>
        </w:rPr>
        <w:t xml:space="preserve"> Kidney International, 68</w:t>
      </w:r>
      <w:r w:rsidRPr="00CC7E17">
        <w:rPr>
          <w:rFonts w:ascii="Arial" w:eastAsiaTheme="minorEastAsia" w:hAnsi="Arial" w:cs="Arial"/>
          <w:bdr w:val="none" w:sz="0" w:space="0" w:color="auto"/>
        </w:rPr>
        <w:t>(4), 1740-1749. doi:10.1111/j.1523-1755.2005.00590.x</w:t>
      </w:r>
    </w:p>
    <w:p w14:paraId="5F927A2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Arango, D., Laiho, P., Kokko, A., Alhopuro, P., Sammalkorpi, H., Salovaara, R., et al. (2005). Gene-expression profiling predicts recurrence in dukes' C colorectal cancer.</w:t>
      </w:r>
      <w:r w:rsidRPr="00CC7E17">
        <w:rPr>
          <w:rFonts w:ascii="Arial" w:eastAsiaTheme="minorEastAsia" w:hAnsi="Arial" w:cs="Arial"/>
          <w:i/>
          <w:iCs/>
          <w:bdr w:val="none" w:sz="0" w:space="0" w:color="auto"/>
        </w:rPr>
        <w:t xml:space="preserve"> Gastroenterology, 129</w:t>
      </w:r>
      <w:r w:rsidRPr="00CC7E17">
        <w:rPr>
          <w:rFonts w:ascii="Arial" w:eastAsiaTheme="minorEastAsia" w:hAnsi="Arial" w:cs="Arial"/>
          <w:bdr w:val="none" w:sz="0" w:space="0" w:color="auto"/>
        </w:rPr>
        <w:t>(3), 874-884. doi:10.1053/j.gastro.2005.06.066</w:t>
      </w:r>
    </w:p>
    <w:p w14:paraId="1165AF5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Ashwal, S., Michelson, D., Plawner, L., Dobyns, W. B., &amp; Quality Standards Subcommittee of the American Academy of Neurology and the Practice Committee of the Child Neurology Society. (2009). Practice parameter: Evaluation of the child with microcephaly (an evidence-based review): Report of the quality standards subcommittee of the american academy of neurology and the practice committee of the child neurology society.</w:t>
      </w:r>
      <w:r w:rsidRPr="00CC7E17">
        <w:rPr>
          <w:rFonts w:ascii="Arial" w:eastAsiaTheme="minorEastAsia" w:hAnsi="Arial" w:cs="Arial"/>
          <w:i/>
          <w:iCs/>
          <w:bdr w:val="none" w:sz="0" w:space="0" w:color="auto"/>
        </w:rPr>
        <w:t xml:space="preserve"> Neurology, 73</w:t>
      </w:r>
      <w:r w:rsidRPr="00CC7E17">
        <w:rPr>
          <w:rFonts w:ascii="Arial" w:eastAsiaTheme="minorEastAsia" w:hAnsi="Arial" w:cs="Arial"/>
          <w:bdr w:val="none" w:sz="0" w:space="0" w:color="auto"/>
        </w:rPr>
        <w:t>(11), 887-897. doi:10.1212/WNL.0b013e3181b783f7; 10.1212/WNL.0b013e3181b783f7</w:t>
      </w:r>
    </w:p>
    <w:p w14:paraId="05058AA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Barre, N., Morgan, A., Doyle, L. W., &amp; Anderson, P. J. (2011). Language abilities in children who were very preterm and/or very low birth weight: A meta-analysis.</w:t>
      </w:r>
      <w:r w:rsidRPr="00CC7E17">
        <w:rPr>
          <w:rFonts w:ascii="Arial" w:eastAsiaTheme="minorEastAsia" w:hAnsi="Arial" w:cs="Arial"/>
          <w:i/>
          <w:iCs/>
          <w:bdr w:val="none" w:sz="0" w:space="0" w:color="auto"/>
        </w:rPr>
        <w:t xml:space="preserve"> The Journal of Pediatrics, 158</w:t>
      </w:r>
      <w:r w:rsidRPr="00CC7E17">
        <w:rPr>
          <w:rFonts w:ascii="Arial" w:eastAsiaTheme="minorEastAsia" w:hAnsi="Arial" w:cs="Arial"/>
          <w:bdr w:val="none" w:sz="0" w:space="0" w:color="auto"/>
        </w:rPr>
        <w:t>(5), 766-774.e1. doi:10.1016/j.jpeds.2010.10.032; 10.1016/j.jpeds.2010.10.032</w:t>
      </w:r>
    </w:p>
    <w:p w14:paraId="40A4286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Behan, L. A., Phillips, J., Thompson, C. J., &amp; Agha, A. (2008). Neuroendocrine disorders after traumatic brain injury.</w:t>
      </w:r>
      <w:r w:rsidRPr="00CC7E17">
        <w:rPr>
          <w:rFonts w:ascii="Arial" w:eastAsiaTheme="minorEastAsia" w:hAnsi="Arial" w:cs="Arial"/>
          <w:i/>
          <w:iCs/>
          <w:bdr w:val="none" w:sz="0" w:space="0" w:color="auto"/>
        </w:rPr>
        <w:t xml:space="preserve"> Journal of Neurology, Neurosurgery, and Psychiatry, 79</w:t>
      </w:r>
      <w:r w:rsidRPr="00CC7E17">
        <w:rPr>
          <w:rFonts w:ascii="Arial" w:eastAsiaTheme="minorEastAsia" w:hAnsi="Arial" w:cs="Arial"/>
          <w:bdr w:val="none" w:sz="0" w:space="0" w:color="auto"/>
        </w:rPr>
        <w:t>(7), 753-759. doi:10.1136/jnnp.2007.132837; 10.1136/jnnp.2007.132837</w:t>
      </w:r>
    </w:p>
    <w:p w14:paraId="74AE5F5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Bell, E. F., Hansen, N. I., Morriss, F. H.,Jr, Stoll, B. J., Ambalavanan, N., Gould, J. B., et al. (2010). Impact of timing of birth and resident duty-hour restrictions on outcomes for small preterm infants.</w:t>
      </w:r>
      <w:r w:rsidRPr="00CC7E17">
        <w:rPr>
          <w:rFonts w:ascii="Arial" w:eastAsiaTheme="minorEastAsia" w:hAnsi="Arial" w:cs="Arial"/>
          <w:i/>
          <w:iCs/>
          <w:bdr w:val="none" w:sz="0" w:space="0" w:color="auto"/>
        </w:rPr>
        <w:t xml:space="preserve"> Pediatrics, 126</w:t>
      </w:r>
      <w:r w:rsidRPr="00CC7E17">
        <w:rPr>
          <w:rFonts w:ascii="Arial" w:eastAsiaTheme="minorEastAsia" w:hAnsi="Arial" w:cs="Arial"/>
          <w:bdr w:val="none" w:sz="0" w:space="0" w:color="auto"/>
        </w:rPr>
        <w:t>(2), 222-231. doi:10.1542/peds.2010-0456; 10.1542/peds.2010-0456</w:t>
      </w:r>
    </w:p>
    <w:p w14:paraId="608D6739"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Berger, C. T., Wolbers, M., Meyer, P., Daikeler, T., &amp; Hess, C. (2009). High incidence of severe ischaemic complications in patients with giant cell arteritis irrespective of platelet count and size, and platelet inhibition.</w:t>
      </w:r>
      <w:r w:rsidRPr="00CC7E17">
        <w:rPr>
          <w:rFonts w:ascii="Arial" w:eastAsiaTheme="minorEastAsia" w:hAnsi="Arial" w:cs="Arial"/>
          <w:i/>
          <w:iCs/>
          <w:bdr w:val="none" w:sz="0" w:space="0" w:color="auto"/>
        </w:rPr>
        <w:t xml:space="preserve"> Rheumatology (Oxford, England), 48</w:t>
      </w:r>
      <w:r w:rsidRPr="00CC7E17">
        <w:rPr>
          <w:rFonts w:ascii="Arial" w:eastAsiaTheme="minorEastAsia" w:hAnsi="Arial" w:cs="Arial"/>
          <w:bdr w:val="none" w:sz="0" w:space="0" w:color="auto"/>
        </w:rPr>
        <w:t>(3), 258-261. doi:10.1093/rheumatology/ken480; 10.1093/rheumatology/ken480</w:t>
      </w:r>
    </w:p>
    <w:p w14:paraId="2BBDDA0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Bertilsson, L., Andersson-Gare, B., Fasth, A., Petersson, I. F., &amp; Forsblad-D'elia, H. (2013). Disease course, outcome, and predictors of outcome in a population-based juvenile chronic arthritis cohort followed for 17 years.</w:t>
      </w:r>
      <w:r w:rsidRPr="00CC7E17">
        <w:rPr>
          <w:rFonts w:ascii="Arial" w:eastAsiaTheme="minorEastAsia" w:hAnsi="Arial" w:cs="Arial"/>
          <w:i/>
          <w:iCs/>
          <w:bdr w:val="none" w:sz="0" w:space="0" w:color="auto"/>
        </w:rPr>
        <w:t xml:space="preserve"> The Journal of Rheumatology, 40</w:t>
      </w:r>
      <w:r w:rsidRPr="00CC7E17">
        <w:rPr>
          <w:rFonts w:ascii="Arial" w:eastAsiaTheme="minorEastAsia" w:hAnsi="Arial" w:cs="Arial"/>
          <w:bdr w:val="none" w:sz="0" w:space="0" w:color="auto"/>
        </w:rPr>
        <w:t>(5), 715-724. doi:10.3899/jrheum.120602; 10.3899/jrheum.120602</w:t>
      </w:r>
    </w:p>
    <w:p w14:paraId="2D626D6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Bizzarro, M. J., Raskind, C., Baltimore, R. S., &amp; Gallagher, P. G. (2005). Seventy-five years of neonatal sepsis at yale: 1928-2003.</w:t>
      </w:r>
      <w:r w:rsidRPr="00CC7E17">
        <w:rPr>
          <w:rFonts w:ascii="Arial" w:eastAsiaTheme="minorEastAsia" w:hAnsi="Arial" w:cs="Arial"/>
          <w:i/>
          <w:iCs/>
          <w:bdr w:val="none" w:sz="0" w:space="0" w:color="auto"/>
        </w:rPr>
        <w:t xml:space="preserve"> Pediatrics, 116</w:t>
      </w:r>
      <w:r w:rsidRPr="00CC7E17">
        <w:rPr>
          <w:rFonts w:ascii="Arial" w:eastAsiaTheme="minorEastAsia" w:hAnsi="Arial" w:cs="Arial"/>
          <w:bdr w:val="none" w:sz="0" w:space="0" w:color="auto"/>
        </w:rPr>
        <w:t>(3), 595-602. doi:10.1542/peds.2005-0552</w:t>
      </w:r>
    </w:p>
    <w:p w14:paraId="340CC67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Boertien, W. E., Meijer, E., Li, J., Bost, J. E., Struck, J., Flessner, M. F., et al. (2013). Relationship of copeptin, a surrogate marker for arginine vasopressin, with change in total kidney volume and GFR decline in autosomal dominant polycystic kidney disease: Results from the CRISP cohort.</w:t>
      </w:r>
      <w:r w:rsidRPr="00CC7E17">
        <w:rPr>
          <w:rFonts w:ascii="Arial" w:eastAsiaTheme="minorEastAsia" w:hAnsi="Arial" w:cs="Arial"/>
          <w:i/>
          <w:iCs/>
          <w:bdr w:val="none" w:sz="0" w:space="0" w:color="auto"/>
        </w:rPr>
        <w:t xml:space="preserve"> American Journal of Kidney Diseases : The Official Journal of the National Kidney Foundation, 61</w:t>
      </w:r>
      <w:r w:rsidRPr="00CC7E17">
        <w:rPr>
          <w:rFonts w:ascii="Arial" w:eastAsiaTheme="minorEastAsia" w:hAnsi="Arial" w:cs="Arial"/>
          <w:bdr w:val="none" w:sz="0" w:space="0" w:color="auto"/>
        </w:rPr>
        <w:t>(3), 420-429. doi:10.1053/j.ajkd.2012.08.038; 10.1053/j.ajkd.2012.08.038</w:t>
      </w:r>
    </w:p>
    <w:p w14:paraId="692785B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Bonthius, D. J., Wright, R., Tseng, B., Barton, L., Marco, E., Karacay, B., et al. (2007). Congenital lymphocytic choriomeningitis virus infection: Spectrum of disease.</w:t>
      </w:r>
      <w:r w:rsidRPr="00CC7E17">
        <w:rPr>
          <w:rFonts w:ascii="Arial" w:eastAsiaTheme="minorEastAsia" w:hAnsi="Arial" w:cs="Arial"/>
          <w:i/>
          <w:iCs/>
          <w:bdr w:val="none" w:sz="0" w:space="0" w:color="auto"/>
        </w:rPr>
        <w:t xml:space="preserve"> Annals of Neurology, 62</w:t>
      </w:r>
      <w:r w:rsidRPr="00CC7E17">
        <w:rPr>
          <w:rFonts w:ascii="Arial" w:eastAsiaTheme="minorEastAsia" w:hAnsi="Arial" w:cs="Arial"/>
          <w:bdr w:val="none" w:sz="0" w:space="0" w:color="auto"/>
        </w:rPr>
        <w:t>(4), 347-355. doi:10.1002/ana.21161</w:t>
      </w:r>
    </w:p>
    <w:p w14:paraId="2C41DBA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Borghesi, A., Massa, M., Campanelli, R., Bollani, L., Tzialla, C., Figar, T. A., et al. (2009). Circulating endothelial progenitor cells in preterm infants with bronchopulmonary dysplasia.</w:t>
      </w:r>
      <w:r w:rsidRPr="00CC7E17">
        <w:rPr>
          <w:rFonts w:ascii="Arial" w:eastAsiaTheme="minorEastAsia" w:hAnsi="Arial" w:cs="Arial"/>
          <w:i/>
          <w:iCs/>
          <w:bdr w:val="none" w:sz="0" w:space="0" w:color="auto"/>
        </w:rPr>
        <w:t xml:space="preserve"> American Journal of Respiratory and Critical Care Medicine, 180</w:t>
      </w:r>
      <w:r w:rsidRPr="00CC7E17">
        <w:rPr>
          <w:rFonts w:ascii="Arial" w:eastAsiaTheme="minorEastAsia" w:hAnsi="Arial" w:cs="Arial"/>
          <w:bdr w:val="none" w:sz="0" w:space="0" w:color="auto"/>
        </w:rPr>
        <w:t>(6), 540-546. doi:10.1164/rccm.200812-1949OC; 10.1164/rccm.200812-1949OC</w:t>
      </w:r>
    </w:p>
    <w:p w14:paraId="7594808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Cellucci, T., Tyrrell, P. N., Sheikh, S., &amp; Benseler, S. M. (2012). Childhood primary angiitis of the central nervous system: Identifying disease trajectories and early risk factors for persistently higher disease activity.</w:t>
      </w:r>
      <w:r w:rsidRPr="00CC7E17">
        <w:rPr>
          <w:rFonts w:ascii="Arial" w:eastAsiaTheme="minorEastAsia" w:hAnsi="Arial" w:cs="Arial"/>
          <w:i/>
          <w:iCs/>
          <w:bdr w:val="none" w:sz="0" w:space="0" w:color="auto"/>
        </w:rPr>
        <w:t xml:space="preserve"> Arthritis and Rheumatism, 64</w:t>
      </w:r>
      <w:r w:rsidRPr="00CC7E17">
        <w:rPr>
          <w:rFonts w:ascii="Arial" w:eastAsiaTheme="minorEastAsia" w:hAnsi="Arial" w:cs="Arial"/>
          <w:bdr w:val="none" w:sz="0" w:space="0" w:color="auto"/>
        </w:rPr>
        <w:t>(5), 1665-1672. doi:10.1002/art.34527; 10.1002/art.34527</w:t>
      </w:r>
    </w:p>
    <w:p w14:paraId="5D13228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Chapple, C. M., Nicholson, H., Baxter, G. D., &amp; Abbott, J. H. (2011). Patient characteristics that predict progression of knee osteoarthritis: A systematic review of prognostic studies.</w:t>
      </w:r>
      <w:r w:rsidRPr="00CC7E17">
        <w:rPr>
          <w:rFonts w:ascii="Arial" w:eastAsiaTheme="minorEastAsia" w:hAnsi="Arial" w:cs="Arial"/>
          <w:i/>
          <w:iCs/>
          <w:bdr w:val="none" w:sz="0" w:space="0" w:color="auto"/>
        </w:rPr>
        <w:t xml:space="preserve"> Arthritis Care &amp; Research, 63</w:t>
      </w:r>
      <w:r w:rsidRPr="00CC7E17">
        <w:rPr>
          <w:rFonts w:ascii="Arial" w:eastAsiaTheme="minorEastAsia" w:hAnsi="Arial" w:cs="Arial"/>
          <w:bdr w:val="none" w:sz="0" w:space="0" w:color="auto"/>
        </w:rPr>
        <w:t>(8), 1115-1125. doi:10.1002/acr.20492; 10.1002/acr.20492</w:t>
      </w:r>
    </w:p>
    <w:p w14:paraId="4220F93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Cho, N. H., Lim, S., Jang, H. C., Park, H. K., &amp; Metzger, B. E. (2005). Elevated homocysteine as a risk factor for the development of diabetes in women with a previous history of gestational diabetes mellitus: A 4-year prospective study.</w:t>
      </w:r>
      <w:r w:rsidRPr="00CC7E17">
        <w:rPr>
          <w:rFonts w:ascii="Arial" w:eastAsiaTheme="minorEastAsia" w:hAnsi="Arial" w:cs="Arial"/>
          <w:i/>
          <w:iCs/>
          <w:bdr w:val="none" w:sz="0" w:space="0" w:color="auto"/>
        </w:rPr>
        <w:t xml:space="preserve"> Diabetes Care, 28</w:t>
      </w:r>
      <w:r w:rsidRPr="00CC7E17">
        <w:rPr>
          <w:rFonts w:ascii="Arial" w:eastAsiaTheme="minorEastAsia" w:hAnsi="Arial" w:cs="Arial"/>
          <w:bdr w:val="none" w:sz="0" w:space="0" w:color="auto"/>
        </w:rPr>
        <w:t>(11), 2750-2755.</w:t>
      </w:r>
    </w:p>
    <w:p w14:paraId="0604F70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Chyi, L. J., Lee, H. C., Hintz, S. R., Gould, J. B., &amp; Sutcliffe, T. L. (2008). School outcomes of late preterm infants: Special needs and challenges for infants born at 32 to 36 weeks gestation.</w:t>
      </w:r>
      <w:r w:rsidRPr="00CC7E17">
        <w:rPr>
          <w:rFonts w:ascii="Arial" w:eastAsiaTheme="minorEastAsia" w:hAnsi="Arial" w:cs="Arial"/>
          <w:i/>
          <w:iCs/>
          <w:bdr w:val="none" w:sz="0" w:space="0" w:color="auto"/>
        </w:rPr>
        <w:t xml:space="preserve"> The Journal of Pediatrics, 153</w:t>
      </w:r>
      <w:r w:rsidRPr="00CC7E17">
        <w:rPr>
          <w:rFonts w:ascii="Arial" w:eastAsiaTheme="minorEastAsia" w:hAnsi="Arial" w:cs="Arial"/>
          <w:bdr w:val="none" w:sz="0" w:space="0" w:color="auto"/>
        </w:rPr>
        <w:t>(1), 25-31. doi:10.1016/j.jpeds.2008.01.027; 10.1016/j.jpeds.2008.01.027</w:t>
      </w:r>
    </w:p>
    <w:p w14:paraId="0786087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Cowling, B. J., Jin, L., Lau, E. H., Liao, Q., Wu, P., Jiang, H., et al. (2013). Comparative epidemiology of human infections with avian influenza A H7N9 and H5N1 viruses in china: A population-based study of laboratory-confirmed cases.</w:t>
      </w:r>
      <w:r w:rsidRPr="00CC7E17">
        <w:rPr>
          <w:rFonts w:ascii="Arial" w:eastAsiaTheme="minorEastAsia" w:hAnsi="Arial" w:cs="Arial"/>
          <w:i/>
          <w:iCs/>
          <w:bdr w:val="none" w:sz="0" w:space="0" w:color="auto"/>
        </w:rPr>
        <w:t xml:space="preserve"> Lancet, 382</w:t>
      </w:r>
      <w:r w:rsidRPr="00CC7E17">
        <w:rPr>
          <w:rFonts w:ascii="Arial" w:eastAsiaTheme="minorEastAsia" w:hAnsi="Arial" w:cs="Arial"/>
          <w:bdr w:val="none" w:sz="0" w:space="0" w:color="auto"/>
        </w:rPr>
        <w:t>(9887), 129-137. doi:10.1016/S0140-6736(13)61171-X; 10.1016/S0140-6736(13)61171-X</w:t>
      </w:r>
    </w:p>
    <w:p w14:paraId="3C004C5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Cull, C. A., Jensen, C. C., Retnakaran, R., &amp; Holman, R. R. (2007). Impact of the metabolic syndrome on macrovascular and microvascular outcomes in type 2 diabetes mellitus: United kingdom prospective diabetes study 78.</w:t>
      </w:r>
      <w:r w:rsidRPr="00CC7E17">
        <w:rPr>
          <w:rFonts w:ascii="Arial" w:eastAsiaTheme="minorEastAsia" w:hAnsi="Arial" w:cs="Arial"/>
          <w:i/>
          <w:iCs/>
          <w:bdr w:val="none" w:sz="0" w:space="0" w:color="auto"/>
        </w:rPr>
        <w:t xml:space="preserve"> Circulation, 116</w:t>
      </w:r>
      <w:r w:rsidRPr="00CC7E17">
        <w:rPr>
          <w:rFonts w:ascii="Arial" w:eastAsiaTheme="minorEastAsia" w:hAnsi="Arial" w:cs="Arial"/>
          <w:bdr w:val="none" w:sz="0" w:space="0" w:color="auto"/>
        </w:rPr>
        <w:t>(19), 2119-2126. doi:10.1161/CIRCULATIONAHA.107.733428</w:t>
      </w:r>
    </w:p>
    <w:p w14:paraId="727CC65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Damy, T., Goode, K. M., Kallvikbacka-Bennett, A., Lewinter, C., Hobkirk, J., Nikitin, N. P., et al. (2010). Determinants and prognostic value of pulmonary arterial pressure in patients with chronic heart failure.</w:t>
      </w:r>
      <w:r w:rsidRPr="00CC7E17">
        <w:rPr>
          <w:rFonts w:ascii="Arial" w:eastAsiaTheme="minorEastAsia" w:hAnsi="Arial" w:cs="Arial"/>
          <w:i/>
          <w:iCs/>
          <w:bdr w:val="none" w:sz="0" w:space="0" w:color="auto"/>
        </w:rPr>
        <w:t xml:space="preserve"> European Heart Journal, 31</w:t>
      </w:r>
      <w:r w:rsidRPr="00CC7E17">
        <w:rPr>
          <w:rFonts w:ascii="Arial" w:eastAsiaTheme="minorEastAsia" w:hAnsi="Arial" w:cs="Arial"/>
          <w:bdr w:val="none" w:sz="0" w:space="0" w:color="auto"/>
        </w:rPr>
        <w:t>(18), 2280-2290. doi:10.1093/eurheartj/ehq245; 10.1093/eurheartj/ehq245</w:t>
      </w:r>
    </w:p>
    <w:p w14:paraId="37D3098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Davydow, D. S., Richardson, L. P., Zatzick, D. F., &amp; Katon, W. J. (2010). Psychiatric morbidity in pediatric critical illness survivors: A comprehensive review of the literature.</w:t>
      </w:r>
      <w:r w:rsidRPr="00CC7E17">
        <w:rPr>
          <w:rFonts w:ascii="Arial" w:eastAsiaTheme="minorEastAsia" w:hAnsi="Arial" w:cs="Arial"/>
          <w:i/>
          <w:iCs/>
          <w:bdr w:val="none" w:sz="0" w:space="0" w:color="auto"/>
        </w:rPr>
        <w:t xml:space="preserve"> Archives of Pediatrics &amp; Adolescent Medicine, 164</w:t>
      </w:r>
      <w:r w:rsidRPr="00CC7E17">
        <w:rPr>
          <w:rFonts w:ascii="Arial" w:eastAsiaTheme="minorEastAsia" w:hAnsi="Arial" w:cs="Arial"/>
          <w:bdr w:val="none" w:sz="0" w:space="0" w:color="auto"/>
        </w:rPr>
        <w:t>(4), 377-385. doi:10.1001/archpediatrics.2010.10; 10.1001/archpediatrics.2010.10</w:t>
      </w:r>
    </w:p>
    <w:p w14:paraId="3621197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de Kieviet, J. F., Piek, J. P., Aarnoudse-Moens, C. S., &amp; Oosterlaan, J. (2009). Motor development in very preterm and very low-birth-weight children from birth to adolescence: A meta-analysis.</w:t>
      </w:r>
      <w:r w:rsidRPr="00CC7E17">
        <w:rPr>
          <w:rFonts w:ascii="Arial" w:eastAsiaTheme="minorEastAsia" w:hAnsi="Arial" w:cs="Arial"/>
          <w:i/>
          <w:iCs/>
          <w:bdr w:val="none" w:sz="0" w:space="0" w:color="auto"/>
        </w:rPr>
        <w:t xml:space="preserve"> JAMA : The Journal of the American Medical Association, 302</w:t>
      </w:r>
      <w:r w:rsidRPr="00CC7E17">
        <w:rPr>
          <w:rFonts w:ascii="Arial" w:eastAsiaTheme="minorEastAsia" w:hAnsi="Arial" w:cs="Arial"/>
          <w:bdr w:val="none" w:sz="0" w:space="0" w:color="auto"/>
        </w:rPr>
        <w:t>(20), 2235-2242. doi:10.1001/jama.2009.1708; 10.1001/jama.2009.1708</w:t>
      </w:r>
    </w:p>
    <w:p w14:paraId="2ED9F3F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de Rooy, D. P., van der Linden, M. P., Knevel, R., Huizinga, T. W., &amp; van der Helm-van Mil, A. H. (2011). Predicting arthritis outcomes--what can be learned from the leiden early arthritis clinic?</w:t>
      </w:r>
      <w:r w:rsidRPr="00CC7E17">
        <w:rPr>
          <w:rFonts w:ascii="Arial" w:eastAsiaTheme="minorEastAsia" w:hAnsi="Arial" w:cs="Arial"/>
          <w:i/>
          <w:iCs/>
          <w:bdr w:val="none" w:sz="0" w:space="0" w:color="auto"/>
        </w:rPr>
        <w:t xml:space="preserve"> Rheumatology (Oxford, England), 50</w:t>
      </w:r>
      <w:r w:rsidRPr="00CC7E17">
        <w:rPr>
          <w:rFonts w:ascii="Arial" w:eastAsiaTheme="minorEastAsia" w:hAnsi="Arial" w:cs="Arial"/>
          <w:bdr w:val="none" w:sz="0" w:space="0" w:color="auto"/>
        </w:rPr>
        <w:t>(1), 93-100. doi:10.1093/rheumatology/keq230; 10.1093/rheumatology/keq230</w:t>
      </w:r>
    </w:p>
    <w:p w14:paraId="7A723F5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Di Tullio, M. R., Homma, S., Jin, Z., &amp; Sacco, R. L. (2008). Aortic atherosclerosis, hypercoagulability, and stroke the APRIS (aortic plaque and risk of ischemic stroke) study.</w:t>
      </w:r>
      <w:r w:rsidRPr="00CC7E17">
        <w:rPr>
          <w:rFonts w:ascii="Arial" w:eastAsiaTheme="minorEastAsia" w:hAnsi="Arial" w:cs="Arial"/>
          <w:i/>
          <w:iCs/>
          <w:bdr w:val="none" w:sz="0" w:space="0" w:color="auto"/>
        </w:rPr>
        <w:t xml:space="preserve"> Journal of the American College of Cardiology, 52</w:t>
      </w:r>
      <w:r w:rsidRPr="00CC7E17">
        <w:rPr>
          <w:rFonts w:ascii="Arial" w:eastAsiaTheme="minorEastAsia" w:hAnsi="Arial" w:cs="Arial"/>
          <w:bdr w:val="none" w:sz="0" w:space="0" w:color="auto"/>
        </w:rPr>
        <w:t>(10), 855-861. doi:10.1016/j.jacc.2008.04.062; 10.1016/j.jacc.2008.04.062</w:t>
      </w:r>
    </w:p>
    <w:p w14:paraId="0BF51EA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Disanto, G., Magalhaes, S., Handel, A. E., Morrison, K. M., Sadovnick, A. D., Ebers, G. C., et al. (2011). HLA-DRB1 confers increased risk of pediatric-onset MS in children with acquired demyelination.</w:t>
      </w:r>
      <w:r w:rsidRPr="00CC7E17">
        <w:rPr>
          <w:rFonts w:ascii="Arial" w:eastAsiaTheme="minorEastAsia" w:hAnsi="Arial" w:cs="Arial"/>
          <w:i/>
          <w:iCs/>
          <w:bdr w:val="none" w:sz="0" w:space="0" w:color="auto"/>
        </w:rPr>
        <w:t xml:space="preserve"> Neurology, 76</w:t>
      </w:r>
      <w:r w:rsidRPr="00CC7E17">
        <w:rPr>
          <w:rFonts w:ascii="Arial" w:eastAsiaTheme="minorEastAsia" w:hAnsi="Arial" w:cs="Arial"/>
          <w:bdr w:val="none" w:sz="0" w:space="0" w:color="auto"/>
        </w:rPr>
        <w:t>(9), 781-786. doi:10.1212/WNL.0b013e31820ee1cd; 10.1212/WNL.0b013e31820ee1cd</w:t>
      </w:r>
    </w:p>
    <w:p w14:paraId="55A51CD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Domsic, R. T., Rodriguez-Reyna, T., Lucas, M., Fertig, N., &amp; Medsger, T. A.,Jr. (2011). Skin thickness progression rate: A predictor of mortality and early internal organ involvement in diffuse scleroderma.</w:t>
      </w:r>
      <w:r w:rsidRPr="00CC7E17">
        <w:rPr>
          <w:rFonts w:ascii="Arial" w:eastAsiaTheme="minorEastAsia" w:hAnsi="Arial" w:cs="Arial"/>
          <w:i/>
          <w:iCs/>
          <w:bdr w:val="none" w:sz="0" w:space="0" w:color="auto"/>
        </w:rPr>
        <w:t xml:space="preserve"> Annals of the Rheumatic Diseases, 70</w:t>
      </w:r>
      <w:r w:rsidRPr="00CC7E17">
        <w:rPr>
          <w:rFonts w:ascii="Arial" w:eastAsiaTheme="minorEastAsia" w:hAnsi="Arial" w:cs="Arial"/>
          <w:bdr w:val="none" w:sz="0" w:space="0" w:color="auto"/>
        </w:rPr>
        <w:t>(1), 104-109. doi:10.1136/ard.2009.127621; 10.1136/ard.2009.127621</w:t>
      </w:r>
    </w:p>
    <w:p w14:paraId="3A515FB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Douketis, J., Tosetto, A., Marcucci, M., Baglin, T., Cushman, M., Eichinger, S., et al. (2010). Patient-level meta-analysis: Effect of measurement timing, threshold, and patient age on ability of D-dimer testing to assess recurrence risk after unprovoked venous thromboembolism.</w:t>
      </w:r>
      <w:r w:rsidRPr="00CC7E17">
        <w:rPr>
          <w:rFonts w:ascii="Arial" w:eastAsiaTheme="minorEastAsia" w:hAnsi="Arial" w:cs="Arial"/>
          <w:i/>
          <w:iCs/>
          <w:bdr w:val="none" w:sz="0" w:space="0" w:color="auto"/>
        </w:rPr>
        <w:t xml:space="preserve"> Annals of Internal Medicine, 153</w:t>
      </w:r>
      <w:r w:rsidRPr="00CC7E17">
        <w:rPr>
          <w:rFonts w:ascii="Arial" w:eastAsiaTheme="minorEastAsia" w:hAnsi="Arial" w:cs="Arial"/>
          <w:bdr w:val="none" w:sz="0" w:space="0" w:color="auto"/>
        </w:rPr>
        <w:t>(8), 523-531. doi:10.7326/0003-4819-153-8-201010190-00009; 10.7326/0003-4819-153-8-201010190-00009</w:t>
      </w:r>
    </w:p>
    <w:p w14:paraId="5ED0EA7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Dunger, D. B., Schwarze, C. P., Cooper, J. D., Widmer, B., Neil, H. A., Shield, J., et al. (2007). Can we identify adolescents at high risk for nephropathy before the development of microalbuminuria?</w:t>
      </w:r>
      <w:r w:rsidRPr="00CC7E17">
        <w:rPr>
          <w:rFonts w:ascii="Arial" w:eastAsiaTheme="minorEastAsia" w:hAnsi="Arial" w:cs="Arial"/>
          <w:i/>
          <w:iCs/>
          <w:bdr w:val="none" w:sz="0" w:space="0" w:color="auto"/>
        </w:rPr>
        <w:t xml:space="preserve"> Diabetic Medicine : A Journal of the British Diabetic Association, 24</w:t>
      </w:r>
      <w:r w:rsidRPr="00CC7E17">
        <w:rPr>
          <w:rFonts w:ascii="Arial" w:eastAsiaTheme="minorEastAsia" w:hAnsi="Arial" w:cs="Arial"/>
          <w:bdr w:val="none" w:sz="0" w:space="0" w:color="auto"/>
        </w:rPr>
        <w:t>(2), 131-136. doi:10.1111/j.1464-5491.2006.02047.x</w:t>
      </w:r>
    </w:p>
    <w:p w14:paraId="0FC0611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Edmond, K. M., Kortsalioudaki, C., Scott, S., Schrag, S. J., Zaidi, A. K., Cousens, S., et al. (2012). Group B streptococcal disease in infants aged younger than 3 months: Systematic review and meta-analysis.</w:t>
      </w:r>
      <w:r w:rsidRPr="00CC7E17">
        <w:rPr>
          <w:rFonts w:ascii="Arial" w:eastAsiaTheme="minorEastAsia" w:hAnsi="Arial" w:cs="Arial"/>
          <w:i/>
          <w:iCs/>
          <w:bdr w:val="none" w:sz="0" w:space="0" w:color="auto"/>
        </w:rPr>
        <w:t xml:space="preserve"> Lancet, 379</w:t>
      </w:r>
      <w:r w:rsidRPr="00CC7E17">
        <w:rPr>
          <w:rFonts w:ascii="Arial" w:eastAsiaTheme="minorEastAsia" w:hAnsi="Arial" w:cs="Arial"/>
          <w:bdr w:val="none" w:sz="0" w:space="0" w:color="auto"/>
        </w:rPr>
        <w:t>(9815), 547-556. doi:10.1016/S0140-6736(11)61651-6; 10.1016/S0140-6736(11)61651-6</w:t>
      </w:r>
    </w:p>
    <w:p w14:paraId="6259016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Eliasson, H., Sonesson, S. E., Sharland, G., Granath, F., Simpson, J. M., Carvalho, J. S., et al. (2011). Isolated atrioventricular block in the fetus: A retrospective, multinational, multicenter study of 175 patients.</w:t>
      </w:r>
      <w:r w:rsidRPr="00CC7E17">
        <w:rPr>
          <w:rFonts w:ascii="Arial" w:eastAsiaTheme="minorEastAsia" w:hAnsi="Arial" w:cs="Arial"/>
          <w:i/>
          <w:iCs/>
          <w:bdr w:val="none" w:sz="0" w:space="0" w:color="auto"/>
        </w:rPr>
        <w:t xml:space="preserve"> Circulation, 124</w:t>
      </w:r>
      <w:r w:rsidRPr="00CC7E17">
        <w:rPr>
          <w:rFonts w:ascii="Arial" w:eastAsiaTheme="minorEastAsia" w:hAnsi="Arial" w:cs="Arial"/>
          <w:bdr w:val="none" w:sz="0" w:space="0" w:color="auto"/>
        </w:rPr>
        <w:t>(18), 1919-1926. doi:10.1161/CIRCULATIONAHA.111.041970; 10.1161/CIRCULATIONAHA.111.041970</w:t>
      </w:r>
    </w:p>
    <w:p w14:paraId="0B987F2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Esbjornsson, J., Mansson, F., Kvist, A., Isberg, P. E., Nowroozalizadeh, S., Biague, A. J., et al. (2012). Inhibition of HIV-1 disease progression by contemporaneous HIV-2 infection.</w:t>
      </w:r>
      <w:r w:rsidRPr="00CC7E17">
        <w:rPr>
          <w:rFonts w:ascii="Arial" w:eastAsiaTheme="minorEastAsia" w:hAnsi="Arial" w:cs="Arial"/>
          <w:i/>
          <w:iCs/>
          <w:bdr w:val="none" w:sz="0" w:space="0" w:color="auto"/>
        </w:rPr>
        <w:t xml:space="preserve"> The New England Journal of Medicine, 367</w:t>
      </w:r>
      <w:r w:rsidRPr="00CC7E17">
        <w:rPr>
          <w:rFonts w:ascii="Arial" w:eastAsiaTheme="minorEastAsia" w:hAnsi="Arial" w:cs="Arial"/>
          <w:bdr w:val="none" w:sz="0" w:space="0" w:color="auto"/>
        </w:rPr>
        <w:t>(3), 224-232. doi:10.1056/NEJMoa1113244; 10.1056/NEJMoa1113244</w:t>
      </w:r>
    </w:p>
    <w:p w14:paraId="7453AD3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Evangelista, A., Salas, A., Ribera, A., Ferreira-Gonzalez, I., Cuellar, H., Pineda, V., et al. (2012). Long-term outcome of aortic dissection with patent false lumen: Predictive role of entry tear size and location.</w:t>
      </w:r>
      <w:r w:rsidRPr="00CC7E17">
        <w:rPr>
          <w:rFonts w:ascii="Arial" w:eastAsiaTheme="minorEastAsia" w:hAnsi="Arial" w:cs="Arial"/>
          <w:i/>
          <w:iCs/>
          <w:bdr w:val="none" w:sz="0" w:space="0" w:color="auto"/>
        </w:rPr>
        <w:t xml:space="preserve"> Circulation, 125</w:t>
      </w:r>
      <w:r w:rsidRPr="00CC7E17">
        <w:rPr>
          <w:rFonts w:ascii="Arial" w:eastAsiaTheme="minorEastAsia" w:hAnsi="Arial" w:cs="Arial"/>
          <w:bdr w:val="none" w:sz="0" w:space="0" w:color="auto"/>
        </w:rPr>
        <w:t>(25), 3133-3141. doi:10.1161/CIRCULATIONAHA.111.090266; 10.1161/CIRCULATIONAHA.111.090266</w:t>
      </w:r>
    </w:p>
    <w:p w14:paraId="492A4A2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Evans, J., Heron, J., Patel, R. R., &amp; Wiles, N. (2007). Depressive symptoms during pregnancy and low birth weight at term: Longitudinal study.</w:t>
      </w:r>
      <w:r w:rsidRPr="00CC7E17">
        <w:rPr>
          <w:rFonts w:ascii="Arial" w:eastAsiaTheme="minorEastAsia" w:hAnsi="Arial" w:cs="Arial"/>
          <w:i/>
          <w:iCs/>
          <w:bdr w:val="none" w:sz="0" w:space="0" w:color="auto"/>
        </w:rPr>
        <w:t xml:space="preserve"> The British Journal of Psychiatry : The Journal of Mental Science, 191</w:t>
      </w:r>
      <w:r w:rsidRPr="00CC7E17">
        <w:rPr>
          <w:rFonts w:ascii="Arial" w:eastAsiaTheme="minorEastAsia" w:hAnsi="Arial" w:cs="Arial"/>
          <w:bdr w:val="none" w:sz="0" w:space="0" w:color="auto"/>
        </w:rPr>
        <w:t>, 84-85. doi:10.1192/bjp.bp.105.016568</w:t>
      </w:r>
    </w:p>
    <w:p w14:paraId="766C05E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Fall, K., Ye, W., &amp; Nyren, O. (2007). Risk for gastric cancer after cholecystectomy.</w:t>
      </w:r>
      <w:r w:rsidRPr="00CC7E17">
        <w:rPr>
          <w:rFonts w:ascii="Arial" w:eastAsiaTheme="minorEastAsia" w:hAnsi="Arial" w:cs="Arial"/>
          <w:i/>
          <w:iCs/>
          <w:bdr w:val="none" w:sz="0" w:space="0" w:color="auto"/>
        </w:rPr>
        <w:t xml:space="preserve"> The American Journal of Gastroenterology, 102</w:t>
      </w:r>
      <w:r w:rsidRPr="00CC7E17">
        <w:rPr>
          <w:rFonts w:ascii="Arial" w:eastAsiaTheme="minorEastAsia" w:hAnsi="Arial" w:cs="Arial"/>
          <w:bdr w:val="none" w:sz="0" w:space="0" w:color="auto"/>
        </w:rPr>
        <w:t>(6), 1180-1184. doi:10.1111/j.1572-0241.2007.01169.x</w:t>
      </w:r>
    </w:p>
    <w:p w14:paraId="292B1DD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Farooqi, A., Hagglof, B., Sedin, G., Gothefors, L., &amp; Serenius, F. (2006). Growth in 10- to 12-year-old children born at 23 to 25 weeks' gestation in the 1990s: A swedish national prospective follow-up study.</w:t>
      </w:r>
      <w:r w:rsidRPr="00CC7E17">
        <w:rPr>
          <w:rFonts w:ascii="Arial" w:eastAsiaTheme="minorEastAsia" w:hAnsi="Arial" w:cs="Arial"/>
          <w:i/>
          <w:iCs/>
          <w:bdr w:val="none" w:sz="0" w:space="0" w:color="auto"/>
        </w:rPr>
        <w:t xml:space="preserve"> Pediatrics, 118</w:t>
      </w:r>
      <w:r w:rsidRPr="00CC7E17">
        <w:rPr>
          <w:rFonts w:ascii="Arial" w:eastAsiaTheme="minorEastAsia" w:hAnsi="Arial" w:cs="Arial"/>
          <w:bdr w:val="none" w:sz="0" w:space="0" w:color="auto"/>
        </w:rPr>
        <w:t>(5), e1452-65. doi:10.1542/peds.2006-1069</w:t>
      </w:r>
    </w:p>
    <w:p w14:paraId="7623F66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Feldman, R., &amp; Eidelman, A. I. (2009). Triplets across the first 5 years: The discordant infant at birth remains at developmental risk.</w:t>
      </w:r>
      <w:r w:rsidRPr="00CC7E17">
        <w:rPr>
          <w:rFonts w:ascii="Arial" w:eastAsiaTheme="minorEastAsia" w:hAnsi="Arial" w:cs="Arial"/>
          <w:i/>
          <w:iCs/>
          <w:bdr w:val="none" w:sz="0" w:space="0" w:color="auto"/>
        </w:rPr>
        <w:t xml:space="preserve"> Pediatrics, 124</w:t>
      </w:r>
      <w:r w:rsidRPr="00CC7E17">
        <w:rPr>
          <w:rFonts w:ascii="Arial" w:eastAsiaTheme="minorEastAsia" w:hAnsi="Arial" w:cs="Arial"/>
          <w:bdr w:val="none" w:sz="0" w:space="0" w:color="auto"/>
        </w:rPr>
        <w:t>(1), 316-323. doi:10.1542/peds.2008-1510; 10.1542/peds.2008-1510</w:t>
      </w:r>
    </w:p>
    <w:p w14:paraId="5CB0A39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Ferdynus, C., Quantin, C., Abrahamowicz, M., Platt, R., Burguet, A., Sagot, P., et al. (2009). Can birth weight standards based on healthy populations improve the identification of small-for-gestational-age newborns at risk of adverse neonatal outcomes?</w:t>
      </w:r>
      <w:r w:rsidRPr="00CC7E17">
        <w:rPr>
          <w:rFonts w:ascii="Arial" w:eastAsiaTheme="minorEastAsia" w:hAnsi="Arial" w:cs="Arial"/>
          <w:i/>
          <w:iCs/>
          <w:bdr w:val="none" w:sz="0" w:space="0" w:color="auto"/>
        </w:rPr>
        <w:t xml:space="preserve"> Pediatrics, 123</w:t>
      </w:r>
      <w:r w:rsidRPr="00CC7E17">
        <w:rPr>
          <w:rFonts w:ascii="Arial" w:eastAsiaTheme="minorEastAsia" w:hAnsi="Arial" w:cs="Arial"/>
          <w:bdr w:val="none" w:sz="0" w:space="0" w:color="auto"/>
        </w:rPr>
        <w:t>(2), 723-730. doi:10.1542/peds.2007-2564; 10.1542/peds.2007-2564</w:t>
      </w:r>
    </w:p>
    <w:p w14:paraId="7F80872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Finlen Copeland, C. A., Snyder, L. D., Zaas, D. W., Turbyfill, W. J., Davis, W. A., &amp; Palmer, S. M. (2010). Survival after bronchiolitis obliterans syndrome among bilateral lung transplant recipients.</w:t>
      </w:r>
      <w:r w:rsidRPr="00CC7E17">
        <w:rPr>
          <w:rFonts w:ascii="Arial" w:eastAsiaTheme="minorEastAsia" w:hAnsi="Arial" w:cs="Arial"/>
          <w:i/>
          <w:iCs/>
          <w:bdr w:val="none" w:sz="0" w:space="0" w:color="auto"/>
        </w:rPr>
        <w:t xml:space="preserve"> American Journal of Respiratory and Critical Care Medicine, 182</w:t>
      </w:r>
      <w:r w:rsidRPr="00CC7E17">
        <w:rPr>
          <w:rFonts w:ascii="Arial" w:eastAsiaTheme="minorEastAsia" w:hAnsi="Arial" w:cs="Arial"/>
          <w:bdr w:val="none" w:sz="0" w:space="0" w:color="auto"/>
        </w:rPr>
        <w:t>(6), 784-789. doi:10.1164/rccm.201002-0211OC; 10.1164/rccm.201002-0211OC</w:t>
      </w:r>
    </w:p>
    <w:p w14:paraId="00CD14C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Florio, P., Luisi, S., Moataza, B., Torricelli, M., Iman, I., Hala, M., et al. (2007). High urinary concentrations of activin A in asphyxiated full-term newborns with moderate or severe hypoxic ischemic encephalopathy.</w:t>
      </w:r>
      <w:r w:rsidRPr="00CC7E17">
        <w:rPr>
          <w:rFonts w:ascii="Arial" w:eastAsiaTheme="minorEastAsia" w:hAnsi="Arial" w:cs="Arial"/>
          <w:i/>
          <w:iCs/>
          <w:bdr w:val="none" w:sz="0" w:space="0" w:color="auto"/>
        </w:rPr>
        <w:t xml:space="preserve"> Clinical Chemistry, 53</w:t>
      </w:r>
      <w:r w:rsidRPr="00CC7E17">
        <w:rPr>
          <w:rFonts w:ascii="Arial" w:eastAsiaTheme="minorEastAsia" w:hAnsi="Arial" w:cs="Arial"/>
          <w:bdr w:val="none" w:sz="0" w:space="0" w:color="auto"/>
        </w:rPr>
        <w:t>(3), 520-522. doi:10.1373/clinchem.2005.062604</w:t>
      </w:r>
    </w:p>
    <w:p w14:paraId="56A389E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Foerch, C., Singer, O. C., Neumann-Haefelin, T., du Mesnil de Rochemont, R., Steinmetz, H., &amp; Sitzer, M. (2005). Evaluation of serum S100B as a surrogate marker for long-term outcome and infarct volume in acute middle cerebral artery infarction.</w:t>
      </w:r>
      <w:r w:rsidRPr="00CC7E17">
        <w:rPr>
          <w:rFonts w:ascii="Arial" w:eastAsiaTheme="minorEastAsia" w:hAnsi="Arial" w:cs="Arial"/>
          <w:i/>
          <w:iCs/>
          <w:bdr w:val="none" w:sz="0" w:space="0" w:color="auto"/>
        </w:rPr>
        <w:t xml:space="preserve"> Archives of Neurology, 62</w:t>
      </w:r>
      <w:r w:rsidRPr="00CC7E17">
        <w:rPr>
          <w:rFonts w:ascii="Arial" w:eastAsiaTheme="minorEastAsia" w:hAnsi="Arial" w:cs="Arial"/>
          <w:bdr w:val="none" w:sz="0" w:space="0" w:color="auto"/>
        </w:rPr>
        <w:t>(7), 1130-1134. doi:10.1001/archneur.62.7.1130</w:t>
      </w:r>
    </w:p>
    <w:p w14:paraId="5AED90A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Ford, A. A., Wylie, B. J., Waksmonski, C. A., &amp; Simpson, L. L. (2008). Maternal congenital cardiac disease: Outcomes of pregnancy in a single tertiary care center.</w:t>
      </w:r>
      <w:r w:rsidRPr="00CC7E17">
        <w:rPr>
          <w:rFonts w:ascii="Arial" w:eastAsiaTheme="minorEastAsia" w:hAnsi="Arial" w:cs="Arial"/>
          <w:i/>
          <w:iCs/>
          <w:bdr w:val="none" w:sz="0" w:space="0" w:color="auto"/>
        </w:rPr>
        <w:t xml:space="preserve"> Obstetrics and Gynecology, 112</w:t>
      </w:r>
      <w:r w:rsidRPr="00CC7E17">
        <w:rPr>
          <w:rFonts w:ascii="Arial" w:eastAsiaTheme="minorEastAsia" w:hAnsi="Arial" w:cs="Arial"/>
          <w:bdr w:val="none" w:sz="0" w:space="0" w:color="auto"/>
        </w:rPr>
        <w:t>(4), 828-833. doi:10.1097/AOG.0b013e31818638c6; 10.1097/AOG.0b013e31818638c6</w:t>
      </w:r>
    </w:p>
    <w:p w14:paraId="66D304A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Fusar-Poli, P., Bonoldi, I., Yung, A. R., Borgwardt, S., Kempton, M. J., Valmaggia, L., et al. (2012). Predicting psychosis: Meta-analysis of transition outcomes in individuals at high clinical risk.</w:t>
      </w:r>
      <w:r w:rsidRPr="00CC7E17">
        <w:rPr>
          <w:rFonts w:ascii="Arial" w:eastAsiaTheme="minorEastAsia" w:hAnsi="Arial" w:cs="Arial"/>
          <w:i/>
          <w:iCs/>
          <w:bdr w:val="none" w:sz="0" w:space="0" w:color="auto"/>
        </w:rPr>
        <w:t xml:space="preserve"> Archives of General Psychiatry, 69</w:t>
      </w:r>
      <w:r w:rsidRPr="00CC7E17">
        <w:rPr>
          <w:rFonts w:ascii="Arial" w:eastAsiaTheme="minorEastAsia" w:hAnsi="Arial" w:cs="Arial"/>
          <w:bdr w:val="none" w:sz="0" w:space="0" w:color="auto"/>
        </w:rPr>
        <w:t>(3), 220-229. doi:10.1001/archgenpsychiatry.2011.1472; 10.1001/archgenpsychiatry.2011.1472</w:t>
      </w:r>
    </w:p>
    <w:p w14:paraId="4867288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Glanz, J., France, E., Xu, S., Hayes, T., &amp; Hambidge, S. (2008). A population-based, multisite cohort study of the predictors of chronic idiopathic thrombocytopenic purpura in children.</w:t>
      </w:r>
      <w:r w:rsidRPr="00CC7E17">
        <w:rPr>
          <w:rFonts w:ascii="Arial" w:eastAsiaTheme="minorEastAsia" w:hAnsi="Arial" w:cs="Arial"/>
          <w:i/>
          <w:iCs/>
          <w:bdr w:val="none" w:sz="0" w:space="0" w:color="auto"/>
        </w:rPr>
        <w:t xml:space="preserve"> Pediatrics, 121</w:t>
      </w:r>
      <w:r w:rsidRPr="00CC7E17">
        <w:rPr>
          <w:rFonts w:ascii="Arial" w:eastAsiaTheme="minorEastAsia" w:hAnsi="Arial" w:cs="Arial"/>
          <w:bdr w:val="none" w:sz="0" w:space="0" w:color="auto"/>
        </w:rPr>
        <w:t>(3), e506-12. doi:10.1542/peds.2007-1129; 10.1542/peds.2007-1129</w:t>
      </w:r>
    </w:p>
    <w:p w14:paraId="388BA2E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Goelz, R., Meisner, C., Bevot, A., Hamprecht, K., Kraegeloh-Mann, I., &amp; Poets, C. F. (2013). Long-term cognitive and neurological outcome of preterm infants with postnatally acquired CMV infection through breast milk.</w:t>
      </w:r>
      <w:r w:rsidRPr="00CC7E17">
        <w:rPr>
          <w:rFonts w:ascii="Arial" w:eastAsiaTheme="minorEastAsia" w:hAnsi="Arial" w:cs="Arial"/>
          <w:i/>
          <w:iCs/>
          <w:bdr w:val="none" w:sz="0" w:space="0" w:color="auto"/>
        </w:rPr>
        <w:t xml:space="preserve"> Archives of Disease in Childhood.Fetal and Neonatal Edition, 98</w:t>
      </w:r>
      <w:r w:rsidRPr="00CC7E17">
        <w:rPr>
          <w:rFonts w:ascii="Arial" w:eastAsiaTheme="minorEastAsia" w:hAnsi="Arial" w:cs="Arial"/>
          <w:bdr w:val="none" w:sz="0" w:space="0" w:color="auto"/>
        </w:rPr>
        <w:t>(5), F430-3. doi:10.1136/archdischild-2012-303384; 10.1136/archdischild-2012-303384</w:t>
      </w:r>
    </w:p>
    <w:p w14:paraId="5FF5778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Goode, K. M., John, J., Rigby, A. S., Kilpatrick, E. S., Atkin, S. L., Bragadeesh, T., et al. (2009). Elevated glycated haemoglobin is a strong predictor of mortality in patients with left ventricular systolic dysfunction who are not receiving treatment for diabetes mellitus.</w:t>
      </w:r>
      <w:r w:rsidRPr="00CC7E17">
        <w:rPr>
          <w:rFonts w:ascii="Arial" w:eastAsiaTheme="minorEastAsia" w:hAnsi="Arial" w:cs="Arial"/>
          <w:i/>
          <w:iCs/>
          <w:bdr w:val="none" w:sz="0" w:space="0" w:color="auto"/>
        </w:rPr>
        <w:t xml:space="preserve"> Heart (British Cardiac Society), 95</w:t>
      </w:r>
      <w:r w:rsidRPr="00CC7E17">
        <w:rPr>
          <w:rFonts w:ascii="Arial" w:eastAsiaTheme="minorEastAsia" w:hAnsi="Arial" w:cs="Arial"/>
          <w:bdr w:val="none" w:sz="0" w:space="0" w:color="auto"/>
        </w:rPr>
        <w:t>(11), 917-923. doi:10.1136/hrt.2008.156646; 10.1136/hrt.2008.156646</w:t>
      </w:r>
    </w:p>
    <w:p w14:paraId="66F70FF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Guillen, U., DeMauro, S., Ma, L., Zupancic, J., Wang, E., Gafni, A., et al. (2011). Survival rates in extremely low birthweight infants depend on the denominator: Avoiding potential for bias by specifying denominators.</w:t>
      </w:r>
      <w:r w:rsidRPr="00CC7E17">
        <w:rPr>
          <w:rFonts w:ascii="Arial" w:eastAsiaTheme="minorEastAsia" w:hAnsi="Arial" w:cs="Arial"/>
          <w:i/>
          <w:iCs/>
          <w:bdr w:val="none" w:sz="0" w:space="0" w:color="auto"/>
        </w:rPr>
        <w:t xml:space="preserve"> American Journal of Obstetrics and Gynecology, 205</w:t>
      </w:r>
      <w:r w:rsidRPr="00CC7E17">
        <w:rPr>
          <w:rFonts w:ascii="Arial" w:eastAsiaTheme="minorEastAsia" w:hAnsi="Arial" w:cs="Arial"/>
          <w:bdr w:val="none" w:sz="0" w:space="0" w:color="auto"/>
        </w:rPr>
        <w:t>(4), 329.e1-329.e7. doi:10.1016/j.ajog.2011.05.032; 10.1016/j.ajog.2011.05.032</w:t>
      </w:r>
    </w:p>
    <w:p w14:paraId="2F2C711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Habli, M., O'Brien, T., Nowack, E., Khoury, S., Barton, J. R., &amp; Sibai, B. (2008). Peripartum cardiomyopathy: Prognostic factors for long-term maternal outcome.</w:t>
      </w:r>
      <w:r w:rsidRPr="00CC7E17">
        <w:rPr>
          <w:rFonts w:ascii="Arial" w:eastAsiaTheme="minorEastAsia" w:hAnsi="Arial" w:cs="Arial"/>
          <w:i/>
          <w:iCs/>
          <w:bdr w:val="none" w:sz="0" w:space="0" w:color="auto"/>
        </w:rPr>
        <w:t xml:space="preserve"> American Journal of Obstetrics and Gynecology, 199</w:t>
      </w:r>
      <w:r w:rsidRPr="00CC7E17">
        <w:rPr>
          <w:rFonts w:ascii="Arial" w:eastAsiaTheme="minorEastAsia" w:hAnsi="Arial" w:cs="Arial"/>
          <w:bdr w:val="none" w:sz="0" w:space="0" w:color="auto"/>
        </w:rPr>
        <w:t>(4), 415.e1-415.e5. doi:10.1016/j.ajog.2008.06.087; 10.1016/j.ajog.2008.06.087</w:t>
      </w:r>
    </w:p>
    <w:p w14:paraId="56FB4A9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Hallan, S. I., &amp; Orth, S. R. (2010). The conundrum of chronic kidney disease classification and end-stage renal risk prediction in the elderly--what is the right approach?</w:t>
      </w:r>
      <w:r w:rsidRPr="00CC7E17">
        <w:rPr>
          <w:rFonts w:ascii="Arial" w:eastAsiaTheme="minorEastAsia" w:hAnsi="Arial" w:cs="Arial"/>
          <w:i/>
          <w:iCs/>
          <w:bdr w:val="none" w:sz="0" w:space="0" w:color="auto"/>
        </w:rPr>
        <w:t xml:space="preserve"> Nephron.Clinical Practice, 116</w:t>
      </w:r>
      <w:r w:rsidRPr="00CC7E17">
        <w:rPr>
          <w:rFonts w:ascii="Arial" w:eastAsiaTheme="minorEastAsia" w:hAnsi="Arial" w:cs="Arial"/>
          <w:bdr w:val="none" w:sz="0" w:space="0" w:color="auto"/>
        </w:rPr>
        <w:t>(4), c307-16. doi:10.1159/000319166; 10.1159/000319166</w:t>
      </w:r>
    </w:p>
    <w:p w14:paraId="01691E0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Harden, C. L., Hopp, J., Ting, T. Y., Pennell, P. B., French, J. A., Hauser, W. A., et al. (2009). Practice parameter update: Management issues for women with epilepsy--focus on pregnancy (an evidence-based review): Obstetrical complications and change in seizure frequency: Report of the quality standards subcommittee and therapeutics and technology assessment subcommittee of the american academy of neurology and american epilepsy society.</w:t>
      </w:r>
      <w:r w:rsidRPr="00CC7E17">
        <w:rPr>
          <w:rFonts w:ascii="Arial" w:eastAsiaTheme="minorEastAsia" w:hAnsi="Arial" w:cs="Arial"/>
          <w:i/>
          <w:iCs/>
          <w:bdr w:val="none" w:sz="0" w:space="0" w:color="auto"/>
        </w:rPr>
        <w:t xml:space="preserve"> Neurology, 73</w:t>
      </w:r>
      <w:r w:rsidRPr="00CC7E17">
        <w:rPr>
          <w:rFonts w:ascii="Arial" w:eastAsiaTheme="minorEastAsia" w:hAnsi="Arial" w:cs="Arial"/>
          <w:bdr w:val="none" w:sz="0" w:space="0" w:color="auto"/>
        </w:rPr>
        <w:t>(2), 126-132. doi:10.1212/WNL.0b013e3181a6b2f8; 10.1212/WNL.0b013e3181a6b2f8</w:t>
      </w:r>
    </w:p>
    <w:p w14:paraId="38B2D67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Hellgren, K., Smedby, K. E., Feltelius, N., Baecklund, E., &amp; Askling, J. (2010). Do rheumatoid arthritis and lymphoma share risk factors?: A comparison of lymphoma and cancer risks before and after diagnosis of rheumatoid arthritis.</w:t>
      </w:r>
      <w:r w:rsidRPr="00CC7E17">
        <w:rPr>
          <w:rFonts w:ascii="Arial" w:eastAsiaTheme="minorEastAsia" w:hAnsi="Arial" w:cs="Arial"/>
          <w:i/>
          <w:iCs/>
          <w:bdr w:val="none" w:sz="0" w:space="0" w:color="auto"/>
        </w:rPr>
        <w:t xml:space="preserve"> Arthritis and Rheumatism, 62</w:t>
      </w:r>
      <w:r w:rsidRPr="00CC7E17">
        <w:rPr>
          <w:rFonts w:ascii="Arial" w:eastAsiaTheme="minorEastAsia" w:hAnsi="Arial" w:cs="Arial"/>
          <w:bdr w:val="none" w:sz="0" w:space="0" w:color="auto"/>
        </w:rPr>
        <w:t>(5), 1252-1258. doi:10.1002/art.27402; 10.1002/art.27402</w:t>
      </w:r>
    </w:p>
    <w:p w14:paraId="3FD9F20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Hemmi, M. H., Wolke, D., &amp; Schneider, S. (2011). Associations between problems with crying, sleeping and/or feeding in infancy and long-term behavioural outcomes in childhood: A meta-analysis.</w:t>
      </w:r>
      <w:r w:rsidRPr="00CC7E17">
        <w:rPr>
          <w:rFonts w:ascii="Arial" w:eastAsiaTheme="minorEastAsia" w:hAnsi="Arial" w:cs="Arial"/>
          <w:i/>
          <w:iCs/>
          <w:bdr w:val="none" w:sz="0" w:space="0" w:color="auto"/>
        </w:rPr>
        <w:t xml:space="preserve"> Archives of Disease in Childhood, 96</w:t>
      </w:r>
      <w:r w:rsidRPr="00CC7E17">
        <w:rPr>
          <w:rFonts w:ascii="Arial" w:eastAsiaTheme="minorEastAsia" w:hAnsi="Arial" w:cs="Arial"/>
          <w:bdr w:val="none" w:sz="0" w:space="0" w:color="auto"/>
        </w:rPr>
        <w:t>(7), 622-629. doi:10.1136/adc.2010.191312; 10.1136/adc.2010.191312</w:t>
      </w:r>
    </w:p>
    <w:p w14:paraId="27273D0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Henriksen, M., Jahnsen, J., Lygren, I., Stray, N., Sauar, J., Vatn, M. H., et al. (2008). C-reactive protein: A predictive factor and marker of inflammation in inflammatory bowel disease. results from a prospective population-based study.</w:t>
      </w:r>
      <w:r w:rsidRPr="00CC7E17">
        <w:rPr>
          <w:rFonts w:ascii="Arial" w:eastAsiaTheme="minorEastAsia" w:hAnsi="Arial" w:cs="Arial"/>
          <w:i/>
          <w:iCs/>
          <w:bdr w:val="none" w:sz="0" w:space="0" w:color="auto"/>
        </w:rPr>
        <w:t xml:space="preserve"> Gut, 57</w:t>
      </w:r>
      <w:r w:rsidRPr="00CC7E17">
        <w:rPr>
          <w:rFonts w:ascii="Arial" w:eastAsiaTheme="minorEastAsia" w:hAnsi="Arial" w:cs="Arial"/>
          <w:bdr w:val="none" w:sz="0" w:space="0" w:color="auto"/>
        </w:rPr>
        <w:t>(11), 1518-1523. doi:10.1136/gut.2007.146357; 10.1136/gut.2007.146357</w:t>
      </w:r>
    </w:p>
    <w:p w14:paraId="275D15C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Hjalmarson, O., Brynjarsson, H., Nilsson, S., &amp; Sandberg, K. L. (2014). Persisting hypoxaemia is an insufficient measure of adverse lung function in very immature infants.</w:t>
      </w:r>
      <w:r w:rsidRPr="00CC7E17">
        <w:rPr>
          <w:rFonts w:ascii="Arial" w:eastAsiaTheme="minorEastAsia" w:hAnsi="Arial" w:cs="Arial"/>
          <w:i/>
          <w:iCs/>
          <w:bdr w:val="none" w:sz="0" w:space="0" w:color="auto"/>
        </w:rPr>
        <w:t xml:space="preserve"> Archives of Disease in Childhood.Fetal and Neonatal Edition, 99</w:t>
      </w:r>
      <w:r w:rsidRPr="00CC7E17">
        <w:rPr>
          <w:rFonts w:ascii="Arial" w:eastAsiaTheme="minorEastAsia" w:hAnsi="Arial" w:cs="Arial"/>
          <w:bdr w:val="none" w:sz="0" w:space="0" w:color="auto"/>
        </w:rPr>
        <w:t>(4), F257-62. doi:10.1136/archdischild-2013-304625</w:t>
      </w:r>
    </w:p>
    <w:p w14:paraId="3918494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Hjern, F., Josephson, T., Altman, D., Holmstrom, B., &amp; Johansson, C. (2008). Outcome of younger patients with acute diverticulitis.</w:t>
      </w:r>
      <w:r w:rsidRPr="00CC7E17">
        <w:rPr>
          <w:rFonts w:ascii="Arial" w:eastAsiaTheme="minorEastAsia" w:hAnsi="Arial" w:cs="Arial"/>
          <w:i/>
          <w:iCs/>
          <w:bdr w:val="none" w:sz="0" w:space="0" w:color="auto"/>
        </w:rPr>
        <w:t xml:space="preserve"> The British Journal of Surgery, 95</w:t>
      </w:r>
      <w:r w:rsidRPr="00CC7E17">
        <w:rPr>
          <w:rFonts w:ascii="Arial" w:eastAsiaTheme="minorEastAsia" w:hAnsi="Arial" w:cs="Arial"/>
          <w:bdr w:val="none" w:sz="0" w:space="0" w:color="auto"/>
        </w:rPr>
        <w:t>(6), 758-764. doi:10.1002/bjs.6137; 10.1002/bjs.6137</w:t>
      </w:r>
    </w:p>
    <w:p w14:paraId="73C0238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Honda, H., Qureshi, A. R., Heimburger, O., Barany, P., Wang, K., Pecoits-Filho, R., et al. (2006). Serum albumin, C-reactive protein, interleukin 6, and fetuin a as predictors of malnutrition, cardiovascular disease, and mortality in patients with ESRD.</w:t>
      </w:r>
      <w:r w:rsidRPr="00CC7E17">
        <w:rPr>
          <w:rFonts w:ascii="Arial" w:eastAsiaTheme="minorEastAsia" w:hAnsi="Arial" w:cs="Arial"/>
          <w:i/>
          <w:iCs/>
          <w:bdr w:val="none" w:sz="0" w:space="0" w:color="auto"/>
        </w:rPr>
        <w:t xml:space="preserve"> American Journal of Kidney Diseases : The Official Journal of the National Kidney Foundation, 47</w:t>
      </w:r>
      <w:r w:rsidRPr="00CC7E17">
        <w:rPr>
          <w:rFonts w:ascii="Arial" w:eastAsiaTheme="minorEastAsia" w:hAnsi="Arial" w:cs="Arial"/>
          <w:bdr w:val="none" w:sz="0" w:space="0" w:color="auto"/>
        </w:rPr>
        <w:t>(1), 139-148. doi:10.1053/j.ajkd.2005.09.014</w:t>
      </w:r>
    </w:p>
    <w:p w14:paraId="2D1FB9C0"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Hosoya, M., Kawasaki, Y., Katayose, M., Sakuma, H., Watanabe, M., Igarashi, E., et al. (2006). Prognostic predictive values of serum cytochrome c, cytokines, and other laboratory measurements in acute encephalopathy with multiple organ failure.</w:t>
      </w:r>
      <w:r w:rsidRPr="00CC7E17">
        <w:rPr>
          <w:rFonts w:ascii="Arial" w:eastAsiaTheme="minorEastAsia" w:hAnsi="Arial" w:cs="Arial"/>
          <w:i/>
          <w:iCs/>
          <w:bdr w:val="none" w:sz="0" w:space="0" w:color="auto"/>
        </w:rPr>
        <w:t xml:space="preserve"> Archives of Disease in Childhood, 91</w:t>
      </w:r>
      <w:r w:rsidRPr="00CC7E17">
        <w:rPr>
          <w:rFonts w:ascii="Arial" w:eastAsiaTheme="minorEastAsia" w:hAnsi="Arial" w:cs="Arial"/>
          <w:bdr w:val="none" w:sz="0" w:space="0" w:color="auto"/>
        </w:rPr>
        <w:t>(6), 469-472. doi:10.1136/adc.2005.078436</w:t>
      </w:r>
    </w:p>
    <w:p w14:paraId="3525CE2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Huhtakangas, J., Tetri, S., Juvela, S., Saloheimo, P., Bode, M. K., &amp; Hillbom, M. (2011). Effect of increased warfarin use on warfarin-related cerebral hemorrhage: A longitudinal population-based study.</w:t>
      </w:r>
      <w:r w:rsidRPr="00CC7E17">
        <w:rPr>
          <w:rFonts w:ascii="Arial" w:eastAsiaTheme="minorEastAsia" w:hAnsi="Arial" w:cs="Arial"/>
          <w:i/>
          <w:iCs/>
          <w:bdr w:val="none" w:sz="0" w:space="0" w:color="auto"/>
        </w:rPr>
        <w:t xml:space="preserve"> Stroke; a Journal of Cerebral Circulation, 42</w:t>
      </w:r>
      <w:r w:rsidRPr="00CC7E17">
        <w:rPr>
          <w:rFonts w:ascii="Arial" w:eastAsiaTheme="minorEastAsia" w:hAnsi="Arial" w:cs="Arial"/>
          <w:bdr w:val="none" w:sz="0" w:space="0" w:color="auto"/>
        </w:rPr>
        <w:t>(9), 2431-2435. doi:10.1161/STROKEAHA.111.615260; 10.1161/STROKEAHA.111.615260</w:t>
      </w:r>
    </w:p>
    <w:p w14:paraId="066241A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Hush, J. M., Lin, C. C., Michaleff, Z. A., Verhagen, A., &amp; Refshauge, K. M. (2011). Prognosis of acute idiopathic neck pain is poor: A systematic review and meta-analysis.</w:t>
      </w:r>
      <w:r w:rsidRPr="00CC7E17">
        <w:rPr>
          <w:rFonts w:ascii="Arial" w:eastAsiaTheme="minorEastAsia" w:hAnsi="Arial" w:cs="Arial"/>
          <w:i/>
          <w:iCs/>
          <w:bdr w:val="none" w:sz="0" w:space="0" w:color="auto"/>
        </w:rPr>
        <w:t xml:space="preserve"> Archives of Physical Medicine and Rehabilitation, 92</w:t>
      </w:r>
      <w:r w:rsidRPr="00CC7E17">
        <w:rPr>
          <w:rFonts w:ascii="Arial" w:eastAsiaTheme="minorEastAsia" w:hAnsi="Arial" w:cs="Arial"/>
          <w:bdr w:val="none" w:sz="0" w:space="0" w:color="auto"/>
        </w:rPr>
        <w:t>(5), 824-829. doi:10.1016/j.apmr.2010.12.025; 10.1016/j.apmr.2010.12.025</w:t>
      </w:r>
    </w:p>
    <w:p w14:paraId="027D5FD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Hutchinson, E. A., De Luca, C. R., Doyle, L. W., Roberts, G., Anderson, P. J., &amp; Victorian Infant Collaborative Study Group. (2013). School-age outcomes of extremely preterm or extremely low birth weight children.</w:t>
      </w:r>
      <w:r w:rsidRPr="00CC7E17">
        <w:rPr>
          <w:rFonts w:ascii="Arial" w:eastAsiaTheme="minorEastAsia" w:hAnsi="Arial" w:cs="Arial"/>
          <w:i/>
          <w:iCs/>
          <w:bdr w:val="none" w:sz="0" w:space="0" w:color="auto"/>
        </w:rPr>
        <w:t xml:space="preserve"> Pediatrics, 131</w:t>
      </w:r>
      <w:r w:rsidRPr="00CC7E17">
        <w:rPr>
          <w:rFonts w:ascii="Arial" w:eastAsiaTheme="minorEastAsia" w:hAnsi="Arial" w:cs="Arial"/>
          <w:bdr w:val="none" w:sz="0" w:space="0" w:color="auto"/>
        </w:rPr>
        <w:t>(4), e1053-61. doi:10.1542/peds.2012-2311; 10.1542/peds.2012-2311</w:t>
      </w:r>
    </w:p>
    <w:p w14:paraId="1ED2691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Hwang, J. B., Sohn, S. M., &amp; Kim, A. S. (2009). Prospective follow-up oral food challenge in food protein-induced enterocolitis syndrome.</w:t>
      </w:r>
      <w:r w:rsidRPr="00CC7E17">
        <w:rPr>
          <w:rFonts w:ascii="Arial" w:eastAsiaTheme="minorEastAsia" w:hAnsi="Arial" w:cs="Arial"/>
          <w:i/>
          <w:iCs/>
          <w:bdr w:val="none" w:sz="0" w:space="0" w:color="auto"/>
        </w:rPr>
        <w:t xml:space="preserve"> Archives of Disease in Childhood, 94</w:t>
      </w:r>
      <w:r w:rsidRPr="00CC7E17">
        <w:rPr>
          <w:rFonts w:ascii="Arial" w:eastAsiaTheme="minorEastAsia" w:hAnsi="Arial" w:cs="Arial"/>
          <w:bdr w:val="none" w:sz="0" w:space="0" w:color="auto"/>
        </w:rPr>
        <w:t>(6), 425-428. doi:10.1136/adc.2008.143289; 10.1136/adc.2008.143289</w:t>
      </w:r>
    </w:p>
    <w:p w14:paraId="0917453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Iorio, A., Kearon, C., Filippucci, E., Marcucci, M., Macura, A., Pengo, V., et al. (2010). Risk of recurrence after a first episode of symptomatic venous thromboembolism provoked by a transient risk factor: A systematic review.</w:t>
      </w:r>
      <w:r w:rsidRPr="00CC7E17">
        <w:rPr>
          <w:rFonts w:ascii="Arial" w:eastAsiaTheme="minorEastAsia" w:hAnsi="Arial" w:cs="Arial"/>
          <w:i/>
          <w:iCs/>
          <w:bdr w:val="none" w:sz="0" w:space="0" w:color="auto"/>
        </w:rPr>
        <w:t xml:space="preserve"> Archives of Internal Medicine, 170</w:t>
      </w:r>
      <w:r w:rsidRPr="00CC7E17">
        <w:rPr>
          <w:rFonts w:ascii="Arial" w:eastAsiaTheme="minorEastAsia" w:hAnsi="Arial" w:cs="Arial"/>
          <w:bdr w:val="none" w:sz="0" w:space="0" w:color="auto"/>
        </w:rPr>
        <w:t>(19), 1710-1716. doi:10.1001/archinternmed.2010.367; 10.1001/archinternmed.2010.367</w:t>
      </w:r>
    </w:p>
    <w:p w14:paraId="5CC845D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Janer, J., Andersson, S., Kajantie, E., &amp; Lassus, P. (2009). Endostatin concentration in cord plasma predicts the development of bronchopulmonary dysplasia in very low birth weight infants.</w:t>
      </w:r>
      <w:r w:rsidRPr="00CC7E17">
        <w:rPr>
          <w:rFonts w:ascii="Arial" w:eastAsiaTheme="minorEastAsia" w:hAnsi="Arial" w:cs="Arial"/>
          <w:i/>
          <w:iCs/>
          <w:bdr w:val="none" w:sz="0" w:space="0" w:color="auto"/>
        </w:rPr>
        <w:t xml:space="preserve"> Pediatrics, 123</w:t>
      </w:r>
      <w:r w:rsidRPr="00CC7E17">
        <w:rPr>
          <w:rFonts w:ascii="Arial" w:eastAsiaTheme="minorEastAsia" w:hAnsi="Arial" w:cs="Arial"/>
          <w:bdr w:val="none" w:sz="0" w:space="0" w:color="auto"/>
        </w:rPr>
        <w:t>(4), 1142-1146. doi:10.1542/peds.2008-1339; 10.1542/peds.2008-1339</w:t>
      </w:r>
    </w:p>
    <w:p w14:paraId="0A2C660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Jonsson, A. C., Lindgren, I., Hallstrom, B., Norrving, B., &amp; Lindgren, A. (2006). Prevalence and intensity of pain after stroke: A population based study focusing on patients' perspectives.</w:t>
      </w:r>
      <w:r w:rsidRPr="00CC7E17">
        <w:rPr>
          <w:rFonts w:ascii="Arial" w:eastAsiaTheme="minorEastAsia" w:hAnsi="Arial" w:cs="Arial"/>
          <w:i/>
          <w:iCs/>
          <w:bdr w:val="none" w:sz="0" w:space="0" w:color="auto"/>
        </w:rPr>
        <w:t xml:space="preserve"> Journal of Neurology, Neurosurgery, and Psychiatry, 77</w:t>
      </w:r>
      <w:r w:rsidRPr="00CC7E17">
        <w:rPr>
          <w:rFonts w:ascii="Arial" w:eastAsiaTheme="minorEastAsia" w:hAnsi="Arial" w:cs="Arial"/>
          <w:bdr w:val="none" w:sz="0" w:space="0" w:color="auto"/>
        </w:rPr>
        <w:t>(5), 590-595. doi:10.1136/jnnp.2005.079145</w:t>
      </w:r>
    </w:p>
    <w:p w14:paraId="64521BD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Kang, S. N., Sanghera, T., Mangwani, J., Paterson, J. M., &amp; Ramachandran, M. (2009). The management of septic arthritis in children: Systematic review of the english language literature.</w:t>
      </w:r>
      <w:r w:rsidRPr="00CC7E17">
        <w:rPr>
          <w:rFonts w:ascii="Arial" w:eastAsiaTheme="minorEastAsia" w:hAnsi="Arial" w:cs="Arial"/>
          <w:i/>
          <w:iCs/>
          <w:bdr w:val="none" w:sz="0" w:space="0" w:color="auto"/>
        </w:rPr>
        <w:t xml:space="preserve"> The Journal of Bone and Joint Surgery.British Volume, 91</w:t>
      </w:r>
      <w:r w:rsidRPr="00CC7E17">
        <w:rPr>
          <w:rFonts w:ascii="Arial" w:eastAsiaTheme="minorEastAsia" w:hAnsi="Arial" w:cs="Arial"/>
          <w:bdr w:val="none" w:sz="0" w:space="0" w:color="auto"/>
        </w:rPr>
        <w:t>(9), 1127-1133. doi:10.1302/0301-620X.91B9.22530; 10.1302/0301-620X.91B9.22530</w:t>
      </w:r>
    </w:p>
    <w:p w14:paraId="3D02DB0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Kaplan, M., Hammerman, C., Vreman, H. J., Wong, R. J., &amp; Stevenson, D. K. (2010). Hemolysis and hyperbilirubinemia in antiglobulin positive, direct ABO blood group heterospecific neonates.</w:t>
      </w:r>
      <w:r w:rsidRPr="00CC7E17">
        <w:rPr>
          <w:rFonts w:ascii="Arial" w:eastAsiaTheme="minorEastAsia" w:hAnsi="Arial" w:cs="Arial"/>
          <w:i/>
          <w:iCs/>
          <w:bdr w:val="none" w:sz="0" w:space="0" w:color="auto"/>
        </w:rPr>
        <w:t xml:space="preserve"> The Journal of Pediatrics, 157</w:t>
      </w:r>
      <w:r w:rsidRPr="00CC7E17">
        <w:rPr>
          <w:rFonts w:ascii="Arial" w:eastAsiaTheme="minorEastAsia" w:hAnsi="Arial" w:cs="Arial"/>
          <w:bdr w:val="none" w:sz="0" w:space="0" w:color="auto"/>
        </w:rPr>
        <w:t>(5), 772-777. doi:10.1016/j.jpeds.2010.05.024; 10.1016/j.jpeds.2010.05.024</w:t>
      </w:r>
    </w:p>
    <w:p w14:paraId="31995FC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Khalid, U., Hansen, P. R., Gislason, G. H., Lindhardsen, J., Kristensen, S. L., Winther, S. A., et al. (2013). Psoriasis and new-onset diabetes: A danish nationwide cohort study.</w:t>
      </w:r>
      <w:r w:rsidRPr="00CC7E17">
        <w:rPr>
          <w:rFonts w:ascii="Arial" w:eastAsiaTheme="minorEastAsia" w:hAnsi="Arial" w:cs="Arial"/>
          <w:i/>
          <w:iCs/>
          <w:bdr w:val="none" w:sz="0" w:space="0" w:color="auto"/>
        </w:rPr>
        <w:t xml:space="preserve"> Diabetes Care, 36</w:t>
      </w:r>
      <w:r w:rsidRPr="00CC7E17">
        <w:rPr>
          <w:rFonts w:ascii="Arial" w:eastAsiaTheme="minorEastAsia" w:hAnsi="Arial" w:cs="Arial"/>
          <w:bdr w:val="none" w:sz="0" w:space="0" w:color="auto"/>
        </w:rPr>
        <w:t>(8), 2402-2407. doi:10.2337/dc12-2330; 10.2337/dc12-2330</w:t>
      </w:r>
    </w:p>
    <w:p w14:paraId="63FD278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Kim, C. T., Han, J., &amp; Kim, H. (2009). Pediatric stroke recovery: A descriptive analysis.</w:t>
      </w:r>
      <w:r w:rsidRPr="00CC7E17">
        <w:rPr>
          <w:rFonts w:ascii="Arial" w:eastAsiaTheme="minorEastAsia" w:hAnsi="Arial" w:cs="Arial"/>
          <w:i/>
          <w:iCs/>
          <w:bdr w:val="none" w:sz="0" w:space="0" w:color="auto"/>
        </w:rPr>
        <w:t xml:space="preserve"> Archives of Physical Medicine and Rehabilitation, 90</w:t>
      </w:r>
      <w:r w:rsidRPr="00CC7E17">
        <w:rPr>
          <w:rFonts w:ascii="Arial" w:eastAsiaTheme="minorEastAsia" w:hAnsi="Arial" w:cs="Arial"/>
          <w:bdr w:val="none" w:sz="0" w:space="0" w:color="auto"/>
        </w:rPr>
        <w:t>(4), 657-662. doi:10.1016/j.apmr.2008.10.016; 10.1016/j.apmr.2008.10.016</w:t>
      </w:r>
    </w:p>
    <w:p w14:paraId="01E1F050"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Kirton, A., Armstrong-Wells, J., Chang, T., Deveber, G., Rivkin, M. J., Hernandez, M., et al. (2011). Symptomatic neonatal arterial ischemic stroke: The international pediatric stroke study.</w:t>
      </w:r>
      <w:r w:rsidRPr="00CC7E17">
        <w:rPr>
          <w:rFonts w:ascii="Arial" w:eastAsiaTheme="minorEastAsia" w:hAnsi="Arial" w:cs="Arial"/>
          <w:i/>
          <w:iCs/>
          <w:bdr w:val="none" w:sz="0" w:space="0" w:color="auto"/>
        </w:rPr>
        <w:t xml:space="preserve"> Pediatrics, 128</w:t>
      </w:r>
      <w:r w:rsidRPr="00CC7E17">
        <w:rPr>
          <w:rFonts w:ascii="Arial" w:eastAsiaTheme="minorEastAsia" w:hAnsi="Arial" w:cs="Arial"/>
          <w:bdr w:val="none" w:sz="0" w:space="0" w:color="auto"/>
        </w:rPr>
        <w:t>(6), e1402-10. doi:10.1542/peds.2011-1148; 10.1542/peds.2011-1148</w:t>
      </w:r>
    </w:p>
    <w:p w14:paraId="53CCDC1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Kristinsson, S. Y., Derolf, A. R., Edgren, G., Dickman, P. W., &amp; Bjorkholm, M. (2009). Socioeconomic differences in patient survival are increasing for acute myeloid leukemia and multiple myeloma in sweden.</w:t>
      </w:r>
      <w:r w:rsidRPr="00CC7E17">
        <w:rPr>
          <w:rFonts w:ascii="Arial" w:eastAsiaTheme="minorEastAsia" w:hAnsi="Arial" w:cs="Arial"/>
          <w:i/>
          <w:iCs/>
          <w:bdr w:val="none" w:sz="0" w:space="0" w:color="auto"/>
        </w:rPr>
        <w:t xml:space="preserve"> Journal of Clinical Oncology : Official Journal of the American Society of Clinical Oncology, 27</w:t>
      </w:r>
      <w:r w:rsidRPr="00CC7E17">
        <w:rPr>
          <w:rFonts w:ascii="Arial" w:eastAsiaTheme="minorEastAsia" w:hAnsi="Arial" w:cs="Arial"/>
          <w:bdr w:val="none" w:sz="0" w:space="0" w:color="auto"/>
        </w:rPr>
        <w:t>(12), 2073-2080. doi:10.1200/JCO.2008.18.2006; 10.1200/JCO.2008.18.2006</w:t>
      </w:r>
    </w:p>
    <w:p w14:paraId="7525476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Lama, V. N., Murray, S., Lonigro, R. J., Toews, G. B., Chang, A., Lau, C., et al. (2007). Course of FEV(1) after onset of bronchiolitis obliterans syndrome in lung transplant recipients.</w:t>
      </w:r>
      <w:r w:rsidRPr="00CC7E17">
        <w:rPr>
          <w:rFonts w:ascii="Arial" w:eastAsiaTheme="minorEastAsia" w:hAnsi="Arial" w:cs="Arial"/>
          <w:i/>
          <w:iCs/>
          <w:bdr w:val="none" w:sz="0" w:space="0" w:color="auto"/>
        </w:rPr>
        <w:t xml:space="preserve"> American Journal of Respiratory and Critical Care Medicine, 175</w:t>
      </w:r>
      <w:r w:rsidRPr="00CC7E17">
        <w:rPr>
          <w:rFonts w:ascii="Arial" w:eastAsiaTheme="minorEastAsia" w:hAnsi="Arial" w:cs="Arial"/>
          <w:bdr w:val="none" w:sz="0" w:space="0" w:color="auto"/>
        </w:rPr>
        <w:t>(11), 1192-1198. doi:10.1164/rccm.200609-1344OC</w:t>
      </w:r>
    </w:p>
    <w:p w14:paraId="32326AA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Lanari, M., Lazzarotto, T., Venturi, V., Papa, I., Gabrielli, L., Guerra, B., et al. (2006). Neonatal cytomegalovirus blood load and risk of sequelae in symptomatic and asymptomatic congenitally infected newborns.</w:t>
      </w:r>
      <w:r w:rsidRPr="00CC7E17">
        <w:rPr>
          <w:rFonts w:ascii="Arial" w:eastAsiaTheme="minorEastAsia" w:hAnsi="Arial" w:cs="Arial"/>
          <w:i/>
          <w:iCs/>
          <w:bdr w:val="none" w:sz="0" w:space="0" w:color="auto"/>
        </w:rPr>
        <w:t xml:space="preserve"> Pediatrics, 117</w:t>
      </w:r>
      <w:r w:rsidRPr="00CC7E17">
        <w:rPr>
          <w:rFonts w:ascii="Arial" w:eastAsiaTheme="minorEastAsia" w:hAnsi="Arial" w:cs="Arial"/>
          <w:bdr w:val="none" w:sz="0" w:space="0" w:color="auto"/>
        </w:rPr>
        <w:t>(1), e76-83. doi:10.1542/peds.2005-0629</w:t>
      </w:r>
    </w:p>
    <w:p w14:paraId="53336AB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Limperopoulos, C., Bassan, H., Gauvreau, K., Robertson, R. L.,Jr, Sullivan, N. R., Benson, C. B., et al. (2007). Does cerebellar injury in premature infants contribute to the high prevalence of long-term cognitive, learning, and behavioral disability in survivors?</w:t>
      </w:r>
      <w:r w:rsidRPr="00CC7E17">
        <w:rPr>
          <w:rFonts w:ascii="Arial" w:eastAsiaTheme="minorEastAsia" w:hAnsi="Arial" w:cs="Arial"/>
          <w:i/>
          <w:iCs/>
          <w:bdr w:val="none" w:sz="0" w:space="0" w:color="auto"/>
        </w:rPr>
        <w:t xml:space="preserve"> Pediatrics, 120</w:t>
      </w:r>
      <w:r w:rsidRPr="00CC7E17">
        <w:rPr>
          <w:rFonts w:ascii="Arial" w:eastAsiaTheme="minorEastAsia" w:hAnsi="Arial" w:cs="Arial"/>
          <w:bdr w:val="none" w:sz="0" w:space="0" w:color="auto"/>
        </w:rPr>
        <w:t>(3), 584-593. doi:10.1542/peds.2007-1041</w:t>
      </w:r>
    </w:p>
    <w:p w14:paraId="76915EE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Limperopoulos, C., Bassan, H., Sullivan, N. R., Soul, J. S., Robertson, R. L.,Jr, Moore, M., et al. (2008). Positive screening for autism in ex-preterm infants: Prevalence and risk factors.</w:t>
      </w:r>
      <w:r w:rsidRPr="00CC7E17">
        <w:rPr>
          <w:rFonts w:ascii="Arial" w:eastAsiaTheme="minorEastAsia" w:hAnsi="Arial" w:cs="Arial"/>
          <w:i/>
          <w:iCs/>
          <w:bdr w:val="none" w:sz="0" w:space="0" w:color="auto"/>
        </w:rPr>
        <w:t xml:space="preserve"> Pediatrics, 121</w:t>
      </w:r>
      <w:r w:rsidRPr="00CC7E17">
        <w:rPr>
          <w:rFonts w:ascii="Arial" w:eastAsiaTheme="minorEastAsia" w:hAnsi="Arial" w:cs="Arial"/>
          <w:bdr w:val="none" w:sz="0" w:space="0" w:color="auto"/>
        </w:rPr>
        <w:t>(4), 758-765. doi:10.1542/peds.2007-2158; 10.1542/peds.2007-2158</w:t>
      </w:r>
    </w:p>
    <w:p w14:paraId="41F2596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Liu, J. M., Ren, A., Yang, L., Gao, J., Pei, L., Ye, R., et al. (2010). Urinary tract abnormalities in chinese rural children who consumed melamine-contaminated dairy products: A population-based screening and follow-up study.</w:t>
      </w:r>
      <w:r w:rsidRPr="00CC7E17">
        <w:rPr>
          <w:rFonts w:ascii="Arial" w:eastAsiaTheme="minorEastAsia" w:hAnsi="Arial" w:cs="Arial"/>
          <w:i/>
          <w:iCs/>
          <w:bdr w:val="none" w:sz="0" w:space="0" w:color="auto"/>
        </w:rPr>
        <w:t xml:space="preserve"> CMAJ : Canadian Medical Association Journal = Journal De l'Association Medicale Canadienne, 182</w:t>
      </w:r>
      <w:r w:rsidRPr="00CC7E17">
        <w:rPr>
          <w:rFonts w:ascii="Arial" w:eastAsiaTheme="minorEastAsia" w:hAnsi="Arial" w:cs="Arial"/>
          <w:bdr w:val="none" w:sz="0" w:space="0" w:color="auto"/>
        </w:rPr>
        <w:t>(5), 439-443. doi:10.1503/cmaj.091063; 10.1503/cmaj.091063</w:t>
      </w:r>
    </w:p>
    <w:p w14:paraId="095D632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Logerstedt, D. S., Snyder-Mackler, L., Ritter, R. C., Axe, M. J., &amp; Orthopedic Section of the American Physical Therapy Association. (2010). Knee pain and mobility impairments: Meniscal and articular cartilage lesions.</w:t>
      </w:r>
      <w:r w:rsidRPr="00CC7E17">
        <w:rPr>
          <w:rFonts w:ascii="Arial" w:eastAsiaTheme="minorEastAsia" w:hAnsi="Arial" w:cs="Arial"/>
          <w:i/>
          <w:iCs/>
          <w:bdr w:val="none" w:sz="0" w:space="0" w:color="auto"/>
        </w:rPr>
        <w:t xml:space="preserve"> The Journal of Orthopaedic and Sports Physical Therapy, 40</w:t>
      </w:r>
      <w:r w:rsidRPr="00CC7E17">
        <w:rPr>
          <w:rFonts w:ascii="Arial" w:eastAsiaTheme="minorEastAsia" w:hAnsi="Arial" w:cs="Arial"/>
          <w:bdr w:val="none" w:sz="0" w:space="0" w:color="auto"/>
        </w:rPr>
        <w:t>(6), A1-A35. doi:10.2519/jospt.2010.0304; 10.2519/jospt.2010.0304</w:t>
      </w:r>
    </w:p>
    <w:p w14:paraId="5EB247C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Mathsson, L., Mullazehi, M., Wick, M. C., Sjoberg, O., van Vollenhoven, R., Klareskog, L., et al. (2008). Antibodies against citrullinated vimentin in rheumatoid arthritis: Higher sensitivity and extended prognostic value concerning future radiographic progression as compared with antibodies against cyclic citrullinated peptides.</w:t>
      </w:r>
      <w:r w:rsidRPr="00CC7E17">
        <w:rPr>
          <w:rFonts w:ascii="Arial" w:eastAsiaTheme="minorEastAsia" w:hAnsi="Arial" w:cs="Arial"/>
          <w:i/>
          <w:iCs/>
          <w:bdr w:val="none" w:sz="0" w:space="0" w:color="auto"/>
        </w:rPr>
        <w:t xml:space="preserve"> Arthritis and Rheumatism, 58</w:t>
      </w:r>
      <w:r w:rsidRPr="00CC7E17">
        <w:rPr>
          <w:rFonts w:ascii="Arial" w:eastAsiaTheme="minorEastAsia" w:hAnsi="Arial" w:cs="Arial"/>
          <w:bdr w:val="none" w:sz="0" w:space="0" w:color="auto"/>
        </w:rPr>
        <w:t>(1), 36-45. doi:10.1002/art.23188; 10.1002/art.23188</w:t>
      </w:r>
    </w:p>
    <w:p w14:paraId="7878915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Meadow, W., Lagatta, J., Andrews, B., Caldarelli, L., Keiser, A., Laporte, J., et al. (2008). Just, in time: Ethical implications of serial predictions of death and morbidity for ventilated premature infants.</w:t>
      </w:r>
      <w:r w:rsidRPr="00CC7E17">
        <w:rPr>
          <w:rFonts w:ascii="Arial" w:eastAsiaTheme="minorEastAsia" w:hAnsi="Arial" w:cs="Arial"/>
          <w:i/>
          <w:iCs/>
          <w:bdr w:val="none" w:sz="0" w:space="0" w:color="auto"/>
        </w:rPr>
        <w:t xml:space="preserve"> Pediatrics, 121</w:t>
      </w:r>
      <w:r w:rsidRPr="00CC7E17">
        <w:rPr>
          <w:rFonts w:ascii="Arial" w:eastAsiaTheme="minorEastAsia" w:hAnsi="Arial" w:cs="Arial"/>
          <w:bdr w:val="none" w:sz="0" w:space="0" w:color="auto"/>
        </w:rPr>
        <w:t>(4), 732-740. doi:10.1542/peds.2006-2797; 10.1542/peds.2006-2797</w:t>
      </w:r>
    </w:p>
    <w:p w14:paraId="446D37C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Miller, E. K., Bugna, J., Libster, R., Shepherd, B. E., Scalzo, P. M., Acosta, P. L., et al. (2012). Human rhinoviruses in severe respiratory disease in very low birth weight infants.</w:t>
      </w:r>
      <w:r w:rsidRPr="00CC7E17">
        <w:rPr>
          <w:rFonts w:ascii="Arial" w:eastAsiaTheme="minorEastAsia" w:hAnsi="Arial" w:cs="Arial"/>
          <w:i/>
          <w:iCs/>
          <w:bdr w:val="none" w:sz="0" w:space="0" w:color="auto"/>
        </w:rPr>
        <w:t xml:space="preserve"> Pediatrics, 129</w:t>
      </w:r>
      <w:r w:rsidRPr="00CC7E17">
        <w:rPr>
          <w:rFonts w:ascii="Arial" w:eastAsiaTheme="minorEastAsia" w:hAnsi="Arial" w:cs="Arial"/>
          <w:bdr w:val="none" w:sz="0" w:space="0" w:color="auto"/>
        </w:rPr>
        <w:t>(1), e60-7. doi:10.1542/peds.2011-0583; 10.1542/peds.2011-0583</w:t>
      </w:r>
    </w:p>
    <w:p w14:paraId="2D00F64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Mortensen, H. B., Hougaard, P., Swift, P., Hansen, L., Holl, R. W., Hoey, H., et al. (2009). New definition for the partial remission period in children and adolescents with type 1 diabetes.</w:t>
      </w:r>
      <w:r w:rsidRPr="00CC7E17">
        <w:rPr>
          <w:rFonts w:ascii="Arial" w:eastAsiaTheme="minorEastAsia" w:hAnsi="Arial" w:cs="Arial"/>
          <w:i/>
          <w:iCs/>
          <w:bdr w:val="none" w:sz="0" w:space="0" w:color="auto"/>
        </w:rPr>
        <w:t xml:space="preserve"> Diabetes Care, 32</w:t>
      </w:r>
      <w:r w:rsidRPr="00CC7E17">
        <w:rPr>
          <w:rFonts w:ascii="Arial" w:eastAsiaTheme="minorEastAsia" w:hAnsi="Arial" w:cs="Arial"/>
          <w:bdr w:val="none" w:sz="0" w:space="0" w:color="auto"/>
        </w:rPr>
        <w:t>(8), 1384-1390. doi:10.2337/dc08-1987; 10.2337/dc08-1987</w:t>
      </w:r>
    </w:p>
    <w:p w14:paraId="18F5C63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Myasoedova, E., Crowson, C. S., Kremers, H. M., Roger, V. L., Fitz-Gibbon, P. D., Therneau, T. M., et al. (2011). Lipid paradox in rheumatoid arthritis: The impact of serum lipid measures and systemic inflammation on the risk of cardiovascular disease.</w:t>
      </w:r>
      <w:r w:rsidRPr="00CC7E17">
        <w:rPr>
          <w:rFonts w:ascii="Arial" w:eastAsiaTheme="minorEastAsia" w:hAnsi="Arial" w:cs="Arial"/>
          <w:i/>
          <w:iCs/>
          <w:bdr w:val="none" w:sz="0" w:space="0" w:color="auto"/>
        </w:rPr>
        <w:t xml:space="preserve"> Annals of the Rheumatic Diseases, 70</w:t>
      </w:r>
      <w:r w:rsidRPr="00CC7E17">
        <w:rPr>
          <w:rFonts w:ascii="Arial" w:eastAsiaTheme="minorEastAsia" w:hAnsi="Arial" w:cs="Arial"/>
          <w:bdr w:val="none" w:sz="0" w:space="0" w:color="auto"/>
        </w:rPr>
        <w:t>(3), 482-487. doi:10.1136/ard.2010.135871; 10.1136/ard.2010.135871</w:t>
      </w:r>
    </w:p>
    <w:p w14:paraId="27C2B29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Nakashima, H., Katayama, T., Takagi, C., Amenomori, K., Ishizaki, M., Honda, Y., et al. (2006). Obstructive sleep apnoea inhibits the recovery of left ventricular function in patients with acute myocardial infarction.</w:t>
      </w:r>
      <w:r w:rsidRPr="00CC7E17">
        <w:rPr>
          <w:rFonts w:ascii="Arial" w:eastAsiaTheme="minorEastAsia" w:hAnsi="Arial" w:cs="Arial"/>
          <w:i/>
          <w:iCs/>
          <w:bdr w:val="none" w:sz="0" w:space="0" w:color="auto"/>
        </w:rPr>
        <w:t xml:space="preserve"> European Heart Journal, 27</w:t>
      </w:r>
      <w:r w:rsidRPr="00CC7E17">
        <w:rPr>
          <w:rFonts w:ascii="Arial" w:eastAsiaTheme="minorEastAsia" w:hAnsi="Arial" w:cs="Arial"/>
          <w:bdr w:val="none" w:sz="0" w:space="0" w:color="auto"/>
        </w:rPr>
        <w:t>(19), 2317-2322. doi:10.1093/eurheartj/ehl219</w:t>
      </w:r>
    </w:p>
    <w:p w14:paraId="734AB0B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Nguyen, T. T., Thia, L. P., Hoo, A. F., Bush, A., Aurora, P., Wade, A., et al. (2013). Evolution of lung function during the first year of life in newborn screened cystic fibrosis infants.</w:t>
      </w:r>
      <w:r w:rsidRPr="00CC7E17">
        <w:rPr>
          <w:rFonts w:ascii="Arial" w:eastAsiaTheme="minorEastAsia" w:hAnsi="Arial" w:cs="Arial"/>
          <w:i/>
          <w:iCs/>
          <w:bdr w:val="none" w:sz="0" w:space="0" w:color="auto"/>
        </w:rPr>
        <w:t xml:space="preserve"> Thorax, </w:t>
      </w:r>
      <w:r w:rsidRPr="00CC7E17">
        <w:rPr>
          <w:rFonts w:ascii="Arial" w:eastAsiaTheme="minorEastAsia" w:hAnsi="Arial" w:cs="Arial"/>
          <w:bdr w:val="none" w:sz="0" w:space="0" w:color="auto"/>
        </w:rPr>
        <w:t>doi:10.1136/thoraxjnl-2013-204023; 10.1136/thoraxjnl-2013-204023</w:t>
      </w:r>
    </w:p>
    <w:p w14:paraId="136B00A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Nichols, G. A., Hillier, T. A., &amp; Brown, J. B. (2007). Progression from newly acquired impaired fasting glusose to type 2 diabetes.</w:t>
      </w:r>
      <w:r w:rsidRPr="00CC7E17">
        <w:rPr>
          <w:rFonts w:ascii="Arial" w:eastAsiaTheme="minorEastAsia" w:hAnsi="Arial" w:cs="Arial"/>
          <w:i/>
          <w:iCs/>
          <w:bdr w:val="none" w:sz="0" w:space="0" w:color="auto"/>
        </w:rPr>
        <w:t xml:space="preserve"> Diabetes Care, 30</w:t>
      </w:r>
      <w:r w:rsidRPr="00CC7E17">
        <w:rPr>
          <w:rFonts w:ascii="Arial" w:eastAsiaTheme="minorEastAsia" w:hAnsi="Arial" w:cs="Arial"/>
          <w:bdr w:val="none" w:sz="0" w:space="0" w:color="auto"/>
        </w:rPr>
        <w:t>(2), 228-233. doi:10.2337/dc06-1392</w:t>
      </w:r>
    </w:p>
    <w:p w14:paraId="0B03DC5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Niemann, I., Petersen, L. K., Hansen, E. S., &amp; Sunde, L. (2006). Predictors of low risk of persistent trophoblastic disease in molar pregnancies.</w:t>
      </w:r>
      <w:r w:rsidRPr="00CC7E17">
        <w:rPr>
          <w:rFonts w:ascii="Arial" w:eastAsiaTheme="minorEastAsia" w:hAnsi="Arial" w:cs="Arial"/>
          <w:i/>
          <w:iCs/>
          <w:bdr w:val="none" w:sz="0" w:space="0" w:color="auto"/>
        </w:rPr>
        <w:t xml:space="preserve"> Obstetrics and Gynecology, 107</w:t>
      </w:r>
      <w:r w:rsidRPr="00CC7E17">
        <w:rPr>
          <w:rFonts w:ascii="Arial" w:eastAsiaTheme="minorEastAsia" w:hAnsi="Arial" w:cs="Arial"/>
          <w:bdr w:val="none" w:sz="0" w:space="0" w:color="auto"/>
        </w:rPr>
        <w:t>(5), 1006-1011. doi:10.1097/01.AOG.0000210635.24543.3b</w:t>
      </w:r>
    </w:p>
    <w:p w14:paraId="2E296DE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Nomura, Y., &amp; Chemtob, C. M. (2007). Conjoined effects of low birth weight and childhood abuse on adaptation and well-being in adolescence and adulthood.</w:t>
      </w:r>
      <w:r w:rsidRPr="00CC7E17">
        <w:rPr>
          <w:rFonts w:ascii="Arial" w:eastAsiaTheme="minorEastAsia" w:hAnsi="Arial" w:cs="Arial"/>
          <w:i/>
          <w:iCs/>
          <w:bdr w:val="none" w:sz="0" w:space="0" w:color="auto"/>
        </w:rPr>
        <w:t xml:space="preserve"> Archives of Pediatrics &amp; Adolescent Medicine, 161</w:t>
      </w:r>
      <w:r w:rsidRPr="00CC7E17">
        <w:rPr>
          <w:rFonts w:ascii="Arial" w:eastAsiaTheme="minorEastAsia" w:hAnsi="Arial" w:cs="Arial"/>
          <w:bdr w:val="none" w:sz="0" w:space="0" w:color="auto"/>
        </w:rPr>
        <w:t>(2), 186-192. doi:10.1001/archpedi.161.2.186</w:t>
      </w:r>
    </w:p>
    <w:p w14:paraId="066AA89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Nordal, E., Zak, M., Aalto, K., Berntson, L., Fasth, A., Herlin, T., et al. (2011). Ongoing disease activity and changing categories in a long-term nordic cohort study of juvenile idiopathic arthritis.</w:t>
      </w:r>
      <w:r w:rsidRPr="00CC7E17">
        <w:rPr>
          <w:rFonts w:ascii="Arial" w:eastAsiaTheme="minorEastAsia" w:hAnsi="Arial" w:cs="Arial"/>
          <w:i/>
          <w:iCs/>
          <w:bdr w:val="none" w:sz="0" w:space="0" w:color="auto"/>
        </w:rPr>
        <w:t xml:space="preserve"> Arthritis and Rheumatism, 63</w:t>
      </w:r>
      <w:r w:rsidRPr="00CC7E17">
        <w:rPr>
          <w:rFonts w:ascii="Arial" w:eastAsiaTheme="minorEastAsia" w:hAnsi="Arial" w:cs="Arial"/>
          <w:bdr w:val="none" w:sz="0" w:space="0" w:color="auto"/>
        </w:rPr>
        <w:t>(9), 2809-2818. doi:10.1002/art.30426; 10.1002/art.30426</w:t>
      </w:r>
    </w:p>
    <w:p w14:paraId="44D16E2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Odd, D. E., Gunnell, D., Lewis, G., &amp; Rasmussen, F. (2011). Long-term impact of poor birth condition on social and economic outcomes in early adulthood.</w:t>
      </w:r>
      <w:r w:rsidRPr="00CC7E17">
        <w:rPr>
          <w:rFonts w:ascii="Arial" w:eastAsiaTheme="minorEastAsia" w:hAnsi="Arial" w:cs="Arial"/>
          <w:i/>
          <w:iCs/>
          <w:bdr w:val="none" w:sz="0" w:space="0" w:color="auto"/>
        </w:rPr>
        <w:t xml:space="preserve"> Pediatrics, 127</w:t>
      </w:r>
      <w:r w:rsidRPr="00CC7E17">
        <w:rPr>
          <w:rFonts w:ascii="Arial" w:eastAsiaTheme="minorEastAsia" w:hAnsi="Arial" w:cs="Arial"/>
          <w:bdr w:val="none" w:sz="0" w:space="0" w:color="auto"/>
        </w:rPr>
        <w:t>(6), e1498-504. doi:10.1542/peds.2010-3604; 10.1542/peds.2010-3604</w:t>
      </w:r>
    </w:p>
    <w:p w14:paraId="317AF5A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Patel, R. V., Shelling, M. L., Prodanovich, S., Federman, D. G., &amp; Kirsner, R. S. (2011). Psoriasis and vascular disease-risk factors and outcomes: A systematic review of the literature.</w:t>
      </w:r>
      <w:r w:rsidRPr="00CC7E17">
        <w:rPr>
          <w:rFonts w:ascii="Arial" w:eastAsiaTheme="minorEastAsia" w:hAnsi="Arial" w:cs="Arial"/>
          <w:i/>
          <w:iCs/>
          <w:bdr w:val="none" w:sz="0" w:space="0" w:color="auto"/>
        </w:rPr>
        <w:t xml:space="preserve"> Journal of General Internal Medicine, 26</w:t>
      </w:r>
      <w:r w:rsidRPr="00CC7E17">
        <w:rPr>
          <w:rFonts w:ascii="Arial" w:eastAsiaTheme="minorEastAsia" w:hAnsi="Arial" w:cs="Arial"/>
          <w:bdr w:val="none" w:sz="0" w:space="0" w:color="auto"/>
        </w:rPr>
        <w:t>(9), 1036-1049. doi:10.1007/s11606-011-1698-5; 10.1007/s11606-011-1698-5</w:t>
      </w:r>
    </w:p>
    <w:p w14:paraId="552FDA3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Pendlebury, S. T., &amp; Rothwell, P. M. (2009). Prevalence, incidence, and factors associated with pre-stroke and post-stroke dementia: A systematic review and meta-analysis.</w:t>
      </w:r>
      <w:r w:rsidRPr="00CC7E17">
        <w:rPr>
          <w:rFonts w:ascii="Arial" w:eastAsiaTheme="minorEastAsia" w:hAnsi="Arial" w:cs="Arial"/>
          <w:i/>
          <w:iCs/>
          <w:bdr w:val="none" w:sz="0" w:space="0" w:color="auto"/>
        </w:rPr>
        <w:t xml:space="preserve"> The Lancet.Neurology, 8</w:t>
      </w:r>
      <w:r w:rsidRPr="00CC7E17">
        <w:rPr>
          <w:rFonts w:ascii="Arial" w:eastAsiaTheme="minorEastAsia" w:hAnsi="Arial" w:cs="Arial"/>
          <w:bdr w:val="none" w:sz="0" w:space="0" w:color="auto"/>
        </w:rPr>
        <w:t>(11), 1006-1018. doi:10.1016/S1474-4422(09)70236-4; 10.1016/S1474-4422(09)70236-4</w:t>
      </w:r>
    </w:p>
    <w:p w14:paraId="27D27CA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Pisani, F., Sisti, L., &amp; Seri, S. (2009). A scoring system for early prognostic assessment after neonatal seizures.</w:t>
      </w:r>
      <w:r w:rsidRPr="00CC7E17">
        <w:rPr>
          <w:rFonts w:ascii="Arial" w:eastAsiaTheme="minorEastAsia" w:hAnsi="Arial" w:cs="Arial"/>
          <w:i/>
          <w:iCs/>
          <w:bdr w:val="none" w:sz="0" w:space="0" w:color="auto"/>
        </w:rPr>
        <w:t xml:space="preserve"> Pediatrics, 124</w:t>
      </w:r>
      <w:r w:rsidRPr="00CC7E17">
        <w:rPr>
          <w:rFonts w:ascii="Arial" w:eastAsiaTheme="minorEastAsia" w:hAnsi="Arial" w:cs="Arial"/>
          <w:bdr w:val="none" w:sz="0" w:space="0" w:color="auto"/>
        </w:rPr>
        <w:t>(4), e580-7. doi:10.1542/peds.2008-2087; 10.1542/peds.2008-2087</w:t>
      </w:r>
    </w:p>
    <w:p w14:paraId="5105710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Potijk, M. R., de Winter, A. F., Bos, A. F., Kerstjens, J. M., &amp; Reijneveld, S. A. (2012). Higher rates of behavioural and emotional problems at preschool age in children born moderately preterm.</w:t>
      </w:r>
      <w:r w:rsidRPr="00CC7E17">
        <w:rPr>
          <w:rFonts w:ascii="Arial" w:eastAsiaTheme="minorEastAsia" w:hAnsi="Arial" w:cs="Arial"/>
          <w:i/>
          <w:iCs/>
          <w:bdr w:val="none" w:sz="0" w:space="0" w:color="auto"/>
        </w:rPr>
        <w:t xml:space="preserve"> Archives of Disease in Childhood, 97</w:t>
      </w:r>
      <w:r w:rsidRPr="00CC7E17">
        <w:rPr>
          <w:rFonts w:ascii="Arial" w:eastAsiaTheme="minorEastAsia" w:hAnsi="Arial" w:cs="Arial"/>
          <w:bdr w:val="none" w:sz="0" w:space="0" w:color="auto"/>
        </w:rPr>
        <w:t>(2), 112-117. doi:10.1136/adc.2011.300131; 10.1136/adc.2011.300131</w:t>
      </w:r>
    </w:p>
    <w:p w14:paraId="58CF041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Praveen, V., Vidavalur, R., Rosenkrantz, T. S., &amp; Hussain, N. (2009). Infantile hemangiomas and retinopathy of prematurity: Possible association.</w:t>
      </w:r>
      <w:r w:rsidRPr="00CC7E17">
        <w:rPr>
          <w:rFonts w:ascii="Arial" w:eastAsiaTheme="minorEastAsia" w:hAnsi="Arial" w:cs="Arial"/>
          <w:i/>
          <w:iCs/>
          <w:bdr w:val="none" w:sz="0" w:space="0" w:color="auto"/>
        </w:rPr>
        <w:t xml:space="preserve"> Pediatrics, 123</w:t>
      </w:r>
      <w:r w:rsidRPr="00CC7E17">
        <w:rPr>
          <w:rFonts w:ascii="Arial" w:eastAsiaTheme="minorEastAsia" w:hAnsi="Arial" w:cs="Arial"/>
          <w:bdr w:val="none" w:sz="0" w:space="0" w:color="auto"/>
        </w:rPr>
        <w:t>(3), e484-9. doi:10.1542/peds.2007-0803; 10.1542/peds.2007-0803</w:t>
      </w:r>
    </w:p>
    <w:p w14:paraId="18DDF18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Prohl, J., Rother, J., Kluge, S., de Heer, G., Liepert, J., Bodenburg, S., et al. (2007). Prediction of short-term and long-term outcomes after cardiac arrest: A prospective multivariate approach combining biochemical, clinical, electrophysiological, and neuropsychological investigations.</w:t>
      </w:r>
      <w:r w:rsidRPr="00CC7E17">
        <w:rPr>
          <w:rFonts w:ascii="Arial" w:eastAsiaTheme="minorEastAsia" w:hAnsi="Arial" w:cs="Arial"/>
          <w:i/>
          <w:iCs/>
          <w:bdr w:val="none" w:sz="0" w:space="0" w:color="auto"/>
        </w:rPr>
        <w:t xml:space="preserve"> Critical Care Medicine, 35</w:t>
      </w:r>
      <w:r w:rsidRPr="00CC7E17">
        <w:rPr>
          <w:rFonts w:ascii="Arial" w:eastAsiaTheme="minorEastAsia" w:hAnsi="Arial" w:cs="Arial"/>
          <w:bdr w:val="none" w:sz="0" w:space="0" w:color="auto"/>
        </w:rPr>
        <w:t>(5), 1230-1237. doi:10.1097/01.CCM.0000261892.10559.85</w:t>
      </w:r>
    </w:p>
    <w:p w14:paraId="1587A0D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Radman, N., Staub, F., Aboulafia-Brakha, T., Berney, A., Bogousslavsky, J., &amp; Annoni, J. M. (2012). Poststroke fatigue following minor infarcts: A prospective study.</w:t>
      </w:r>
      <w:r w:rsidRPr="00CC7E17">
        <w:rPr>
          <w:rFonts w:ascii="Arial" w:eastAsiaTheme="minorEastAsia" w:hAnsi="Arial" w:cs="Arial"/>
          <w:i/>
          <w:iCs/>
          <w:bdr w:val="none" w:sz="0" w:space="0" w:color="auto"/>
        </w:rPr>
        <w:t xml:space="preserve"> Neurology, 79</w:t>
      </w:r>
      <w:r w:rsidRPr="00CC7E17">
        <w:rPr>
          <w:rFonts w:ascii="Arial" w:eastAsiaTheme="minorEastAsia" w:hAnsi="Arial" w:cs="Arial"/>
          <w:bdr w:val="none" w:sz="0" w:space="0" w:color="auto"/>
        </w:rPr>
        <w:t>(14), 1422-1427. doi:10.1212/WNL.0b013e31826d5f3a; 10.1212/WNL.0b013e31826d5f3a</w:t>
      </w:r>
    </w:p>
    <w:p w14:paraId="0F31EE9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Ricci, D., Cesarini, L., Romeo, D. M., Gallini, F., Serrao, F., Groppo, M., et al. (2008). Visual function at 35 and 40 weeks' postmenstrual age in low-risk preterm infants.</w:t>
      </w:r>
      <w:r w:rsidRPr="00CC7E17">
        <w:rPr>
          <w:rFonts w:ascii="Arial" w:eastAsiaTheme="minorEastAsia" w:hAnsi="Arial" w:cs="Arial"/>
          <w:i/>
          <w:iCs/>
          <w:bdr w:val="none" w:sz="0" w:space="0" w:color="auto"/>
        </w:rPr>
        <w:t xml:space="preserve"> Pediatrics, 122</w:t>
      </w:r>
      <w:r w:rsidRPr="00CC7E17">
        <w:rPr>
          <w:rFonts w:ascii="Arial" w:eastAsiaTheme="minorEastAsia" w:hAnsi="Arial" w:cs="Arial"/>
          <w:bdr w:val="none" w:sz="0" w:space="0" w:color="auto"/>
        </w:rPr>
        <w:t>(6), e1193-8. doi:10.1542/peds.2008-1888; 10.1542/peds.2008-1888</w:t>
      </w:r>
    </w:p>
    <w:p w14:paraId="099AB6D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Roger, V. L., Weston, S. A., Gerber, Y., Killian, J. M., Dunlay, S. M., Jaffe, A. S., et al. (2010). Trends in incidence, severity, and outcome of hospitalized myocardial infarction.</w:t>
      </w:r>
      <w:r w:rsidRPr="00CC7E17">
        <w:rPr>
          <w:rFonts w:ascii="Arial" w:eastAsiaTheme="minorEastAsia" w:hAnsi="Arial" w:cs="Arial"/>
          <w:i/>
          <w:iCs/>
          <w:bdr w:val="none" w:sz="0" w:space="0" w:color="auto"/>
        </w:rPr>
        <w:t xml:space="preserve"> Circulation, 121</w:t>
      </w:r>
      <w:r w:rsidRPr="00CC7E17">
        <w:rPr>
          <w:rFonts w:ascii="Arial" w:eastAsiaTheme="minorEastAsia" w:hAnsi="Arial" w:cs="Arial"/>
          <w:bdr w:val="none" w:sz="0" w:space="0" w:color="auto"/>
        </w:rPr>
        <w:t>(7), 863-869. doi:10.1161/CIRCULATIONAHA.109.897249; 10.1161/CIRCULATIONAHA.109.897249</w:t>
      </w:r>
    </w:p>
    <w:p w14:paraId="0F65922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Roquer, J., Rodriguez Campello, A., Gomis, M., Ois, A., Munteis, E., &amp; Bohm, P. (2005). Serum lipid levels and in-hospital mortality in patients with intracerebral hemorrhage.</w:t>
      </w:r>
      <w:r w:rsidRPr="00CC7E17">
        <w:rPr>
          <w:rFonts w:ascii="Arial" w:eastAsiaTheme="minorEastAsia" w:hAnsi="Arial" w:cs="Arial"/>
          <w:i/>
          <w:iCs/>
          <w:bdr w:val="none" w:sz="0" w:space="0" w:color="auto"/>
        </w:rPr>
        <w:t xml:space="preserve"> Neurology, 65</w:t>
      </w:r>
      <w:r w:rsidRPr="00CC7E17">
        <w:rPr>
          <w:rFonts w:ascii="Arial" w:eastAsiaTheme="minorEastAsia" w:hAnsi="Arial" w:cs="Arial"/>
          <w:bdr w:val="none" w:sz="0" w:space="0" w:color="auto"/>
        </w:rPr>
        <w:t>(8), 1198-1202. doi:10.1212/01.wnl.0000180968.26242.4a</w:t>
      </w:r>
    </w:p>
    <w:p w14:paraId="46A59F0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Salas, S., Dufresne, A., Bui, B., Blay, J. Y., Terrier, P., Ranchere-Vince, D., et al. (2011). Prognostic factors influencing progression-free survival determined from a series of sporadic desmoid tumors: A wait-and-see policy according to tumor presentation.</w:t>
      </w:r>
      <w:r w:rsidRPr="00CC7E17">
        <w:rPr>
          <w:rFonts w:ascii="Arial" w:eastAsiaTheme="minorEastAsia" w:hAnsi="Arial" w:cs="Arial"/>
          <w:i/>
          <w:iCs/>
          <w:bdr w:val="none" w:sz="0" w:space="0" w:color="auto"/>
        </w:rPr>
        <w:t xml:space="preserve"> Journal of Clinical Oncology : Official Journal of the American Society of Clinical Oncology, 29</w:t>
      </w:r>
      <w:r w:rsidRPr="00CC7E17">
        <w:rPr>
          <w:rFonts w:ascii="Arial" w:eastAsiaTheme="minorEastAsia" w:hAnsi="Arial" w:cs="Arial"/>
          <w:bdr w:val="none" w:sz="0" w:space="0" w:color="auto"/>
        </w:rPr>
        <w:t>(26), 3553-3558. doi:10.1200/JCO.2010.33.5489; 10.1200/JCO.2010.33.5489</w:t>
      </w:r>
    </w:p>
    <w:p w14:paraId="5AD3228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Segal, J. B., Brotman, D. J., Emadi, A., Necochea, A. J., Samal, L., Wilson, L. M., et al. (2009). Outcomes of genetic testing in adults with a history of venous thromboembolism.</w:t>
      </w:r>
      <w:r w:rsidRPr="00CC7E17">
        <w:rPr>
          <w:rFonts w:ascii="Arial" w:eastAsiaTheme="minorEastAsia" w:hAnsi="Arial" w:cs="Arial"/>
          <w:i/>
          <w:iCs/>
          <w:bdr w:val="none" w:sz="0" w:space="0" w:color="auto"/>
        </w:rPr>
        <w:t xml:space="preserve"> Evidence report/technology Assessment, (180)</w:t>
      </w:r>
      <w:r w:rsidRPr="00CC7E17">
        <w:rPr>
          <w:rFonts w:ascii="Arial" w:eastAsiaTheme="minorEastAsia" w:hAnsi="Arial" w:cs="Arial"/>
          <w:bdr w:val="none" w:sz="0" w:space="0" w:color="auto"/>
        </w:rPr>
        <w:t>(180), 1-162.</w:t>
      </w:r>
    </w:p>
    <w:p w14:paraId="70E0F52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Senat, M. V., Bussieres, L., Couderc, S., Roume, J., Rozenberg, P., Bouyer, J., et al. (2007). Long-term outcome of children born after a first-trimester measurement of nuchal translucency at the 99th percentile or greater with normal karyotype: A prospective study.</w:t>
      </w:r>
      <w:r w:rsidRPr="00CC7E17">
        <w:rPr>
          <w:rFonts w:ascii="Arial" w:eastAsiaTheme="minorEastAsia" w:hAnsi="Arial" w:cs="Arial"/>
          <w:i/>
          <w:iCs/>
          <w:bdr w:val="none" w:sz="0" w:space="0" w:color="auto"/>
        </w:rPr>
        <w:t xml:space="preserve"> American Journal of Obstetrics and Gynecology, 196</w:t>
      </w:r>
      <w:r w:rsidRPr="00CC7E17">
        <w:rPr>
          <w:rFonts w:ascii="Arial" w:eastAsiaTheme="minorEastAsia" w:hAnsi="Arial" w:cs="Arial"/>
          <w:bdr w:val="none" w:sz="0" w:space="0" w:color="auto"/>
        </w:rPr>
        <w:t>(1), 53.e1-53.e6. doi:10.1016/j.ajog.2006.08.026</w:t>
      </w:r>
    </w:p>
    <w:p w14:paraId="0129BE0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Shanafelt, T. D., Kay, N. E., Rabe, K. G., Call, T. G., Zent, C. S., Maddocks, K., et al. (2009). Brief report: Natural history of individuals with clinically recognized monoclonal B-cell lymphocytosis compared with patients with rai 0 chronic lymphocytic leukemia.</w:t>
      </w:r>
      <w:r w:rsidRPr="00CC7E17">
        <w:rPr>
          <w:rFonts w:ascii="Arial" w:eastAsiaTheme="minorEastAsia" w:hAnsi="Arial" w:cs="Arial"/>
          <w:i/>
          <w:iCs/>
          <w:bdr w:val="none" w:sz="0" w:space="0" w:color="auto"/>
        </w:rPr>
        <w:t xml:space="preserve"> Journal of Clinical Oncology : Official Journal of the American Society of Clinical Oncology, 27</w:t>
      </w:r>
      <w:r w:rsidRPr="00CC7E17">
        <w:rPr>
          <w:rFonts w:ascii="Arial" w:eastAsiaTheme="minorEastAsia" w:hAnsi="Arial" w:cs="Arial"/>
          <w:bdr w:val="none" w:sz="0" w:space="0" w:color="auto"/>
        </w:rPr>
        <w:t>(24), 3959-3963. doi:10.1200/JCO.2008.21.2704; 10.1200/JCO.2008.21.2704</w:t>
      </w:r>
    </w:p>
    <w:p w14:paraId="396BB28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Singh-Grewal, D., Schneider, R., Bayer, N., &amp; Feldman, B. M. (2006). Predictors of disease course and remission in systemic juvenile idiopathic arthritis: Significance of early clinical and laboratory features.</w:t>
      </w:r>
      <w:r w:rsidRPr="00CC7E17">
        <w:rPr>
          <w:rFonts w:ascii="Arial" w:eastAsiaTheme="minorEastAsia" w:hAnsi="Arial" w:cs="Arial"/>
          <w:i/>
          <w:iCs/>
          <w:bdr w:val="none" w:sz="0" w:space="0" w:color="auto"/>
        </w:rPr>
        <w:t xml:space="preserve"> Arthritis and Rheumatism, 54</w:t>
      </w:r>
      <w:r w:rsidRPr="00CC7E17">
        <w:rPr>
          <w:rFonts w:ascii="Arial" w:eastAsiaTheme="minorEastAsia" w:hAnsi="Arial" w:cs="Arial"/>
          <w:bdr w:val="none" w:sz="0" w:space="0" w:color="auto"/>
        </w:rPr>
        <w:t>(5), 1595-1601. doi:10.1002/art.21774</w:t>
      </w:r>
    </w:p>
    <w:p w14:paraId="73AD211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Skinner, J., Chandra, A., Staiger, D., Lee, J., &amp; McClellan, M. (2005). Mortality after acute myocardial infarction in hospitals that disproportionately treat black patients.</w:t>
      </w:r>
      <w:r w:rsidRPr="00CC7E17">
        <w:rPr>
          <w:rFonts w:ascii="Arial" w:eastAsiaTheme="minorEastAsia" w:hAnsi="Arial" w:cs="Arial"/>
          <w:i/>
          <w:iCs/>
          <w:bdr w:val="none" w:sz="0" w:space="0" w:color="auto"/>
        </w:rPr>
        <w:t xml:space="preserve"> Circulation, 112</w:t>
      </w:r>
      <w:r w:rsidRPr="00CC7E17">
        <w:rPr>
          <w:rFonts w:ascii="Arial" w:eastAsiaTheme="minorEastAsia" w:hAnsi="Arial" w:cs="Arial"/>
          <w:bdr w:val="none" w:sz="0" w:space="0" w:color="auto"/>
        </w:rPr>
        <w:t>(17), 2634-2641. doi:10.1161/CIRCULATIONAHA.105.543231</w:t>
      </w:r>
    </w:p>
    <w:p w14:paraId="53DC37B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Smith, H. O., Berwick, M., Verschraegen, C. F., Wiggins, C., Lansing, L., Muller, C. Y., et al. (2006). Incidence and survival rates for female malignant germ cell tumors.</w:t>
      </w:r>
      <w:r w:rsidRPr="00CC7E17">
        <w:rPr>
          <w:rFonts w:ascii="Arial" w:eastAsiaTheme="minorEastAsia" w:hAnsi="Arial" w:cs="Arial"/>
          <w:i/>
          <w:iCs/>
          <w:bdr w:val="none" w:sz="0" w:space="0" w:color="auto"/>
        </w:rPr>
        <w:t xml:space="preserve"> Obstetrics and Gynecology, 107</w:t>
      </w:r>
      <w:r w:rsidRPr="00CC7E17">
        <w:rPr>
          <w:rFonts w:ascii="Arial" w:eastAsiaTheme="minorEastAsia" w:hAnsi="Arial" w:cs="Arial"/>
          <w:bdr w:val="none" w:sz="0" w:space="0" w:color="auto"/>
        </w:rPr>
        <w:t>(5), 1075-1085. doi:10.1097/01.AOG.0000216004.22588.ce</w:t>
      </w:r>
    </w:p>
    <w:p w14:paraId="4251595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Smith, L. K., Draper, E. S., Manktelow, B. N., &amp; Field, D. J. (2009). Socioeconomic inequalities in survival and provision of neonatal care: Population based study of very preterm infants.</w:t>
      </w:r>
      <w:r w:rsidRPr="00CC7E17">
        <w:rPr>
          <w:rFonts w:ascii="Arial" w:eastAsiaTheme="minorEastAsia" w:hAnsi="Arial" w:cs="Arial"/>
          <w:i/>
          <w:iCs/>
          <w:bdr w:val="none" w:sz="0" w:space="0" w:color="auto"/>
        </w:rPr>
        <w:t xml:space="preserve"> BMJ (Clinical Research Ed.), 339</w:t>
      </w:r>
      <w:r w:rsidRPr="00CC7E17">
        <w:rPr>
          <w:rFonts w:ascii="Arial" w:eastAsiaTheme="minorEastAsia" w:hAnsi="Arial" w:cs="Arial"/>
          <w:bdr w:val="none" w:sz="0" w:space="0" w:color="auto"/>
        </w:rPr>
        <w:t>, b4702. doi:10.1136/bmj.b4702</w:t>
      </w:r>
    </w:p>
    <w:p w14:paraId="45DD48D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Sobrino, T., Hurtado, O., Moro, M. A., Rodriguez-Yanez, M., Castellanos, M., Brea, D., et al. (2007). The increase of circulating endothelial progenitor cells after acute ischemic stroke is associated with good outcome.</w:t>
      </w:r>
      <w:r w:rsidRPr="00CC7E17">
        <w:rPr>
          <w:rFonts w:ascii="Arial" w:eastAsiaTheme="minorEastAsia" w:hAnsi="Arial" w:cs="Arial"/>
          <w:i/>
          <w:iCs/>
          <w:bdr w:val="none" w:sz="0" w:space="0" w:color="auto"/>
        </w:rPr>
        <w:t xml:space="preserve"> Stroke; a Journal of Cerebral Circulation, 38</w:t>
      </w:r>
      <w:r w:rsidRPr="00CC7E17">
        <w:rPr>
          <w:rFonts w:ascii="Arial" w:eastAsiaTheme="minorEastAsia" w:hAnsi="Arial" w:cs="Arial"/>
          <w:bdr w:val="none" w:sz="0" w:space="0" w:color="auto"/>
        </w:rPr>
        <w:t>(10), 2759-2764. doi:10.1161/STROKEAHA.107.484386</w:t>
      </w:r>
    </w:p>
    <w:p w14:paraId="5540C2C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Sormani, M. P., Tintore, M., Rovaris, M., Rovira, A., Vidal, X., Bruzzi, P., et al. (2008). Will rogers phenomenon in multiple sclerosis.</w:t>
      </w:r>
      <w:r w:rsidRPr="00CC7E17">
        <w:rPr>
          <w:rFonts w:ascii="Arial" w:eastAsiaTheme="minorEastAsia" w:hAnsi="Arial" w:cs="Arial"/>
          <w:i/>
          <w:iCs/>
          <w:bdr w:val="none" w:sz="0" w:space="0" w:color="auto"/>
        </w:rPr>
        <w:t xml:space="preserve"> Annals of Neurology, 64</w:t>
      </w:r>
      <w:r w:rsidRPr="00CC7E17">
        <w:rPr>
          <w:rFonts w:ascii="Arial" w:eastAsiaTheme="minorEastAsia" w:hAnsi="Arial" w:cs="Arial"/>
          <w:bdr w:val="none" w:sz="0" w:space="0" w:color="auto"/>
        </w:rPr>
        <w:t>(4), 428-433. doi:10.1002/ana.21464; 10.1002/ana.21464</w:t>
      </w:r>
    </w:p>
    <w:p w14:paraId="307C9E70"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Spittle, A. J., Brown, N. C., Doyle, L. W., Boyd, R. N., Hunt, R. W., Bear, M., et al. (2008). Quality of general movements is related to white matter pathology in very preterm infants.</w:t>
      </w:r>
      <w:r w:rsidRPr="00CC7E17">
        <w:rPr>
          <w:rFonts w:ascii="Arial" w:eastAsiaTheme="minorEastAsia" w:hAnsi="Arial" w:cs="Arial"/>
          <w:i/>
          <w:iCs/>
          <w:bdr w:val="none" w:sz="0" w:space="0" w:color="auto"/>
        </w:rPr>
        <w:t xml:space="preserve"> Pediatrics, 121</w:t>
      </w:r>
      <w:r w:rsidRPr="00CC7E17">
        <w:rPr>
          <w:rFonts w:ascii="Arial" w:eastAsiaTheme="minorEastAsia" w:hAnsi="Arial" w:cs="Arial"/>
          <w:bdr w:val="none" w:sz="0" w:space="0" w:color="auto"/>
        </w:rPr>
        <w:t>(5), e1184-9. doi:10.1542/peds.2007-1924; 10.1542/peds.2007-1924</w:t>
      </w:r>
    </w:p>
    <w:p w14:paraId="37D7023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Stoddard, F. J., Saxe, G., Ronfeldt, H., Drake, J. E., Burns, J., Edgren, C., et al. (2006). Acute stress symptoms in young children with burns.</w:t>
      </w:r>
      <w:r w:rsidRPr="00CC7E17">
        <w:rPr>
          <w:rFonts w:ascii="Arial" w:eastAsiaTheme="minorEastAsia" w:hAnsi="Arial" w:cs="Arial"/>
          <w:i/>
          <w:iCs/>
          <w:bdr w:val="none" w:sz="0" w:space="0" w:color="auto"/>
        </w:rPr>
        <w:t xml:space="preserve"> Journal of the American Academy of Child and Adolescent Psychiatry, 45</w:t>
      </w:r>
      <w:r w:rsidRPr="00CC7E17">
        <w:rPr>
          <w:rFonts w:ascii="Arial" w:eastAsiaTheme="minorEastAsia" w:hAnsi="Arial" w:cs="Arial"/>
          <w:bdr w:val="none" w:sz="0" w:space="0" w:color="auto"/>
        </w:rPr>
        <w:t>(1), 87-93. doi:10.1097/01.chi.0000184934.71917.3a</w:t>
      </w:r>
    </w:p>
    <w:p w14:paraId="4E7D7F9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Strakowski, S. M., DelBello, M. P., Fleck, D. E., Adler, C. M., Anthenelli, R. M., Keck, P. E.,Jr, et al. (2005). Effects of co-occurring alcohol abuse on the course of bipolar disorder following a first hospitalization for mania.</w:t>
      </w:r>
      <w:r w:rsidRPr="00CC7E17">
        <w:rPr>
          <w:rFonts w:ascii="Arial" w:eastAsiaTheme="minorEastAsia" w:hAnsi="Arial" w:cs="Arial"/>
          <w:i/>
          <w:iCs/>
          <w:bdr w:val="none" w:sz="0" w:space="0" w:color="auto"/>
        </w:rPr>
        <w:t xml:space="preserve"> Archives of General Psychiatry, 62</w:t>
      </w:r>
      <w:r w:rsidRPr="00CC7E17">
        <w:rPr>
          <w:rFonts w:ascii="Arial" w:eastAsiaTheme="minorEastAsia" w:hAnsi="Arial" w:cs="Arial"/>
          <w:bdr w:val="none" w:sz="0" w:space="0" w:color="auto"/>
        </w:rPr>
        <w:t>(8), 851-858. doi:10.1001/archpsyc.62.8.851</w:t>
      </w:r>
    </w:p>
    <w:p w14:paraId="3F942B0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Stratton, I. M., Aldington, S. J., Taylor, D. J., Adler, A. I., &amp; Scanlon, P. H. (2013). A simple risk stratification for time to development of sight-threatening diabetic retinopathy.</w:t>
      </w:r>
      <w:r w:rsidRPr="00CC7E17">
        <w:rPr>
          <w:rFonts w:ascii="Arial" w:eastAsiaTheme="minorEastAsia" w:hAnsi="Arial" w:cs="Arial"/>
          <w:i/>
          <w:iCs/>
          <w:bdr w:val="none" w:sz="0" w:space="0" w:color="auto"/>
        </w:rPr>
        <w:t xml:space="preserve"> Diabetes Care, 36</w:t>
      </w:r>
      <w:r w:rsidRPr="00CC7E17">
        <w:rPr>
          <w:rFonts w:ascii="Arial" w:eastAsiaTheme="minorEastAsia" w:hAnsi="Arial" w:cs="Arial"/>
          <w:bdr w:val="none" w:sz="0" w:space="0" w:color="auto"/>
        </w:rPr>
        <w:t>(3), 580-585. doi:10.2337/dc12-0625; 10.2337/dc12-0625</w:t>
      </w:r>
    </w:p>
    <w:p w14:paraId="32448D3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Suntio, K., Saarelainen, H., Laitinen, T., Valtonen, P., Heiskanen, N., Lyyra-Laitinen, T., et al. (2010). Women with hypertensive pregnancies have difficulties in regaining pre-pregnancy weight and show metabolic disturbances.</w:t>
      </w:r>
      <w:r w:rsidRPr="00CC7E17">
        <w:rPr>
          <w:rFonts w:ascii="Arial" w:eastAsiaTheme="minorEastAsia" w:hAnsi="Arial" w:cs="Arial"/>
          <w:i/>
          <w:iCs/>
          <w:bdr w:val="none" w:sz="0" w:space="0" w:color="auto"/>
        </w:rPr>
        <w:t xml:space="preserve"> Obesity (Silver Spring, Md.), 18</w:t>
      </w:r>
      <w:r w:rsidRPr="00CC7E17">
        <w:rPr>
          <w:rFonts w:ascii="Arial" w:eastAsiaTheme="minorEastAsia" w:hAnsi="Arial" w:cs="Arial"/>
          <w:bdr w:val="none" w:sz="0" w:space="0" w:color="auto"/>
        </w:rPr>
        <w:t>(2), 282-286. doi:10.1038/oby.2009.262; 10.1038/oby.2009.262</w:t>
      </w:r>
    </w:p>
    <w:p w14:paraId="0AE9EAE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Suter, L. G., Fraenkel, L., &amp; Braithwaite, R. S. (2011). Role of magnetic resonance imaging in the diagnosis and prognosis of rheumatoid arthritis.</w:t>
      </w:r>
      <w:r w:rsidRPr="00CC7E17">
        <w:rPr>
          <w:rFonts w:ascii="Arial" w:eastAsiaTheme="minorEastAsia" w:hAnsi="Arial" w:cs="Arial"/>
          <w:i/>
          <w:iCs/>
          <w:bdr w:val="none" w:sz="0" w:space="0" w:color="auto"/>
        </w:rPr>
        <w:t xml:space="preserve"> Arthritis Care &amp; Research, 63</w:t>
      </w:r>
      <w:r w:rsidRPr="00CC7E17">
        <w:rPr>
          <w:rFonts w:ascii="Arial" w:eastAsiaTheme="minorEastAsia" w:hAnsi="Arial" w:cs="Arial"/>
          <w:bdr w:val="none" w:sz="0" w:space="0" w:color="auto"/>
        </w:rPr>
        <w:t>(5), 675-688. doi:10.1002/acr.20409; 10.1002/acr.20409</w:t>
      </w:r>
    </w:p>
    <w:p w14:paraId="4AE609D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Ten Harkel, A. D., Berkhout, M., Hop, W. C., Witsenburg, M., &amp; Helbing, W. A. (2009). Congenital valvular aortic stenosis: Limited progression during childhood.</w:t>
      </w:r>
      <w:r w:rsidRPr="00CC7E17">
        <w:rPr>
          <w:rFonts w:ascii="Arial" w:eastAsiaTheme="minorEastAsia" w:hAnsi="Arial" w:cs="Arial"/>
          <w:i/>
          <w:iCs/>
          <w:bdr w:val="none" w:sz="0" w:space="0" w:color="auto"/>
        </w:rPr>
        <w:t xml:space="preserve"> Archives of Disease in Childhood, 94</w:t>
      </w:r>
      <w:r w:rsidRPr="00CC7E17">
        <w:rPr>
          <w:rFonts w:ascii="Arial" w:eastAsiaTheme="minorEastAsia" w:hAnsi="Arial" w:cs="Arial"/>
          <w:bdr w:val="none" w:sz="0" w:space="0" w:color="auto"/>
        </w:rPr>
        <w:t>(7), 531-535. doi:10.1136/adc.2007.134924; 10.1136/adc.2007.134924</w:t>
      </w:r>
    </w:p>
    <w:p w14:paraId="7614807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Tengstrand, B., Carlstrom, K., &amp; Hafstrom, I. (2009). Gonadal hormones in men with rheumatoid arthritis--from onset through 2 years.</w:t>
      </w:r>
      <w:r w:rsidRPr="00CC7E17">
        <w:rPr>
          <w:rFonts w:ascii="Arial" w:eastAsiaTheme="minorEastAsia" w:hAnsi="Arial" w:cs="Arial"/>
          <w:i/>
          <w:iCs/>
          <w:bdr w:val="none" w:sz="0" w:space="0" w:color="auto"/>
        </w:rPr>
        <w:t xml:space="preserve"> The Journal of Rheumatology, 36</w:t>
      </w:r>
      <w:r w:rsidRPr="00CC7E17">
        <w:rPr>
          <w:rFonts w:ascii="Arial" w:eastAsiaTheme="minorEastAsia" w:hAnsi="Arial" w:cs="Arial"/>
          <w:bdr w:val="none" w:sz="0" w:space="0" w:color="auto"/>
        </w:rPr>
        <w:t>(5), 887-892. doi:10.3899/jrheum.080558; 10.3899/jrheum.080558</w:t>
      </w:r>
    </w:p>
    <w:p w14:paraId="0B90CBF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Tham, V., Christensson, K., &amp; Ryding, E. L. (2007). Sense of coherence and symptoms of post-traumatic stress after emergency caesarean section.</w:t>
      </w:r>
      <w:r w:rsidRPr="00CC7E17">
        <w:rPr>
          <w:rFonts w:ascii="Arial" w:eastAsiaTheme="minorEastAsia" w:hAnsi="Arial" w:cs="Arial"/>
          <w:i/>
          <w:iCs/>
          <w:bdr w:val="none" w:sz="0" w:space="0" w:color="auto"/>
        </w:rPr>
        <w:t xml:space="preserve"> Acta Obstetricia Et Gynecologica Scandinavica, 86</w:t>
      </w:r>
      <w:r w:rsidRPr="00CC7E17">
        <w:rPr>
          <w:rFonts w:ascii="Arial" w:eastAsiaTheme="minorEastAsia" w:hAnsi="Arial" w:cs="Arial"/>
          <w:bdr w:val="none" w:sz="0" w:space="0" w:color="auto"/>
        </w:rPr>
        <w:t>(9), 1090-1096. doi:10.1080/00016340701507693</w:t>
      </w:r>
    </w:p>
    <w:p w14:paraId="4CECA24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Tin, W., Brunskill, G., Kelly, T., &amp; Fritz, S. (2012). 15-year follow-up of recurrent "hypoglycemia" in preterm infants.</w:t>
      </w:r>
      <w:r w:rsidRPr="00CC7E17">
        <w:rPr>
          <w:rFonts w:ascii="Arial" w:eastAsiaTheme="minorEastAsia" w:hAnsi="Arial" w:cs="Arial"/>
          <w:i/>
          <w:iCs/>
          <w:bdr w:val="none" w:sz="0" w:space="0" w:color="auto"/>
        </w:rPr>
        <w:t xml:space="preserve"> Pediatrics, 130</w:t>
      </w:r>
      <w:r w:rsidRPr="00CC7E17">
        <w:rPr>
          <w:rFonts w:ascii="Arial" w:eastAsiaTheme="minorEastAsia" w:hAnsi="Arial" w:cs="Arial"/>
          <w:bdr w:val="none" w:sz="0" w:space="0" w:color="auto"/>
        </w:rPr>
        <w:t>(6), e1497-503. doi:10.1542/peds.2012-0776; 10.1542/peds.2012-0776</w:t>
      </w:r>
    </w:p>
    <w:p w14:paraId="2D1B8EA9"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Unterscheider, J., Daly, S., Geary, M. P., Kennelly, M. M., McAuliffe, F. M., O'Donoghue, K., et al. (2013). Predictable progressive doppler deterioration in IUGR: Does it really exist?</w:t>
      </w:r>
      <w:r w:rsidRPr="00CC7E17">
        <w:rPr>
          <w:rFonts w:ascii="Arial" w:eastAsiaTheme="minorEastAsia" w:hAnsi="Arial" w:cs="Arial"/>
          <w:i/>
          <w:iCs/>
          <w:bdr w:val="none" w:sz="0" w:space="0" w:color="auto"/>
        </w:rPr>
        <w:t xml:space="preserve"> American Journal of Obstetrics and Gynecology, 209</w:t>
      </w:r>
      <w:r w:rsidRPr="00CC7E17">
        <w:rPr>
          <w:rFonts w:ascii="Arial" w:eastAsiaTheme="minorEastAsia" w:hAnsi="Arial" w:cs="Arial"/>
          <w:bdr w:val="none" w:sz="0" w:space="0" w:color="auto"/>
        </w:rPr>
        <w:t>(6), 539.e1-539.e7. doi:10.1016/j.ajog.2013.08.039; 10.1016/j.ajog.2013.08.039</w:t>
      </w:r>
    </w:p>
    <w:p w14:paraId="153CBAB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Urowitz, M. B., Gladman, D., Ibanez, D., Bae, S. C., Sanchez-Guerrero, J., Gordon, C., et al. (2010). Atherosclerotic vascular events in a multinational inception cohort of systemic lupus erythematosus.</w:t>
      </w:r>
      <w:r w:rsidRPr="00CC7E17">
        <w:rPr>
          <w:rFonts w:ascii="Arial" w:eastAsiaTheme="minorEastAsia" w:hAnsi="Arial" w:cs="Arial"/>
          <w:i/>
          <w:iCs/>
          <w:bdr w:val="none" w:sz="0" w:space="0" w:color="auto"/>
        </w:rPr>
        <w:t xml:space="preserve"> Arthritis Care &amp; Research, 62</w:t>
      </w:r>
      <w:r w:rsidRPr="00CC7E17">
        <w:rPr>
          <w:rFonts w:ascii="Arial" w:eastAsiaTheme="minorEastAsia" w:hAnsi="Arial" w:cs="Arial"/>
          <w:bdr w:val="none" w:sz="0" w:space="0" w:color="auto"/>
        </w:rPr>
        <w:t>(6), 881-887. doi:10.1002/acr.20122; 10.1002/acr.20122</w:t>
      </w:r>
    </w:p>
    <w:p w14:paraId="55D2F53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Urowitz, M. B., Gladman, D. D., Ibanez, D., Sanchez-Guerrero, J., Romero-Diaz, J., Gordon, C., et al. (2014). American college of rheumatology criteria at inception, and accrual over 5 years in the SLICC inception cohort.</w:t>
      </w:r>
      <w:r w:rsidRPr="00CC7E17">
        <w:rPr>
          <w:rFonts w:ascii="Arial" w:eastAsiaTheme="minorEastAsia" w:hAnsi="Arial" w:cs="Arial"/>
          <w:i/>
          <w:iCs/>
          <w:bdr w:val="none" w:sz="0" w:space="0" w:color="auto"/>
        </w:rPr>
        <w:t xml:space="preserve"> The Journal of Rheumatology, 41</w:t>
      </w:r>
      <w:r w:rsidRPr="00CC7E17">
        <w:rPr>
          <w:rFonts w:ascii="Arial" w:eastAsiaTheme="minorEastAsia" w:hAnsi="Arial" w:cs="Arial"/>
          <w:bdr w:val="none" w:sz="0" w:space="0" w:color="auto"/>
        </w:rPr>
        <w:t>(5), 875-880. doi:10.3899/jrheum.130704; 10.3899/jrheum.130704</w:t>
      </w:r>
    </w:p>
    <w:p w14:paraId="1915FB7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Bemmel, J. M., Delgado, V., Holman, E. R., Allaart, C. F., Huizinga, T. W., Bax, J. J., et al. (2009). No increased risk of valvular heart disease in adult poststreptococcal reactive arthritis.</w:t>
      </w:r>
      <w:r w:rsidRPr="00CC7E17">
        <w:rPr>
          <w:rFonts w:ascii="Arial" w:eastAsiaTheme="minorEastAsia" w:hAnsi="Arial" w:cs="Arial"/>
          <w:i/>
          <w:iCs/>
          <w:bdr w:val="none" w:sz="0" w:space="0" w:color="auto"/>
        </w:rPr>
        <w:t xml:space="preserve"> Arthritis and Rheumatism, 60</w:t>
      </w:r>
      <w:r w:rsidRPr="00CC7E17">
        <w:rPr>
          <w:rFonts w:ascii="Arial" w:eastAsiaTheme="minorEastAsia" w:hAnsi="Arial" w:cs="Arial"/>
          <w:bdr w:val="none" w:sz="0" w:space="0" w:color="auto"/>
        </w:rPr>
        <w:t>(4), 987-993. doi:10.1002/art.24401; 10.1002/art.24401</w:t>
      </w:r>
    </w:p>
    <w:p w14:paraId="7B5C34A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van de Port, I. G., Kwakkel, G., van Wijk, I., &amp; Lindeman, E. (2006). Susceptibility to deterioration of mobility long-term after stroke: A prospective cohort study.</w:t>
      </w:r>
      <w:r w:rsidRPr="00CC7E17">
        <w:rPr>
          <w:rFonts w:ascii="Arial" w:eastAsiaTheme="minorEastAsia" w:hAnsi="Arial" w:cs="Arial"/>
          <w:i/>
          <w:iCs/>
          <w:bdr w:val="none" w:sz="0" w:space="0" w:color="auto"/>
        </w:rPr>
        <w:t xml:space="preserve"> Stroke; a Journal of Cerebral Circulation, 37</w:t>
      </w:r>
      <w:r w:rsidRPr="00CC7E17">
        <w:rPr>
          <w:rFonts w:ascii="Arial" w:eastAsiaTheme="minorEastAsia" w:hAnsi="Arial" w:cs="Arial"/>
          <w:bdr w:val="none" w:sz="0" w:space="0" w:color="auto"/>
        </w:rPr>
        <w:t>(1), 167-171. doi:10.1161/01.STR.0000195180.69904.f2</w:t>
      </w:r>
    </w:p>
    <w:p w14:paraId="1B5CEE9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Venkateswaran, S., Zheng, K., Sacchetti, M., Gagne, D., Arnold, D. L., Sadovnick, A. D., et al. (2011). Mitochondrial DNA haplogroups and mutations in children with acquired central demyelination.</w:t>
      </w:r>
      <w:r w:rsidRPr="00CC7E17">
        <w:rPr>
          <w:rFonts w:ascii="Arial" w:eastAsiaTheme="minorEastAsia" w:hAnsi="Arial" w:cs="Arial"/>
          <w:i/>
          <w:iCs/>
          <w:bdr w:val="none" w:sz="0" w:space="0" w:color="auto"/>
        </w:rPr>
        <w:t xml:space="preserve"> Neurology, 76</w:t>
      </w:r>
      <w:r w:rsidRPr="00CC7E17">
        <w:rPr>
          <w:rFonts w:ascii="Arial" w:eastAsiaTheme="minorEastAsia" w:hAnsi="Arial" w:cs="Arial"/>
          <w:bdr w:val="none" w:sz="0" w:space="0" w:color="auto"/>
        </w:rPr>
        <w:t>(9), 774-780. doi:10.1212/WNL.0b013e31820ee1bb; 10.1212/WNL.0b013e31820ee1bb</w:t>
      </w:r>
    </w:p>
    <w:p w14:paraId="573AF84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Vergani, P., Roncaglia, N., Locatelli, A., Andreotti, C., Crippa, I., Pezzullo, J. C., et al. (2005). Antenatal predictors of neonatal outcome in fetal growth restriction with absent end-diastolic flow in the umbilical artery.</w:t>
      </w:r>
      <w:r w:rsidRPr="00CC7E17">
        <w:rPr>
          <w:rFonts w:ascii="Arial" w:eastAsiaTheme="minorEastAsia" w:hAnsi="Arial" w:cs="Arial"/>
          <w:i/>
          <w:iCs/>
          <w:bdr w:val="none" w:sz="0" w:space="0" w:color="auto"/>
        </w:rPr>
        <w:t xml:space="preserve"> American Journal of Obstetrics and Gynecology, 193</w:t>
      </w:r>
      <w:r w:rsidRPr="00CC7E17">
        <w:rPr>
          <w:rFonts w:ascii="Arial" w:eastAsiaTheme="minorEastAsia" w:hAnsi="Arial" w:cs="Arial"/>
          <w:bdr w:val="none" w:sz="0" w:space="0" w:color="auto"/>
        </w:rPr>
        <w:t>(3 Pt 2), 1213-1218. doi:10.1016/j.ajog.2005.07.032</w:t>
      </w:r>
    </w:p>
    <w:p w14:paraId="0C54275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Veronesi, G., Maisonneuve, P., Bellomi, M., Rampinelli, C., Durli, I., Bertolotti, R., et al. (2012). Estimating overdiagnosis in low-dose computed tomography screening for lung cancer: A cohort study.</w:t>
      </w:r>
      <w:r w:rsidRPr="00CC7E17">
        <w:rPr>
          <w:rFonts w:ascii="Arial" w:eastAsiaTheme="minorEastAsia" w:hAnsi="Arial" w:cs="Arial"/>
          <w:i/>
          <w:iCs/>
          <w:bdr w:val="none" w:sz="0" w:space="0" w:color="auto"/>
        </w:rPr>
        <w:t xml:space="preserve"> Annals of Internal Medicine, 157</w:t>
      </w:r>
      <w:r w:rsidRPr="00CC7E17">
        <w:rPr>
          <w:rFonts w:ascii="Arial" w:eastAsiaTheme="minorEastAsia" w:hAnsi="Arial" w:cs="Arial"/>
          <w:bdr w:val="none" w:sz="0" w:space="0" w:color="auto"/>
        </w:rPr>
        <w:t>(11), 776-784. doi:10.7326/0003-4819-157-11-201212040-00005; 10.7326/0003-4819-157-11-201212040-00005</w:t>
      </w:r>
    </w:p>
    <w:p w14:paraId="13771DF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Westhoff, G., Rau, R., &amp; Zink, A. (2008). Rheumatoid arthritis patients who smoke have a higher need for DMARDs and feel worse, but they do not have more joint damage than non-smokers of the same serological group.</w:t>
      </w:r>
      <w:r w:rsidRPr="00CC7E17">
        <w:rPr>
          <w:rFonts w:ascii="Arial" w:eastAsiaTheme="minorEastAsia" w:hAnsi="Arial" w:cs="Arial"/>
          <w:i/>
          <w:iCs/>
          <w:bdr w:val="none" w:sz="0" w:space="0" w:color="auto"/>
        </w:rPr>
        <w:t xml:space="preserve"> Rheumatology (Oxford, England), 47</w:t>
      </w:r>
      <w:r w:rsidRPr="00CC7E17">
        <w:rPr>
          <w:rFonts w:ascii="Arial" w:eastAsiaTheme="minorEastAsia" w:hAnsi="Arial" w:cs="Arial"/>
          <w:bdr w:val="none" w:sz="0" w:space="0" w:color="auto"/>
        </w:rPr>
        <w:t>(6), 849-854. doi:10.1093/rheumatology/ken057; 10.1093/rheumatology/ken057</w:t>
      </w:r>
    </w:p>
    <w:p w14:paraId="5BC6286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Wilkinson, A. R., Brosi, D. M., &amp; Jiang, Z. D. (2007). Functional impairment of the brainstem in infants with bronchopulmonary dysplasia.</w:t>
      </w:r>
      <w:r w:rsidRPr="00CC7E17">
        <w:rPr>
          <w:rFonts w:ascii="Arial" w:eastAsiaTheme="minorEastAsia" w:hAnsi="Arial" w:cs="Arial"/>
          <w:i/>
          <w:iCs/>
          <w:bdr w:val="none" w:sz="0" w:space="0" w:color="auto"/>
        </w:rPr>
        <w:t xml:space="preserve"> Pediatrics, 120</w:t>
      </w:r>
      <w:r w:rsidRPr="00CC7E17">
        <w:rPr>
          <w:rFonts w:ascii="Arial" w:eastAsiaTheme="minorEastAsia" w:hAnsi="Arial" w:cs="Arial"/>
          <w:bdr w:val="none" w:sz="0" w:space="0" w:color="auto"/>
        </w:rPr>
        <w:t>(2), 362-371. doi:10.1542/peds.2006-3685</w:t>
      </w:r>
    </w:p>
    <w:p w14:paraId="5C09122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Yagi, M., King, A. B., &amp; Boachie-Adjei, O. (2012). Incidence, risk factors, and natural course of proximal junctional kyphosis: Surgical outcomes review of adult idiopathic scoliosis. minimum 5 years of follow-up.</w:t>
      </w:r>
      <w:r w:rsidRPr="00CC7E17">
        <w:rPr>
          <w:rFonts w:ascii="Arial" w:eastAsiaTheme="minorEastAsia" w:hAnsi="Arial" w:cs="Arial"/>
          <w:i/>
          <w:iCs/>
          <w:bdr w:val="none" w:sz="0" w:space="0" w:color="auto"/>
        </w:rPr>
        <w:t xml:space="preserve"> Spine, 37</w:t>
      </w:r>
      <w:r w:rsidRPr="00CC7E17">
        <w:rPr>
          <w:rFonts w:ascii="Arial" w:eastAsiaTheme="minorEastAsia" w:hAnsi="Arial" w:cs="Arial"/>
          <w:bdr w:val="none" w:sz="0" w:space="0" w:color="auto"/>
        </w:rPr>
        <w:t>(17), 1479-1489. doi:10.1097/BRS.0b013e31824e4888; 10.1097/BRS.0b013e31824e4888</w:t>
      </w:r>
    </w:p>
    <w:p w14:paraId="6309F2A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Zanardo, V., Fanelli, T., Weiner, G., Fanos, V., Zaninotto, M., Visentin, S., et al. (2011). Intrauterine growth restriction is associated with persistent aortic wall thickening and glomerular proteinuria during infancy.</w:t>
      </w:r>
      <w:r w:rsidRPr="00CC7E17">
        <w:rPr>
          <w:rFonts w:ascii="Arial" w:eastAsiaTheme="minorEastAsia" w:hAnsi="Arial" w:cs="Arial"/>
          <w:i/>
          <w:iCs/>
          <w:bdr w:val="none" w:sz="0" w:space="0" w:color="auto"/>
        </w:rPr>
        <w:t xml:space="preserve"> Kidney International, 80</w:t>
      </w:r>
      <w:r w:rsidRPr="00CC7E17">
        <w:rPr>
          <w:rFonts w:ascii="Arial" w:eastAsiaTheme="minorEastAsia" w:hAnsi="Arial" w:cs="Arial"/>
          <w:bdr w:val="none" w:sz="0" w:space="0" w:color="auto"/>
        </w:rPr>
        <w:t>(1), 119-123. doi:10.1038/ki.2011.99; 10.1038/ki.2011.99</w:t>
      </w:r>
    </w:p>
    <w:p w14:paraId="4BC617CD" w14:textId="0FAEC903" w:rsidR="00544F95" w:rsidRPr="00CC7E17" w:rsidRDefault="00C77297" w:rsidP="0009624B">
      <w:pPr>
        <w:spacing w:line="360" w:lineRule="auto"/>
        <w:ind w:left="567" w:hanging="567"/>
        <w:rPr>
          <w:rFonts w:ascii="Arial" w:hAnsi="Arial" w:cs="Arial"/>
        </w:rPr>
      </w:pPr>
      <w:r w:rsidRPr="00CC7E17">
        <w:rPr>
          <w:rFonts w:ascii="Arial" w:eastAsiaTheme="minorEastAsia" w:hAnsi="Arial" w:cs="Arial"/>
          <w:bdr w:val="none" w:sz="0" w:space="0" w:color="auto"/>
        </w:rPr>
        <w:t>Ziegler, A. G., Rewers, M., Simell, O., Simell, T., Lempainen, J., Steck, A., et al. (2013). Seroconversion to multiple islet autoantibodies and risk of progression to diabetes in children.</w:t>
      </w:r>
      <w:r w:rsidRPr="00CC7E17">
        <w:rPr>
          <w:rFonts w:ascii="Arial" w:eastAsiaTheme="minorEastAsia" w:hAnsi="Arial" w:cs="Arial"/>
          <w:i/>
          <w:iCs/>
          <w:bdr w:val="none" w:sz="0" w:space="0" w:color="auto"/>
        </w:rPr>
        <w:t xml:space="preserve"> JAMA : The Journal of the American Medical Association, 309</w:t>
      </w:r>
      <w:r w:rsidRPr="00CC7E17">
        <w:rPr>
          <w:rFonts w:ascii="Arial" w:eastAsiaTheme="minorEastAsia" w:hAnsi="Arial" w:cs="Arial"/>
          <w:bdr w:val="none" w:sz="0" w:space="0" w:color="auto"/>
        </w:rPr>
        <w:t>(23), 2473-2479. doi:10.1001/jama.2013.6285; 10.1001/jama.2013.6285</w:t>
      </w:r>
    </w:p>
    <w:p w14:paraId="098BE752" w14:textId="77777777" w:rsidR="00544F95" w:rsidRPr="00CC7E17" w:rsidRDefault="00544F95" w:rsidP="0009624B">
      <w:pPr>
        <w:spacing w:line="360" w:lineRule="auto"/>
        <w:rPr>
          <w:rFonts w:ascii="Arial" w:hAnsi="Arial" w:cs="Arial"/>
        </w:rPr>
      </w:pPr>
    </w:p>
    <w:p w14:paraId="5735F214" w14:textId="77777777" w:rsidR="00544F95" w:rsidRPr="00CC7E17" w:rsidRDefault="00544F95" w:rsidP="0009624B">
      <w:pPr>
        <w:pStyle w:val="NoSpacing"/>
        <w:spacing w:line="360" w:lineRule="auto"/>
        <w:rPr>
          <w:rFonts w:ascii="Arial" w:hAnsi="Arial" w:cs="Arial"/>
        </w:rPr>
      </w:pPr>
    </w:p>
    <w:p w14:paraId="798900C4" w14:textId="39DCABAD" w:rsidR="006C5E8D" w:rsidRPr="00CC7E17" w:rsidRDefault="006C5E8D" w:rsidP="0009624B">
      <w:pPr>
        <w:pStyle w:val="Heading3"/>
        <w:spacing w:line="360" w:lineRule="auto"/>
        <w:rPr>
          <w:rFonts w:ascii="Arial" w:hAnsi="Arial" w:cs="Arial"/>
        </w:rPr>
      </w:pPr>
      <w:bookmarkStart w:id="56" w:name="_Toc286437140"/>
      <w:r w:rsidRPr="00CC7E17">
        <w:rPr>
          <w:rFonts w:ascii="Arial" w:hAnsi="Arial" w:cs="Arial"/>
        </w:rPr>
        <w:t>Articles Deemed Not of Interest – PDF not available</w:t>
      </w:r>
      <w:bookmarkEnd w:id="56"/>
      <w:r w:rsidRPr="00CC7E17">
        <w:rPr>
          <w:rFonts w:ascii="Arial" w:hAnsi="Arial" w:cs="Arial"/>
        </w:rPr>
        <w:t xml:space="preserve"> </w:t>
      </w:r>
    </w:p>
    <w:p w14:paraId="2E7C9DA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Aben, I., Verhey, F., Strik, J., Lousberg, R., Lodder, J., &amp; Honig, A. (2003). A comparative study into the one year cumulative incidence of depression after stroke and myocardial infarction.</w:t>
      </w:r>
      <w:r w:rsidRPr="00CC7E17">
        <w:rPr>
          <w:rFonts w:ascii="Arial" w:eastAsiaTheme="minorEastAsia" w:hAnsi="Arial" w:cs="Arial"/>
          <w:i/>
          <w:iCs/>
          <w:bdr w:val="none" w:sz="0" w:space="0" w:color="auto"/>
        </w:rPr>
        <w:t xml:space="preserve"> Journal of Neurology, Neurosurgery, and Psychiatry, 74</w:t>
      </w:r>
      <w:r w:rsidRPr="00CC7E17">
        <w:rPr>
          <w:rFonts w:ascii="Arial" w:eastAsiaTheme="minorEastAsia" w:hAnsi="Arial" w:cs="Arial"/>
          <w:bdr w:val="none" w:sz="0" w:space="0" w:color="auto"/>
        </w:rPr>
        <w:t>(5), 581-585.</w:t>
      </w:r>
    </w:p>
    <w:p w14:paraId="7DB89DA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Albertsen, P. C., Hanley, J. A., &amp; Fine, J. (2005). 20-year outcomes following conservative management of clinically localized prostate cancer.</w:t>
      </w:r>
      <w:r w:rsidRPr="00CC7E17">
        <w:rPr>
          <w:rFonts w:ascii="Arial" w:eastAsiaTheme="minorEastAsia" w:hAnsi="Arial" w:cs="Arial"/>
          <w:i/>
          <w:iCs/>
          <w:bdr w:val="none" w:sz="0" w:space="0" w:color="auto"/>
        </w:rPr>
        <w:t xml:space="preserve"> JAMA : The Journal of the American Medical Association, 293</w:t>
      </w:r>
      <w:r w:rsidRPr="00CC7E17">
        <w:rPr>
          <w:rFonts w:ascii="Arial" w:eastAsiaTheme="minorEastAsia" w:hAnsi="Arial" w:cs="Arial"/>
          <w:bdr w:val="none" w:sz="0" w:space="0" w:color="auto"/>
        </w:rPr>
        <w:t>(17), 2095-2101. doi:10.1001/jama.293.17.2095</w:t>
      </w:r>
    </w:p>
    <w:p w14:paraId="2E85F4C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Bitnun, A., Allen, U., Heurter, H., King, S. M., Opavsky, M. A., Ford-Jones, E. L., et al. (2003). Children hospitalized with severe acute respiratory syndrome-related illness in toronto.</w:t>
      </w:r>
      <w:r w:rsidRPr="00CC7E17">
        <w:rPr>
          <w:rFonts w:ascii="Arial" w:eastAsiaTheme="minorEastAsia" w:hAnsi="Arial" w:cs="Arial"/>
          <w:i/>
          <w:iCs/>
          <w:bdr w:val="none" w:sz="0" w:space="0" w:color="auto"/>
        </w:rPr>
        <w:t xml:space="preserve"> Pediatrics, 112</w:t>
      </w:r>
      <w:r w:rsidRPr="00CC7E17">
        <w:rPr>
          <w:rFonts w:ascii="Arial" w:eastAsiaTheme="minorEastAsia" w:hAnsi="Arial" w:cs="Arial"/>
          <w:bdr w:val="none" w:sz="0" w:space="0" w:color="auto"/>
        </w:rPr>
        <w:t>(4), e261.</w:t>
      </w:r>
    </w:p>
    <w:p w14:paraId="640C44B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Booth, C. M., Matukas, L. M., Tomlinson, G. A., Rachlis, A. R., Rose, D. B., Dwosh, H. A., et al. (2003). Clinical features and short-term outcomes of 144 patients with SARS in the greater toronto area.</w:t>
      </w:r>
      <w:r w:rsidRPr="00CC7E17">
        <w:rPr>
          <w:rFonts w:ascii="Arial" w:eastAsiaTheme="minorEastAsia" w:hAnsi="Arial" w:cs="Arial"/>
          <w:i/>
          <w:iCs/>
          <w:bdr w:val="none" w:sz="0" w:space="0" w:color="auto"/>
        </w:rPr>
        <w:t xml:space="preserve"> JAMA : The Journal of the American Medical Association, 289</w:t>
      </w:r>
      <w:r w:rsidRPr="00CC7E17">
        <w:rPr>
          <w:rFonts w:ascii="Arial" w:eastAsiaTheme="minorEastAsia" w:hAnsi="Arial" w:cs="Arial"/>
          <w:bdr w:val="none" w:sz="0" w:space="0" w:color="auto"/>
        </w:rPr>
        <w:t>(21), 2801-2809. doi:10.1001/jama.289.21.JOC30885</w:t>
      </w:r>
    </w:p>
    <w:p w14:paraId="45B60DA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Chiang, C. H., Shih, J. F., Su, W. J., &amp; Perng, R. P. (2004). Eight-month prospective study of 14 patients with hospital-acquired severe acute respiratory syndrome.</w:t>
      </w:r>
      <w:r w:rsidRPr="00CC7E17">
        <w:rPr>
          <w:rFonts w:ascii="Arial" w:eastAsiaTheme="minorEastAsia" w:hAnsi="Arial" w:cs="Arial"/>
          <w:i/>
          <w:iCs/>
          <w:bdr w:val="none" w:sz="0" w:space="0" w:color="auto"/>
        </w:rPr>
        <w:t xml:space="preserve"> Mayo Clinic Proceedings, 79</w:t>
      </w:r>
      <w:r w:rsidRPr="00CC7E17">
        <w:rPr>
          <w:rFonts w:ascii="Arial" w:eastAsiaTheme="minorEastAsia" w:hAnsi="Arial" w:cs="Arial"/>
          <w:bdr w:val="none" w:sz="0" w:space="0" w:color="auto"/>
        </w:rPr>
        <w:t>(11), 1372-1379. doi:10.4065/79.11.1372</w:t>
      </w:r>
    </w:p>
    <w:p w14:paraId="7437B22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Christiansen, S. C., Cannegieter, S. C., Koster, T., Vandenbroucke, J. P., &amp; Rosendaal, F. R. (2005). Thrombophilia, clinical factors, and recurrent venous thrombotic events.</w:t>
      </w:r>
      <w:r w:rsidRPr="00CC7E17">
        <w:rPr>
          <w:rFonts w:ascii="Arial" w:eastAsiaTheme="minorEastAsia" w:hAnsi="Arial" w:cs="Arial"/>
          <w:i/>
          <w:iCs/>
          <w:bdr w:val="none" w:sz="0" w:space="0" w:color="auto"/>
        </w:rPr>
        <w:t xml:space="preserve"> JAMA : The Journal of the American Medical Association, 293</w:t>
      </w:r>
      <w:r w:rsidRPr="00CC7E17">
        <w:rPr>
          <w:rFonts w:ascii="Arial" w:eastAsiaTheme="minorEastAsia" w:hAnsi="Arial" w:cs="Arial"/>
          <w:bdr w:val="none" w:sz="0" w:space="0" w:color="auto"/>
        </w:rPr>
        <w:t>(19), 2352-2361. doi:10.1001/jama.293.19.2352</w:t>
      </w:r>
    </w:p>
    <w:p w14:paraId="17BBBD7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Combes, A., Figliolini, C., Trouillet, J. L., Kassis, N., Dombret, M. C., Wolff, M., et al. (2003). Factors predicting ventilator-associated pneumonia recurrence.</w:t>
      </w:r>
      <w:r w:rsidRPr="00CC7E17">
        <w:rPr>
          <w:rFonts w:ascii="Arial" w:eastAsiaTheme="minorEastAsia" w:hAnsi="Arial" w:cs="Arial"/>
          <w:i/>
          <w:iCs/>
          <w:bdr w:val="none" w:sz="0" w:space="0" w:color="auto"/>
        </w:rPr>
        <w:t xml:space="preserve"> Critical Care Medicine, 31</w:t>
      </w:r>
      <w:r w:rsidRPr="00CC7E17">
        <w:rPr>
          <w:rFonts w:ascii="Arial" w:eastAsiaTheme="minorEastAsia" w:hAnsi="Arial" w:cs="Arial"/>
          <w:bdr w:val="none" w:sz="0" w:space="0" w:color="auto"/>
        </w:rPr>
        <w:t>(4), 1102-1107. doi:10.1097/01.CCM.0000059313.31477.2C</w:t>
      </w:r>
    </w:p>
    <w:p w14:paraId="185F885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Deulofeut, R., Sola, A., Lee, B., Buchter, S., Rahman, M., &amp; Rogido, M. (2005). The impact of vaginal delivery in premature infants weighing less than 1,251 grams.</w:t>
      </w:r>
      <w:r w:rsidRPr="00CC7E17">
        <w:rPr>
          <w:rFonts w:ascii="Arial" w:eastAsiaTheme="minorEastAsia" w:hAnsi="Arial" w:cs="Arial"/>
          <w:i/>
          <w:iCs/>
          <w:bdr w:val="none" w:sz="0" w:space="0" w:color="auto"/>
        </w:rPr>
        <w:t xml:space="preserve"> Obstetrics and Gynecology, 105</w:t>
      </w:r>
      <w:r w:rsidRPr="00CC7E17">
        <w:rPr>
          <w:rFonts w:ascii="Arial" w:eastAsiaTheme="minorEastAsia" w:hAnsi="Arial" w:cs="Arial"/>
          <w:bdr w:val="none" w:sz="0" w:space="0" w:color="auto"/>
        </w:rPr>
        <w:t>(3), 525-531. doi:10.1097/01.AOG.0000154156.51578.50</w:t>
      </w:r>
    </w:p>
    <w:p w14:paraId="23FF62B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Dickinson, J. E., Duncombe, G. J., Evans, S. F., French, N. P., &amp; Hagan, R. (2005). The long term neurologic outcome of children from pregnancies complicated by twin-to-twin transfusion syndrome.</w:t>
      </w:r>
      <w:r w:rsidRPr="00CC7E17">
        <w:rPr>
          <w:rFonts w:ascii="Arial" w:eastAsiaTheme="minorEastAsia" w:hAnsi="Arial" w:cs="Arial"/>
          <w:i/>
          <w:iCs/>
          <w:bdr w:val="none" w:sz="0" w:space="0" w:color="auto"/>
        </w:rPr>
        <w:t xml:space="preserve"> BJOG : An International Journal of Obstetrics and Gynaecology, 112</w:t>
      </w:r>
      <w:r w:rsidRPr="00CC7E17">
        <w:rPr>
          <w:rFonts w:ascii="Arial" w:eastAsiaTheme="minorEastAsia" w:hAnsi="Arial" w:cs="Arial"/>
          <w:bdr w:val="none" w:sz="0" w:space="0" w:color="auto"/>
        </w:rPr>
        <w:t>(1), 63-68. doi:10.1111/j.1471-0528.2004.00330.x</w:t>
      </w:r>
    </w:p>
    <w:p w14:paraId="177A641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Eichinger, S., Minar, E., Bialonczyk, C., Hirschl, M., Quehenberger, P., Schneider, B., et al. (2003). D-dimer levels and risk of recurrent venous thromboembolism.</w:t>
      </w:r>
      <w:r w:rsidRPr="00CC7E17">
        <w:rPr>
          <w:rFonts w:ascii="Arial" w:eastAsiaTheme="minorEastAsia" w:hAnsi="Arial" w:cs="Arial"/>
          <w:i/>
          <w:iCs/>
          <w:bdr w:val="none" w:sz="0" w:space="0" w:color="auto"/>
        </w:rPr>
        <w:t xml:space="preserve"> JAMA : The Journal of the American Medical Association, 290</w:t>
      </w:r>
      <w:r w:rsidRPr="00CC7E17">
        <w:rPr>
          <w:rFonts w:ascii="Arial" w:eastAsiaTheme="minorEastAsia" w:hAnsi="Arial" w:cs="Arial"/>
          <w:bdr w:val="none" w:sz="0" w:space="0" w:color="auto"/>
        </w:rPr>
        <w:t>(8), 1071-1074. doi:10.1001/jama.290.8.1071</w:t>
      </w:r>
    </w:p>
    <w:p w14:paraId="4D5E91E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Eide, M. G., Oyen, N., Skjaerven, R., Irgens, L. M., Bjerkedal, T., &amp; Nilsen, S. T. (2005). Breech delivery and intelligence: A population-based study of 8,738 breech infants.</w:t>
      </w:r>
      <w:r w:rsidRPr="00CC7E17">
        <w:rPr>
          <w:rFonts w:ascii="Arial" w:eastAsiaTheme="minorEastAsia" w:hAnsi="Arial" w:cs="Arial"/>
          <w:i/>
          <w:iCs/>
          <w:bdr w:val="none" w:sz="0" w:space="0" w:color="auto"/>
        </w:rPr>
        <w:t xml:space="preserve"> Obstetrics and Gynecology, 105</w:t>
      </w:r>
      <w:r w:rsidRPr="00CC7E17">
        <w:rPr>
          <w:rFonts w:ascii="Arial" w:eastAsiaTheme="minorEastAsia" w:hAnsi="Arial" w:cs="Arial"/>
          <w:bdr w:val="none" w:sz="0" w:space="0" w:color="auto"/>
        </w:rPr>
        <w:t>(1), 4-11. doi:10.1097/01.AOG.0000149743.80837.d3</w:t>
      </w:r>
    </w:p>
    <w:p w14:paraId="400F688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Ferro, J. M., Canhao, P., Stam, J., Bousser, M. G., Barinagarrementeria, F., &amp; ISCVT Investigators. (2004). Prognosis of cerebral vein and dural sinus thrombosis: Results of the international study on cerebral vein and dural sinus thrombosis (ISCVT).</w:t>
      </w:r>
      <w:r w:rsidRPr="00CC7E17">
        <w:rPr>
          <w:rFonts w:ascii="Arial" w:eastAsiaTheme="minorEastAsia" w:hAnsi="Arial" w:cs="Arial"/>
          <w:i/>
          <w:iCs/>
          <w:bdr w:val="none" w:sz="0" w:space="0" w:color="auto"/>
        </w:rPr>
        <w:t xml:space="preserve"> Stroke; a Journal of Cerebral Circulation, 35</w:t>
      </w:r>
      <w:r w:rsidRPr="00CC7E17">
        <w:rPr>
          <w:rFonts w:ascii="Arial" w:eastAsiaTheme="minorEastAsia" w:hAnsi="Arial" w:cs="Arial"/>
          <w:bdr w:val="none" w:sz="0" w:space="0" w:color="auto"/>
        </w:rPr>
        <w:t>(3), 664-670. doi:10.1161/01.STR.0000117571.76197.26</w:t>
      </w:r>
    </w:p>
    <w:p w14:paraId="2A2A3D0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Forbes, R. B., Colville, S., Swingler, R. J., &amp; Scottish ALS/MND Register. (2004). The epidemiology of amyotrophic lateral sclerosis (ALS/MND) in people aged 80 or over.</w:t>
      </w:r>
      <w:r w:rsidRPr="00CC7E17">
        <w:rPr>
          <w:rFonts w:ascii="Arial" w:eastAsiaTheme="minorEastAsia" w:hAnsi="Arial" w:cs="Arial"/>
          <w:i/>
          <w:iCs/>
          <w:bdr w:val="none" w:sz="0" w:space="0" w:color="auto"/>
        </w:rPr>
        <w:t xml:space="preserve"> Age and Ageing, 33</w:t>
      </w:r>
      <w:r w:rsidRPr="00CC7E17">
        <w:rPr>
          <w:rFonts w:ascii="Arial" w:eastAsiaTheme="minorEastAsia" w:hAnsi="Arial" w:cs="Arial"/>
          <w:bdr w:val="none" w:sz="0" w:space="0" w:color="auto"/>
        </w:rPr>
        <w:t>(2), 131-134. doi:10.1093/ageing/afh013</w:t>
      </w:r>
    </w:p>
    <w:p w14:paraId="317395D9"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Harari, D., Coshall, C., Rudd, A. G., &amp; Wolfe, C. D. (2003). New-onset fecal incontinence after stroke: Prevalence, natural history, risk factors, and impact.</w:t>
      </w:r>
      <w:r w:rsidRPr="00CC7E17">
        <w:rPr>
          <w:rFonts w:ascii="Arial" w:eastAsiaTheme="minorEastAsia" w:hAnsi="Arial" w:cs="Arial"/>
          <w:i/>
          <w:iCs/>
          <w:bdr w:val="none" w:sz="0" w:space="0" w:color="auto"/>
        </w:rPr>
        <w:t xml:space="preserve"> Stroke; a Journal of Cerebral Circulation, 34</w:t>
      </w:r>
      <w:r w:rsidRPr="00CC7E17">
        <w:rPr>
          <w:rFonts w:ascii="Arial" w:eastAsiaTheme="minorEastAsia" w:hAnsi="Arial" w:cs="Arial"/>
          <w:bdr w:val="none" w:sz="0" w:space="0" w:color="auto"/>
        </w:rPr>
        <w:t>(1), 144-150.</w:t>
      </w:r>
    </w:p>
    <w:p w14:paraId="3A48860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Hardie, K., Hankey, G. J., Jamrozik, K., Broadhurst, R. J., &amp; Anderson, C. (2004). Ten-year risk of first recurrent stroke and disability after first-ever stroke in the perth community stroke study.</w:t>
      </w:r>
      <w:r w:rsidRPr="00CC7E17">
        <w:rPr>
          <w:rFonts w:ascii="Arial" w:eastAsiaTheme="minorEastAsia" w:hAnsi="Arial" w:cs="Arial"/>
          <w:i/>
          <w:iCs/>
          <w:bdr w:val="none" w:sz="0" w:space="0" w:color="auto"/>
        </w:rPr>
        <w:t xml:space="preserve"> Stroke; a Journal of Cerebral Circulation, 35</w:t>
      </w:r>
      <w:r w:rsidRPr="00CC7E17">
        <w:rPr>
          <w:rFonts w:ascii="Arial" w:eastAsiaTheme="minorEastAsia" w:hAnsi="Arial" w:cs="Arial"/>
          <w:bdr w:val="none" w:sz="0" w:space="0" w:color="auto"/>
        </w:rPr>
        <w:t>(3), 731-735. doi:10.1161/01.STR.0000116183.50167.D9</w:t>
      </w:r>
    </w:p>
    <w:p w14:paraId="0B4B102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Hintz, S. R., Kendrick, D. E., Vohr, B. R., Poole, W. K., Higgins, R. D., &amp; National Institute of Child Health and Human Development Neonatal Research Network. (2005). Changes in neurodevelopmental outcomes at 18 to 22 months' corrected age among infants of less than 25 weeks' gestational age born in 1993-1999.</w:t>
      </w:r>
      <w:r w:rsidRPr="00CC7E17">
        <w:rPr>
          <w:rFonts w:ascii="Arial" w:eastAsiaTheme="minorEastAsia" w:hAnsi="Arial" w:cs="Arial"/>
          <w:i/>
          <w:iCs/>
          <w:bdr w:val="none" w:sz="0" w:space="0" w:color="auto"/>
        </w:rPr>
        <w:t xml:space="preserve"> Pediatrics, 115</w:t>
      </w:r>
      <w:r w:rsidRPr="00CC7E17">
        <w:rPr>
          <w:rFonts w:ascii="Arial" w:eastAsiaTheme="minorEastAsia" w:hAnsi="Arial" w:cs="Arial"/>
          <w:bdr w:val="none" w:sz="0" w:space="0" w:color="auto"/>
        </w:rPr>
        <w:t>(6), 1645-1651. doi:10.1542/peds.2004-2215</w:t>
      </w:r>
    </w:p>
    <w:p w14:paraId="59B7EFA0"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Howieson, D. B., Camicioli, R., Quinn, J., Silbert, L. C., Care, B., Moore, M. M., et al. (2003). Natural history of cognitive decline in the old old.</w:t>
      </w:r>
      <w:r w:rsidRPr="00CC7E17">
        <w:rPr>
          <w:rFonts w:ascii="Arial" w:eastAsiaTheme="minorEastAsia" w:hAnsi="Arial" w:cs="Arial"/>
          <w:i/>
          <w:iCs/>
          <w:bdr w:val="none" w:sz="0" w:space="0" w:color="auto"/>
        </w:rPr>
        <w:t xml:space="preserve"> Neurology, 60</w:t>
      </w:r>
      <w:r w:rsidRPr="00CC7E17">
        <w:rPr>
          <w:rFonts w:ascii="Arial" w:eastAsiaTheme="minorEastAsia" w:hAnsi="Arial" w:cs="Arial"/>
          <w:bdr w:val="none" w:sz="0" w:space="0" w:color="auto"/>
        </w:rPr>
        <w:t>(9), 1489-1494.</w:t>
      </w:r>
    </w:p>
    <w:p w14:paraId="0070BB3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Ivan, C. S., Seshadri, S., Beiser, A., Au, R., Kase, C. S., Kelly-Hayes, M., et al. (2004). Dementia after stroke: The framingham study.</w:t>
      </w:r>
      <w:r w:rsidRPr="00CC7E17">
        <w:rPr>
          <w:rFonts w:ascii="Arial" w:eastAsiaTheme="minorEastAsia" w:hAnsi="Arial" w:cs="Arial"/>
          <w:i/>
          <w:iCs/>
          <w:bdr w:val="none" w:sz="0" w:space="0" w:color="auto"/>
        </w:rPr>
        <w:t xml:space="preserve"> Stroke; a Journal of Cerebral Circulation, 35</w:t>
      </w:r>
      <w:r w:rsidRPr="00CC7E17">
        <w:rPr>
          <w:rFonts w:ascii="Arial" w:eastAsiaTheme="minorEastAsia" w:hAnsi="Arial" w:cs="Arial"/>
          <w:bdr w:val="none" w:sz="0" w:space="0" w:color="auto"/>
        </w:rPr>
        <w:t>(6), 1264-1268. doi:10.1161/01.STR.0000127810.92616.78</w:t>
      </w:r>
    </w:p>
    <w:p w14:paraId="7FCA407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Joensuu, H., Lehtimaki, T., Holli, K., Elomaa, L., Turpeenniemi-Hujanen, T., Kataja, V., et al. (2004). Risk for distant recurrence of breast cancer detected by mammography screening or other methods.</w:t>
      </w:r>
      <w:r w:rsidRPr="00CC7E17">
        <w:rPr>
          <w:rFonts w:ascii="Arial" w:eastAsiaTheme="minorEastAsia" w:hAnsi="Arial" w:cs="Arial"/>
          <w:i/>
          <w:iCs/>
          <w:bdr w:val="none" w:sz="0" w:space="0" w:color="auto"/>
        </w:rPr>
        <w:t xml:space="preserve"> JAMA : The Journal of the American Medical Association, 292</w:t>
      </w:r>
      <w:r w:rsidRPr="00CC7E17">
        <w:rPr>
          <w:rFonts w:ascii="Arial" w:eastAsiaTheme="minorEastAsia" w:hAnsi="Arial" w:cs="Arial"/>
          <w:bdr w:val="none" w:sz="0" w:space="0" w:color="auto"/>
        </w:rPr>
        <w:t>(9), 1064-1073. doi:10.1001/jama.292.9.1064</w:t>
      </w:r>
    </w:p>
    <w:p w14:paraId="0D18AE4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Johansson, J. E., Andren, O., Andersson, S. O., Dickman, P. W., Holmberg, L., Magnuson, A., et al. (2004). Natural history of early, localized prostate cancer.</w:t>
      </w:r>
      <w:r w:rsidRPr="00CC7E17">
        <w:rPr>
          <w:rFonts w:ascii="Arial" w:eastAsiaTheme="minorEastAsia" w:hAnsi="Arial" w:cs="Arial"/>
          <w:i/>
          <w:iCs/>
          <w:bdr w:val="none" w:sz="0" w:space="0" w:color="auto"/>
        </w:rPr>
        <w:t xml:space="preserve"> JAMA : The Journal of the American Medical Association, 291</w:t>
      </w:r>
      <w:r w:rsidRPr="00CC7E17">
        <w:rPr>
          <w:rFonts w:ascii="Arial" w:eastAsiaTheme="minorEastAsia" w:hAnsi="Arial" w:cs="Arial"/>
          <w:bdr w:val="none" w:sz="0" w:space="0" w:color="auto"/>
        </w:rPr>
        <w:t>(22), 2713-2719. doi:10.1001/jama.291.22.2713</w:t>
      </w:r>
    </w:p>
    <w:p w14:paraId="06E318C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Kosiborod, M., Smith, G. L., Radford, M. J., Foody, J. M., &amp; Krumholz, H. M. (2003). The prognostic importance of anemia in patients with heart failure.</w:t>
      </w:r>
      <w:r w:rsidRPr="00CC7E17">
        <w:rPr>
          <w:rFonts w:ascii="Arial" w:eastAsiaTheme="minorEastAsia" w:hAnsi="Arial" w:cs="Arial"/>
          <w:i/>
          <w:iCs/>
          <w:bdr w:val="none" w:sz="0" w:space="0" w:color="auto"/>
        </w:rPr>
        <w:t xml:space="preserve"> The American Journal of Medicine, 114</w:t>
      </w:r>
      <w:r w:rsidRPr="00CC7E17">
        <w:rPr>
          <w:rFonts w:ascii="Arial" w:eastAsiaTheme="minorEastAsia" w:hAnsi="Arial" w:cs="Arial"/>
          <w:bdr w:val="none" w:sz="0" w:space="0" w:color="auto"/>
        </w:rPr>
        <w:t>(2), 112-119.</w:t>
      </w:r>
    </w:p>
    <w:p w14:paraId="513AB0E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Kyrle, P. A., Minar, E., Bialonczyk, C., Hirschl, M., Weltermann, A., &amp; Eichinger, S. (2004). The risk of recurrent venous thromboembolism in men and women.</w:t>
      </w:r>
      <w:r w:rsidRPr="00CC7E17">
        <w:rPr>
          <w:rFonts w:ascii="Arial" w:eastAsiaTheme="minorEastAsia" w:hAnsi="Arial" w:cs="Arial"/>
          <w:i/>
          <w:iCs/>
          <w:bdr w:val="none" w:sz="0" w:space="0" w:color="auto"/>
        </w:rPr>
        <w:t xml:space="preserve"> The New England Journal of Medicine, 350</w:t>
      </w:r>
      <w:r w:rsidRPr="00CC7E17">
        <w:rPr>
          <w:rFonts w:ascii="Arial" w:eastAsiaTheme="minorEastAsia" w:hAnsi="Arial" w:cs="Arial"/>
          <w:bdr w:val="none" w:sz="0" w:space="0" w:color="auto"/>
        </w:rPr>
        <w:t>(25), 2558-2563. doi:10.1056/NEJMoa032959</w:t>
      </w:r>
    </w:p>
    <w:p w14:paraId="53A2997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Laptook, A. R., O'Shea, T. M., Shankaran, S., Bhaskar, B., &amp; NICHD Neonatal Network. (2005). Adverse neurodevelopmental outcomes among extremely low birth weight infants with a normal head ultrasound: Prevalence and antecedents.</w:t>
      </w:r>
      <w:r w:rsidRPr="00CC7E17">
        <w:rPr>
          <w:rFonts w:ascii="Arial" w:eastAsiaTheme="minorEastAsia" w:hAnsi="Arial" w:cs="Arial"/>
          <w:i/>
          <w:iCs/>
          <w:bdr w:val="none" w:sz="0" w:space="0" w:color="auto"/>
        </w:rPr>
        <w:t xml:space="preserve"> Pediatrics, 115</w:t>
      </w:r>
      <w:r w:rsidRPr="00CC7E17">
        <w:rPr>
          <w:rFonts w:ascii="Arial" w:eastAsiaTheme="minorEastAsia" w:hAnsi="Arial" w:cs="Arial"/>
          <w:bdr w:val="none" w:sz="0" w:space="0" w:color="auto"/>
        </w:rPr>
        <w:t>(3), 673-680. doi:10.1542/peds.2004-0667</w:t>
      </w:r>
    </w:p>
    <w:p w14:paraId="1FE63F80"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Larson, E. B., Shadlen, M. F., Wang, L., McCormick, W. C., Bowen, J. D., Teri, L., et al. (2004). Survival after initial diagnosis of alzheimer disease.</w:t>
      </w:r>
      <w:r w:rsidRPr="00CC7E17">
        <w:rPr>
          <w:rFonts w:ascii="Arial" w:eastAsiaTheme="minorEastAsia" w:hAnsi="Arial" w:cs="Arial"/>
          <w:i/>
          <w:iCs/>
          <w:bdr w:val="none" w:sz="0" w:space="0" w:color="auto"/>
        </w:rPr>
        <w:t xml:space="preserve"> Annals of Internal Medicine, 140</w:t>
      </w:r>
      <w:r w:rsidRPr="00CC7E17">
        <w:rPr>
          <w:rFonts w:ascii="Arial" w:eastAsiaTheme="minorEastAsia" w:hAnsi="Arial" w:cs="Arial"/>
          <w:bdr w:val="none" w:sz="0" w:space="0" w:color="auto"/>
        </w:rPr>
        <w:t>(7), 501-509.</w:t>
      </w:r>
    </w:p>
    <w:p w14:paraId="5F1EE019"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Messinger, D. S., Bauer, C. R., Das, A., Seifer, R., Lester, B. M., Lagasse, L. L., et al. (2004). The maternal lifestyle study: Cognitive, motor, and behavioral outcomes of cocaine-exposed and opiate-exposed infants through three years of age.</w:t>
      </w:r>
      <w:r w:rsidRPr="00CC7E17">
        <w:rPr>
          <w:rFonts w:ascii="Arial" w:eastAsiaTheme="minorEastAsia" w:hAnsi="Arial" w:cs="Arial"/>
          <w:i/>
          <w:iCs/>
          <w:bdr w:val="none" w:sz="0" w:space="0" w:color="auto"/>
        </w:rPr>
        <w:t xml:space="preserve"> Pediatrics, 113</w:t>
      </w:r>
      <w:r w:rsidRPr="00CC7E17">
        <w:rPr>
          <w:rFonts w:ascii="Arial" w:eastAsiaTheme="minorEastAsia" w:hAnsi="Arial" w:cs="Arial"/>
          <w:bdr w:val="none" w:sz="0" w:space="0" w:color="auto"/>
        </w:rPr>
        <w:t>(6), 1677-1685.</w:t>
      </w:r>
    </w:p>
    <w:p w14:paraId="3E880DA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Mikaeloff, Y., Suissa, S., Vallee, L., Lubetzki, C., Ponsot, G., Confavreux, C., et al. (2004). First episode of acute CNS inflammatory demyelination in childhood: Prognostic factors for multiple sclerosis and disability.</w:t>
      </w:r>
      <w:r w:rsidRPr="00CC7E17">
        <w:rPr>
          <w:rFonts w:ascii="Arial" w:eastAsiaTheme="minorEastAsia" w:hAnsi="Arial" w:cs="Arial"/>
          <w:i/>
          <w:iCs/>
          <w:bdr w:val="none" w:sz="0" w:space="0" w:color="auto"/>
        </w:rPr>
        <w:t xml:space="preserve"> The Journal of Pediatrics, 144</w:t>
      </w:r>
      <w:r w:rsidRPr="00CC7E17">
        <w:rPr>
          <w:rFonts w:ascii="Arial" w:eastAsiaTheme="minorEastAsia" w:hAnsi="Arial" w:cs="Arial"/>
          <w:bdr w:val="none" w:sz="0" w:space="0" w:color="auto"/>
        </w:rPr>
        <w:t>(2), 246-252. doi:10.1016/j.jpeds.2003.10.056</w:t>
      </w:r>
    </w:p>
    <w:p w14:paraId="0481839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Milev, P., Ho, B. C., Arndt, S., &amp; Andreasen, N. C. (2005). Predictive values of neurocognition and negative symptoms on functional outcome in schizophrenia: A longitudinal first-episode study with 7-year follow-up.</w:t>
      </w:r>
      <w:r w:rsidRPr="00CC7E17">
        <w:rPr>
          <w:rFonts w:ascii="Arial" w:eastAsiaTheme="minorEastAsia" w:hAnsi="Arial" w:cs="Arial"/>
          <w:i/>
          <w:iCs/>
          <w:bdr w:val="none" w:sz="0" w:space="0" w:color="auto"/>
        </w:rPr>
        <w:t xml:space="preserve"> The American Journal of Psychiatry, 162</w:t>
      </w:r>
      <w:r w:rsidRPr="00CC7E17">
        <w:rPr>
          <w:rFonts w:ascii="Arial" w:eastAsiaTheme="minorEastAsia" w:hAnsi="Arial" w:cs="Arial"/>
          <w:bdr w:val="none" w:sz="0" w:space="0" w:color="auto"/>
        </w:rPr>
        <w:t>(3), 495-506. doi:10.1176/appi.ajp.162.3.495</w:t>
      </w:r>
    </w:p>
    <w:p w14:paraId="77A1CDE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Morita, A., Fujiwara, S., Hashi, K., Ohtsu, H., &amp; Kirino, T. (2005). Risk of rupture associated with intact cerebral aneurysms in the japanese population: A systematic review of the literature from japan.</w:t>
      </w:r>
      <w:r w:rsidRPr="00CC7E17">
        <w:rPr>
          <w:rFonts w:ascii="Arial" w:eastAsiaTheme="minorEastAsia" w:hAnsi="Arial" w:cs="Arial"/>
          <w:i/>
          <w:iCs/>
          <w:bdr w:val="none" w:sz="0" w:space="0" w:color="auto"/>
        </w:rPr>
        <w:t xml:space="preserve"> Journal of Neurosurgery, 102</w:t>
      </w:r>
      <w:r w:rsidRPr="00CC7E17">
        <w:rPr>
          <w:rFonts w:ascii="Arial" w:eastAsiaTheme="minorEastAsia" w:hAnsi="Arial" w:cs="Arial"/>
          <w:bdr w:val="none" w:sz="0" w:space="0" w:color="auto"/>
        </w:rPr>
        <w:t>(4), 601-606. doi:10.3171/jns.2005.102.4.0601</w:t>
      </w:r>
    </w:p>
    <w:p w14:paraId="1564406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Moukoko, D., Ezaki, M., Wilkes, D., &amp; Carter, P. (2004). Posterior shoulder dislocation in infants with neonatal brachial plexus palsy.</w:t>
      </w:r>
      <w:r w:rsidRPr="00CC7E17">
        <w:rPr>
          <w:rFonts w:ascii="Arial" w:eastAsiaTheme="minorEastAsia" w:hAnsi="Arial" w:cs="Arial"/>
          <w:i/>
          <w:iCs/>
          <w:bdr w:val="none" w:sz="0" w:space="0" w:color="auto"/>
        </w:rPr>
        <w:t xml:space="preserve"> The Journal of Bone and Joint Surgery.American Volume, 86-A</w:t>
      </w:r>
      <w:r w:rsidRPr="00CC7E17">
        <w:rPr>
          <w:rFonts w:ascii="Arial" w:eastAsiaTheme="minorEastAsia" w:hAnsi="Arial" w:cs="Arial"/>
          <w:bdr w:val="none" w:sz="0" w:space="0" w:color="auto"/>
        </w:rPr>
        <w:t>(4), 787-793.</w:t>
      </w:r>
    </w:p>
    <w:p w14:paraId="420684A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Patel, P. J., Keating, R. J., Gersh, B. J., Hodge, D. O., Hammill, S. C., &amp; Shen, W. K. (2004). Outcome of patients with newly diagnosed atrial fibrillation at the mayo clinic and residing in that area.</w:t>
      </w:r>
      <w:r w:rsidRPr="00CC7E17">
        <w:rPr>
          <w:rFonts w:ascii="Arial" w:eastAsiaTheme="minorEastAsia" w:hAnsi="Arial" w:cs="Arial"/>
          <w:i/>
          <w:iCs/>
          <w:bdr w:val="none" w:sz="0" w:space="0" w:color="auto"/>
        </w:rPr>
        <w:t xml:space="preserve"> The American Journal of Cardiology, 94</w:t>
      </w:r>
      <w:r w:rsidRPr="00CC7E17">
        <w:rPr>
          <w:rFonts w:ascii="Arial" w:eastAsiaTheme="minorEastAsia" w:hAnsi="Arial" w:cs="Arial"/>
          <w:bdr w:val="none" w:sz="0" w:space="0" w:color="auto"/>
        </w:rPr>
        <w:t>(11), 1379-1382. doi:10.1016/j.amjcard.2004.08.011</w:t>
      </w:r>
    </w:p>
    <w:p w14:paraId="0F1BFC7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Pinborg, A., Loft, A., Schmidt, L., Greisen, G., Rasmussen, S., &amp; Andersen, A. N. (2004). Neurological sequelae in twins born after assisted conception: Controlled national cohort study.</w:t>
      </w:r>
      <w:r w:rsidRPr="00CC7E17">
        <w:rPr>
          <w:rFonts w:ascii="Arial" w:eastAsiaTheme="minorEastAsia" w:hAnsi="Arial" w:cs="Arial"/>
          <w:i/>
          <w:iCs/>
          <w:bdr w:val="none" w:sz="0" w:space="0" w:color="auto"/>
        </w:rPr>
        <w:t xml:space="preserve"> BMJ (Clinical Research Ed.), 329</w:t>
      </w:r>
      <w:r w:rsidRPr="00CC7E17">
        <w:rPr>
          <w:rFonts w:ascii="Arial" w:eastAsiaTheme="minorEastAsia" w:hAnsi="Arial" w:cs="Arial"/>
          <w:bdr w:val="none" w:sz="0" w:space="0" w:color="auto"/>
        </w:rPr>
        <w:t>(7461), 311. doi:10.1136/bmj.38156.715694.3A</w:t>
      </w:r>
    </w:p>
    <w:p w14:paraId="3FB06BF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Pizarro, C. F., Troster, E. J., Damiani, D., &amp; Carcillo, J. A. (2005). Absolute and relative adrenal insufficiency in children with septic shock.</w:t>
      </w:r>
      <w:r w:rsidRPr="00CC7E17">
        <w:rPr>
          <w:rFonts w:ascii="Arial" w:eastAsiaTheme="minorEastAsia" w:hAnsi="Arial" w:cs="Arial"/>
          <w:i/>
          <w:iCs/>
          <w:bdr w:val="none" w:sz="0" w:space="0" w:color="auto"/>
        </w:rPr>
        <w:t xml:space="preserve"> Critical Care Medicine, 33</w:t>
      </w:r>
      <w:r w:rsidRPr="00CC7E17">
        <w:rPr>
          <w:rFonts w:ascii="Arial" w:eastAsiaTheme="minorEastAsia" w:hAnsi="Arial" w:cs="Arial"/>
          <w:bdr w:val="none" w:sz="0" w:space="0" w:color="auto"/>
        </w:rPr>
        <w:t>(4), 855-859.</w:t>
      </w:r>
    </w:p>
    <w:p w14:paraId="6E2AD8A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Porreco, R. P., Harden, L., Gambotto, M., &amp; Shapiro, H. (2005). Expectation of pregnancy outcome among mature women.</w:t>
      </w:r>
      <w:r w:rsidRPr="00CC7E17">
        <w:rPr>
          <w:rFonts w:ascii="Arial" w:eastAsiaTheme="minorEastAsia" w:hAnsi="Arial" w:cs="Arial"/>
          <w:i/>
          <w:iCs/>
          <w:bdr w:val="none" w:sz="0" w:space="0" w:color="auto"/>
        </w:rPr>
        <w:t xml:space="preserve"> American Journal of Obstetrics and Gynecology, 192</w:t>
      </w:r>
      <w:r w:rsidRPr="00CC7E17">
        <w:rPr>
          <w:rFonts w:ascii="Arial" w:eastAsiaTheme="minorEastAsia" w:hAnsi="Arial" w:cs="Arial"/>
          <w:bdr w:val="none" w:sz="0" w:space="0" w:color="auto"/>
        </w:rPr>
        <w:t>(1), 38-41. doi:10.1016/j.ajog.2004.07.035</w:t>
      </w:r>
    </w:p>
    <w:p w14:paraId="7CC6EE3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Roger, V. L., Weston, S. A., Redfield, M. M., Hellermann-Homan, J. P., Killian, J., Yawn, B. P., et al. (2004). Trends in heart failure incidence and survival in a community-based population.</w:t>
      </w:r>
      <w:r w:rsidRPr="00CC7E17">
        <w:rPr>
          <w:rFonts w:ascii="Arial" w:eastAsiaTheme="minorEastAsia" w:hAnsi="Arial" w:cs="Arial"/>
          <w:i/>
          <w:iCs/>
          <w:bdr w:val="none" w:sz="0" w:space="0" w:color="auto"/>
        </w:rPr>
        <w:t xml:space="preserve"> JAMA : The Journal of the American Medical Association, 292</w:t>
      </w:r>
      <w:r w:rsidRPr="00CC7E17">
        <w:rPr>
          <w:rFonts w:ascii="Arial" w:eastAsiaTheme="minorEastAsia" w:hAnsi="Arial" w:cs="Arial"/>
          <w:bdr w:val="none" w:sz="0" w:space="0" w:color="auto"/>
        </w:rPr>
        <w:t>(3), 344-350. doi:10.1001/jama.292.3.344</w:t>
      </w:r>
    </w:p>
    <w:p w14:paraId="76AD829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Sejvar, J. J., Haddad, M. B., Tierney, B. C., Campbell, G. L., Marfin, A. A., Van Gerpen, J. A., et al. (2003). Neurologic manifestations and outcome of west nile virus infection.</w:t>
      </w:r>
      <w:r w:rsidRPr="00CC7E17">
        <w:rPr>
          <w:rFonts w:ascii="Arial" w:eastAsiaTheme="minorEastAsia" w:hAnsi="Arial" w:cs="Arial"/>
          <w:i/>
          <w:iCs/>
          <w:bdr w:val="none" w:sz="0" w:space="0" w:color="auto"/>
        </w:rPr>
        <w:t xml:space="preserve"> JAMA : The Journal of the American Medical Association, 290</w:t>
      </w:r>
      <w:r w:rsidRPr="00CC7E17">
        <w:rPr>
          <w:rFonts w:ascii="Arial" w:eastAsiaTheme="minorEastAsia" w:hAnsi="Arial" w:cs="Arial"/>
          <w:bdr w:val="none" w:sz="0" w:space="0" w:color="auto"/>
        </w:rPr>
        <w:t>(4), 511-515. doi:10.1001/jama.290.4.511</w:t>
      </w:r>
    </w:p>
    <w:p w14:paraId="7977566E"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Sheiner, E., Levy, A., Yerushalmi, R., &amp; Katz, M. (2004). Beta-thalassemia minor during pregnancy.</w:t>
      </w:r>
      <w:r w:rsidRPr="00CC7E17">
        <w:rPr>
          <w:rFonts w:ascii="Arial" w:eastAsiaTheme="minorEastAsia" w:hAnsi="Arial" w:cs="Arial"/>
          <w:i/>
          <w:iCs/>
          <w:bdr w:val="none" w:sz="0" w:space="0" w:color="auto"/>
        </w:rPr>
        <w:t xml:space="preserve"> Obstetrics and Gynecology, 103</w:t>
      </w:r>
      <w:r w:rsidRPr="00CC7E17">
        <w:rPr>
          <w:rFonts w:ascii="Arial" w:eastAsiaTheme="minorEastAsia" w:hAnsi="Arial" w:cs="Arial"/>
          <w:bdr w:val="none" w:sz="0" w:space="0" w:color="auto"/>
        </w:rPr>
        <w:t>(6), 1273-1277. doi:10.1097/01.AOG.0000126575.34482.fb</w:t>
      </w:r>
    </w:p>
    <w:p w14:paraId="723BC51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Shinnar, S., O'Dell, C., &amp; Berg, A. T. (2005). Mortality following a first unprovoked seizure in children: A prospective study.</w:t>
      </w:r>
      <w:r w:rsidRPr="00CC7E17">
        <w:rPr>
          <w:rFonts w:ascii="Arial" w:eastAsiaTheme="minorEastAsia" w:hAnsi="Arial" w:cs="Arial"/>
          <w:i/>
          <w:iCs/>
          <w:bdr w:val="none" w:sz="0" w:space="0" w:color="auto"/>
        </w:rPr>
        <w:t xml:space="preserve"> Neurology, 64</w:t>
      </w:r>
      <w:r w:rsidRPr="00CC7E17">
        <w:rPr>
          <w:rFonts w:ascii="Arial" w:eastAsiaTheme="minorEastAsia" w:hAnsi="Arial" w:cs="Arial"/>
          <w:bdr w:val="none" w:sz="0" w:space="0" w:color="auto"/>
        </w:rPr>
        <w:t>(5), 880-882. doi:10.1212/01.WNL.0000152893.72146.92</w:t>
      </w:r>
    </w:p>
    <w:p w14:paraId="7A055C1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Solomon, D. H., Karlson, E. W., Rimm, E. B., Cannuscio, C. C., Mandl, L. A., Manson, J. E., et al. (2003). Cardiovascular morbidity and mortality in women diagnosed with rheumatoid arthritis.</w:t>
      </w:r>
      <w:r w:rsidRPr="00CC7E17">
        <w:rPr>
          <w:rFonts w:ascii="Arial" w:eastAsiaTheme="minorEastAsia" w:hAnsi="Arial" w:cs="Arial"/>
          <w:i/>
          <w:iCs/>
          <w:bdr w:val="none" w:sz="0" w:space="0" w:color="auto"/>
        </w:rPr>
        <w:t xml:space="preserve"> Circulation, 107</w:t>
      </w:r>
      <w:r w:rsidRPr="00CC7E17">
        <w:rPr>
          <w:rFonts w:ascii="Arial" w:eastAsiaTheme="minorEastAsia" w:hAnsi="Arial" w:cs="Arial"/>
          <w:bdr w:val="none" w:sz="0" w:space="0" w:color="auto"/>
        </w:rPr>
        <w:t>(9), 1303-1307.</w:t>
      </w:r>
    </w:p>
    <w:p w14:paraId="3AABFDD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Sommerfeld, D. K., Eek, E. U., Svensson, A. K., Holmqvist, L. W., &amp; von Arbin, M. H. (2004). Spasticity after stroke: Its occurrence and association with motor impairments and activity limitations.</w:t>
      </w:r>
      <w:r w:rsidRPr="00CC7E17">
        <w:rPr>
          <w:rFonts w:ascii="Arial" w:eastAsiaTheme="minorEastAsia" w:hAnsi="Arial" w:cs="Arial"/>
          <w:i/>
          <w:iCs/>
          <w:bdr w:val="none" w:sz="0" w:space="0" w:color="auto"/>
        </w:rPr>
        <w:t xml:space="preserve"> Stroke; a Journal of Cerebral Circulation, 35</w:t>
      </w:r>
      <w:r w:rsidRPr="00CC7E17">
        <w:rPr>
          <w:rFonts w:ascii="Arial" w:eastAsiaTheme="minorEastAsia" w:hAnsi="Arial" w:cs="Arial"/>
          <w:bdr w:val="none" w:sz="0" w:space="0" w:color="auto"/>
        </w:rPr>
        <w:t>(1), 134-139. doi:10.1161/01.STR.0000105386.05173.5E</w:t>
      </w:r>
    </w:p>
    <w:p w14:paraId="7335B5DC"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Spinillo, A., Montanari, L., Sanpaolo, P., Bergante, C., Chiara, A., &amp; Fazzi, E. (2004). Fetal growth and infant neurodevelopmental outcome after preterm premature rupture of membranes.</w:t>
      </w:r>
      <w:r w:rsidRPr="00CC7E17">
        <w:rPr>
          <w:rFonts w:ascii="Arial" w:eastAsiaTheme="minorEastAsia" w:hAnsi="Arial" w:cs="Arial"/>
          <w:i/>
          <w:iCs/>
          <w:bdr w:val="none" w:sz="0" w:space="0" w:color="auto"/>
        </w:rPr>
        <w:t xml:space="preserve"> Obstetrics and Gynecology, 103</w:t>
      </w:r>
      <w:r w:rsidRPr="00CC7E17">
        <w:rPr>
          <w:rFonts w:ascii="Arial" w:eastAsiaTheme="minorEastAsia" w:hAnsi="Arial" w:cs="Arial"/>
          <w:bdr w:val="none" w:sz="0" w:space="0" w:color="auto"/>
        </w:rPr>
        <w:t>(6), 1286-1293. doi:10.1097/01.AOG.0000127706.78192.95</w:t>
      </w:r>
    </w:p>
    <w:p w14:paraId="6E8E9ED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Tan, T. Y., Taylor, M. J., Wee, L. Y., Vanderheyden, T., Wimalasundera, R., &amp; Fisk, N. M. (2004). Doppler for artery-artery anastomosis and stage-independent survival in twin-twin transfusion.</w:t>
      </w:r>
      <w:r w:rsidRPr="00CC7E17">
        <w:rPr>
          <w:rFonts w:ascii="Arial" w:eastAsiaTheme="minorEastAsia" w:hAnsi="Arial" w:cs="Arial"/>
          <w:i/>
          <w:iCs/>
          <w:bdr w:val="none" w:sz="0" w:space="0" w:color="auto"/>
        </w:rPr>
        <w:t xml:space="preserve"> Obstetrics and Gynecology, 103</w:t>
      </w:r>
      <w:r w:rsidRPr="00CC7E17">
        <w:rPr>
          <w:rFonts w:ascii="Arial" w:eastAsiaTheme="minorEastAsia" w:hAnsi="Arial" w:cs="Arial"/>
          <w:bdr w:val="none" w:sz="0" w:space="0" w:color="auto"/>
        </w:rPr>
        <w:t>(6), 1174-1180. doi:10.1097/01.AOG.0000127881.34144.d8</w:t>
      </w:r>
    </w:p>
    <w:p w14:paraId="706FDFB0"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Terent, A. (2003). Trends in stroke incidence and 10-year survival in soderhamn, sweden, 1975-2001.</w:t>
      </w:r>
      <w:r w:rsidRPr="00CC7E17">
        <w:rPr>
          <w:rFonts w:ascii="Arial" w:eastAsiaTheme="minorEastAsia" w:hAnsi="Arial" w:cs="Arial"/>
          <w:i/>
          <w:iCs/>
          <w:bdr w:val="none" w:sz="0" w:space="0" w:color="auto"/>
        </w:rPr>
        <w:t xml:space="preserve"> Stroke; a Journal of Cerebral Circulation, 34</w:t>
      </w:r>
      <w:r w:rsidRPr="00CC7E17">
        <w:rPr>
          <w:rFonts w:ascii="Arial" w:eastAsiaTheme="minorEastAsia" w:hAnsi="Arial" w:cs="Arial"/>
          <w:bdr w:val="none" w:sz="0" w:space="0" w:color="auto"/>
        </w:rPr>
        <w:t>(6), 1353-1358. doi:10.1161/01.STR.0000074038.71700.1C</w:t>
      </w:r>
    </w:p>
    <w:p w14:paraId="0EE5577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Vestergaard, M., Hviid, A., Madsen, K. M., Wohlfahrt, J., Thorsen, P., Schendel, D., et al. (2004). MMR vaccination and febrile seizures: Evaluation of susceptible subgroups and long-term prognosis.</w:t>
      </w:r>
      <w:r w:rsidRPr="00CC7E17">
        <w:rPr>
          <w:rFonts w:ascii="Arial" w:eastAsiaTheme="minorEastAsia" w:hAnsi="Arial" w:cs="Arial"/>
          <w:i/>
          <w:iCs/>
          <w:bdr w:val="none" w:sz="0" w:space="0" w:color="auto"/>
        </w:rPr>
        <w:t xml:space="preserve"> JAMA : The Journal of the American Medical Association, 292</w:t>
      </w:r>
      <w:r w:rsidRPr="00CC7E17">
        <w:rPr>
          <w:rFonts w:ascii="Arial" w:eastAsiaTheme="minorEastAsia" w:hAnsi="Arial" w:cs="Arial"/>
          <w:bdr w:val="none" w:sz="0" w:space="0" w:color="auto"/>
        </w:rPr>
        <w:t>(3), 351-357. doi:10.1001/jama.292.3.351</w:t>
      </w:r>
    </w:p>
    <w:p w14:paraId="3F62317C" w14:textId="0F58C201" w:rsidR="00C77297" w:rsidRPr="00CC7E17" w:rsidRDefault="00C77297" w:rsidP="0009624B">
      <w:pPr>
        <w:spacing w:line="360" w:lineRule="auto"/>
        <w:ind w:left="567" w:hanging="567"/>
        <w:rPr>
          <w:rFonts w:ascii="Arial" w:hAnsi="Arial" w:cs="Arial"/>
        </w:rPr>
      </w:pPr>
      <w:r w:rsidRPr="00CC7E17">
        <w:rPr>
          <w:rFonts w:ascii="Arial" w:eastAsiaTheme="minorEastAsia" w:hAnsi="Arial" w:cs="Arial"/>
          <w:bdr w:val="none" w:sz="0" w:space="0" w:color="auto"/>
        </w:rPr>
        <w:t>Wong, S. F., Chow, K. M., Leung, T. N., Ng, W. F., Ng, T. K., Shek, C. C., et al. (2004). Pregnancy and perinatal outcomes of women with severe acute respiratory syndrome.</w:t>
      </w:r>
      <w:r w:rsidRPr="00CC7E17">
        <w:rPr>
          <w:rFonts w:ascii="Arial" w:eastAsiaTheme="minorEastAsia" w:hAnsi="Arial" w:cs="Arial"/>
          <w:i/>
          <w:iCs/>
          <w:bdr w:val="none" w:sz="0" w:space="0" w:color="auto"/>
        </w:rPr>
        <w:t xml:space="preserve"> American Journal of Obstetrics and Gynecology, 191</w:t>
      </w:r>
      <w:r w:rsidRPr="00CC7E17">
        <w:rPr>
          <w:rFonts w:ascii="Arial" w:eastAsiaTheme="minorEastAsia" w:hAnsi="Arial" w:cs="Arial"/>
          <w:bdr w:val="none" w:sz="0" w:space="0" w:color="auto"/>
        </w:rPr>
        <w:t>(1), 292-297. doi:10.1016/j.ajog.2003.11.019</w:t>
      </w:r>
    </w:p>
    <w:p w14:paraId="35114122" w14:textId="77777777" w:rsidR="00C77297" w:rsidRPr="00CC7E17" w:rsidRDefault="00C77297" w:rsidP="0009624B">
      <w:pPr>
        <w:pStyle w:val="NoSpacing"/>
        <w:spacing w:line="360" w:lineRule="auto"/>
        <w:rPr>
          <w:rFonts w:ascii="Arial" w:hAnsi="Arial" w:cs="Arial"/>
        </w:rPr>
      </w:pPr>
    </w:p>
    <w:p w14:paraId="61B2E83C" w14:textId="1287E459" w:rsidR="006C5E8D" w:rsidRPr="00CC7E17" w:rsidRDefault="006C5E8D" w:rsidP="0009624B">
      <w:pPr>
        <w:pStyle w:val="Heading3"/>
        <w:spacing w:line="360" w:lineRule="auto"/>
        <w:rPr>
          <w:rFonts w:ascii="Arial" w:hAnsi="Arial" w:cs="Arial"/>
        </w:rPr>
      </w:pPr>
      <w:bookmarkStart w:id="57" w:name="_Toc286437141"/>
      <w:r w:rsidRPr="00CC7E17">
        <w:rPr>
          <w:rFonts w:ascii="Arial" w:hAnsi="Arial" w:cs="Arial"/>
        </w:rPr>
        <w:t>Articles From Feasibility Study</w:t>
      </w:r>
      <w:bookmarkEnd w:id="57"/>
      <w:r w:rsidRPr="00CC7E17">
        <w:rPr>
          <w:rFonts w:ascii="Arial" w:hAnsi="Arial" w:cs="Arial"/>
        </w:rPr>
        <w:t xml:space="preserve"> </w:t>
      </w:r>
    </w:p>
    <w:p w14:paraId="4174483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Aboyans, V., Desormais, I., Lacroix, P., Salazar, J., Criqui, M. H., &amp; Laskar, M. (2010). The general prognosis of patients with peripheral arterial disease differs according to the disease localization.</w:t>
      </w:r>
      <w:r w:rsidRPr="00CC7E17">
        <w:rPr>
          <w:rFonts w:ascii="Arial" w:eastAsiaTheme="minorEastAsia" w:hAnsi="Arial" w:cs="Arial"/>
          <w:i/>
          <w:iCs/>
          <w:bdr w:val="none" w:sz="0" w:space="0" w:color="auto"/>
        </w:rPr>
        <w:t xml:space="preserve"> Journal of the American College of Cardiology, 55</w:t>
      </w:r>
      <w:r w:rsidRPr="00CC7E17">
        <w:rPr>
          <w:rFonts w:ascii="Arial" w:eastAsiaTheme="minorEastAsia" w:hAnsi="Arial" w:cs="Arial"/>
          <w:bdr w:val="none" w:sz="0" w:space="0" w:color="auto"/>
        </w:rPr>
        <w:t>(9), 898-903. doi:10.1016/j.jacc.2009.09.055; 10.1016/j.jacc.2009.09.055</w:t>
      </w:r>
    </w:p>
    <w:p w14:paraId="2502540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Ahlstrom, A., Kuitunen, A., Peltonen, S., Hynninen, M., Tallgren, M., Aaltonen, J., et al. (2006). Comparison of 2 acute renal failure severity scores to general scoring systems in the critically ill.</w:t>
      </w:r>
      <w:r w:rsidRPr="00CC7E17">
        <w:rPr>
          <w:rFonts w:ascii="Arial" w:eastAsiaTheme="minorEastAsia" w:hAnsi="Arial" w:cs="Arial"/>
          <w:i/>
          <w:iCs/>
          <w:bdr w:val="none" w:sz="0" w:space="0" w:color="auto"/>
        </w:rPr>
        <w:t xml:space="preserve"> American Journal of Kidney Diseases : The Official Journal of the National Kidney Foundation, 48</w:t>
      </w:r>
      <w:r w:rsidRPr="00CC7E17">
        <w:rPr>
          <w:rFonts w:ascii="Arial" w:eastAsiaTheme="minorEastAsia" w:hAnsi="Arial" w:cs="Arial"/>
          <w:bdr w:val="none" w:sz="0" w:space="0" w:color="auto"/>
        </w:rPr>
        <w:t>(2), 262-268. doi:10.1053/j.ajkd.2006.04.086</w:t>
      </w:r>
    </w:p>
    <w:p w14:paraId="655E23F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Amin, R., Turner, C., van Aken, S., Bahu, T. K., Watts, A., Lindsell, D. R., et al. (2005). The relationship between microalbuminuria and glomerular filtration rate in young type 1 diabetic subjects: The oxford regional prospective study.</w:t>
      </w:r>
      <w:r w:rsidRPr="00CC7E17">
        <w:rPr>
          <w:rFonts w:ascii="Arial" w:eastAsiaTheme="minorEastAsia" w:hAnsi="Arial" w:cs="Arial"/>
          <w:i/>
          <w:iCs/>
          <w:bdr w:val="none" w:sz="0" w:space="0" w:color="auto"/>
        </w:rPr>
        <w:t xml:space="preserve"> Kidney International, 68</w:t>
      </w:r>
      <w:r w:rsidRPr="00CC7E17">
        <w:rPr>
          <w:rFonts w:ascii="Arial" w:eastAsiaTheme="minorEastAsia" w:hAnsi="Arial" w:cs="Arial"/>
          <w:bdr w:val="none" w:sz="0" w:space="0" w:color="auto"/>
        </w:rPr>
        <w:t>(4), 1740-1749. doi:10.1111/j.1523-1755.2005.00590.x</w:t>
      </w:r>
    </w:p>
    <w:p w14:paraId="6795FCD6"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Arvela, E., Soderstrom, M., Korhonen, M., Halmesmaki, K., Alback, A., Lepantalo, M., et al. (2010). Finnvasc score and modified prevent III score predict long-term outcome after infrainguinal surgical and endovascular revascularization for critical limb ischemia.</w:t>
      </w:r>
      <w:r w:rsidRPr="00CC7E17">
        <w:rPr>
          <w:rFonts w:ascii="Arial" w:eastAsiaTheme="minorEastAsia" w:hAnsi="Arial" w:cs="Arial"/>
          <w:i/>
          <w:iCs/>
          <w:bdr w:val="none" w:sz="0" w:space="0" w:color="auto"/>
        </w:rPr>
        <w:t xml:space="preserve"> Journal of Vascular Surgery, 52</w:t>
      </w:r>
      <w:r w:rsidRPr="00CC7E17">
        <w:rPr>
          <w:rFonts w:ascii="Arial" w:eastAsiaTheme="minorEastAsia" w:hAnsi="Arial" w:cs="Arial"/>
          <w:bdr w:val="none" w:sz="0" w:space="0" w:color="auto"/>
        </w:rPr>
        <w:t>(5), 1218-1225. doi:10.1016/j.jvs.2010.06.101; 10.1016/j.jvs.2010.06.101</w:t>
      </w:r>
    </w:p>
    <w:p w14:paraId="00119C9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Aujesky, D., Roy, P. M., Le Manach, C. P., Verschuren, F., Meyer, G., Obrosky, D. S., et al. (2006). Validation of a model to predict adverse outcomes in patients with pulmonary embolism.</w:t>
      </w:r>
      <w:r w:rsidRPr="00CC7E17">
        <w:rPr>
          <w:rFonts w:ascii="Arial" w:eastAsiaTheme="minorEastAsia" w:hAnsi="Arial" w:cs="Arial"/>
          <w:i/>
          <w:iCs/>
          <w:bdr w:val="none" w:sz="0" w:space="0" w:color="auto"/>
        </w:rPr>
        <w:t xml:space="preserve"> European Heart Journal, 27</w:t>
      </w:r>
      <w:r w:rsidRPr="00CC7E17">
        <w:rPr>
          <w:rFonts w:ascii="Arial" w:eastAsiaTheme="minorEastAsia" w:hAnsi="Arial" w:cs="Arial"/>
          <w:bdr w:val="none" w:sz="0" w:space="0" w:color="auto"/>
        </w:rPr>
        <w:t>(4), 476-481. doi:10.1093/eurheartj/ehi588</w:t>
      </w:r>
    </w:p>
    <w:p w14:paraId="3EB160E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Baber, U., Kini, A. S., Sharma, S. K., Kim, M. C., Farkouh, M. E., &amp; Muntner, P. (2009). Thrombolysis in myocardial infarction (TIMI) risk score and mortality in patients with advanced chronic kidney disease and on dialysis.</w:t>
      </w:r>
      <w:r w:rsidRPr="00CC7E17">
        <w:rPr>
          <w:rFonts w:ascii="Arial" w:eastAsiaTheme="minorEastAsia" w:hAnsi="Arial" w:cs="Arial"/>
          <w:i/>
          <w:iCs/>
          <w:bdr w:val="none" w:sz="0" w:space="0" w:color="auto"/>
        </w:rPr>
        <w:t xml:space="preserve"> The American Journal of Cardiology, 103</w:t>
      </w:r>
      <w:r w:rsidRPr="00CC7E17">
        <w:rPr>
          <w:rFonts w:ascii="Arial" w:eastAsiaTheme="minorEastAsia" w:hAnsi="Arial" w:cs="Arial"/>
          <w:bdr w:val="none" w:sz="0" w:space="0" w:color="auto"/>
        </w:rPr>
        <w:t>(11), 1513-1517. doi:10.1016/j.amjcard.2009.01.364; 10.1016/j.amjcard.2009.01.364</w:t>
      </w:r>
    </w:p>
    <w:p w14:paraId="35DFC7D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Berry, C., Hogg, K., Norrie, J., Stevenson, K., Brett, M., &amp; McMurray, J. (2005). Heart failure with preserved left ventricular systolic function: A hospital cohort study.</w:t>
      </w:r>
      <w:r w:rsidRPr="00CC7E17">
        <w:rPr>
          <w:rFonts w:ascii="Arial" w:eastAsiaTheme="minorEastAsia" w:hAnsi="Arial" w:cs="Arial"/>
          <w:i/>
          <w:iCs/>
          <w:bdr w:val="none" w:sz="0" w:space="0" w:color="auto"/>
        </w:rPr>
        <w:t xml:space="preserve"> Heart (British Cardiac Society), 91</w:t>
      </w:r>
      <w:r w:rsidRPr="00CC7E17">
        <w:rPr>
          <w:rFonts w:ascii="Arial" w:eastAsiaTheme="minorEastAsia" w:hAnsi="Arial" w:cs="Arial"/>
          <w:bdr w:val="none" w:sz="0" w:space="0" w:color="auto"/>
        </w:rPr>
        <w:t>(7), 907-913. doi:10.1136/hrt.2004.041996</w:t>
      </w:r>
    </w:p>
    <w:p w14:paraId="6502CB50"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Berry, S. D., Samelson, E. J., Hannan, M. T., McLean, R. R., Lu, M., Cupples, L. A., et al. (2007). Second hip fracture in older men and women: The framingham study.</w:t>
      </w:r>
      <w:r w:rsidRPr="00CC7E17">
        <w:rPr>
          <w:rFonts w:ascii="Arial" w:eastAsiaTheme="minorEastAsia" w:hAnsi="Arial" w:cs="Arial"/>
          <w:i/>
          <w:iCs/>
          <w:bdr w:val="none" w:sz="0" w:space="0" w:color="auto"/>
        </w:rPr>
        <w:t xml:space="preserve"> Archives of Internal Medicine, 167</w:t>
      </w:r>
      <w:r w:rsidRPr="00CC7E17">
        <w:rPr>
          <w:rFonts w:ascii="Arial" w:eastAsiaTheme="minorEastAsia" w:hAnsi="Arial" w:cs="Arial"/>
          <w:bdr w:val="none" w:sz="0" w:space="0" w:color="auto"/>
        </w:rPr>
        <w:t>(18), 1971-1976. doi:10.1001/archinte.167.18.1971</w:t>
      </w:r>
    </w:p>
    <w:p w14:paraId="373EA317"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Bhatti, F., Grayson, A. D., Grotte, G., Fabri, B. M., Au, J., Jones, M., et al. (2006). The logistic EuroSCORE in cardiac surgery: How well does it predict operative risk?</w:t>
      </w:r>
      <w:r w:rsidRPr="00CC7E17">
        <w:rPr>
          <w:rFonts w:ascii="Arial" w:eastAsiaTheme="minorEastAsia" w:hAnsi="Arial" w:cs="Arial"/>
          <w:i/>
          <w:iCs/>
          <w:bdr w:val="none" w:sz="0" w:space="0" w:color="auto"/>
        </w:rPr>
        <w:t xml:space="preserve"> Heart (British Cardiac Society), 92</w:t>
      </w:r>
      <w:r w:rsidRPr="00CC7E17">
        <w:rPr>
          <w:rFonts w:ascii="Arial" w:eastAsiaTheme="minorEastAsia" w:hAnsi="Arial" w:cs="Arial"/>
          <w:bdr w:val="none" w:sz="0" w:space="0" w:color="auto"/>
        </w:rPr>
        <w:t>(12), 1817-1820. doi:10.1136/hrt.2005.083204</w:t>
      </w:r>
    </w:p>
    <w:p w14:paraId="790379D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Conell-Price, J., Evans, J. B., Hong, D., Shafer, S., &amp; Flood, P. (2008). The development and validation of a dynamic model to account for the progress of labor in the assessment of pain.</w:t>
      </w:r>
      <w:r w:rsidRPr="00CC7E17">
        <w:rPr>
          <w:rFonts w:ascii="Arial" w:eastAsiaTheme="minorEastAsia" w:hAnsi="Arial" w:cs="Arial"/>
          <w:i/>
          <w:iCs/>
          <w:bdr w:val="none" w:sz="0" w:space="0" w:color="auto"/>
        </w:rPr>
        <w:t xml:space="preserve"> Anesthesia and Analgesia, 106</w:t>
      </w:r>
      <w:r w:rsidRPr="00CC7E17">
        <w:rPr>
          <w:rFonts w:ascii="Arial" w:eastAsiaTheme="minorEastAsia" w:hAnsi="Arial" w:cs="Arial"/>
          <w:bdr w:val="none" w:sz="0" w:space="0" w:color="auto"/>
        </w:rPr>
        <w:t>(5), 1509-15, table of contents. doi:10.1213/ane.0b013e31816d14f3; 10.1213/ane.0b013e31816d14f3</w:t>
      </w:r>
    </w:p>
    <w:p w14:paraId="1565970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Dyer, P. J., &amp; Davis, N. (2006). The role of the pirani scoring system in the management of club foot by the ponseti method.</w:t>
      </w:r>
      <w:r w:rsidRPr="00CC7E17">
        <w:rPr>
          <w:rFonts w:ascii="Arial" w:eastAsiaTheme="minorEastAsia" w:hAnsi="Arial" w:cs="Arial"/>
          <w:i/>
          <w:iCs/>
          <w:bdr w:val="none" w:sz="0" w:space="0" w:color="auto"/>
        </w:rPr>
        <w:t xml:space="preserve"> The Journal of Bone and Joint Surgery.British Volume, 88</w:t>
      </w:r>
      <w:r w:rsidRPr="00CC7E17">
        <w:rPr>
          <w:rFonts w:ascii="Arial" w:eastAsiaTheme="minorEastAsia" w:hAnsi="Arial" w:cs="Arial"/>
          <w:bdr w:val="none" w:sz="0" w:space="0" w:color="auto"/>
        </w:rPr>
        <w:t>(8), 1082-1084. doi:10.1302/0301-620X.88B8.17482</w:t>
      </w:r>
    </w:p>
    <w:p w14:paraId="755EC4DF"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Escher, F., Westermann, D., Gaub, R., Pronk, J., Bock, T., Al-Saadi, N., et al. (2011). Development of diastolic heart failure in a 6-year follow-up study in patients after acute myocarditis.</w:t>
      </w:r>
      <w:r w:rsidRPr="00CC7E17">
        <w:rPr>
          <w:rFonts w:ascii="Arial" w:eastAsiaTheme="minorEastAsia" w:hAnsi="Arial" w:cs="Arial"/>
          <w:i/>
          <w:iCs/>
          <w:bdr w:val="none" w:sz="0" w:space="0" w:color="auto"/>
        </w:rPr>
        <w:t xml:space="preserve"> Heart (British Cardiac Society), 97</w:t>
      </w:r>
      <w:r w:rsidRPr="00CC7E17">
        <w:rPr>
          <w:rFonts w:ascii="Arial" w:eastAsiaTheme="minorEastAsia" w:hAnsi="Arial" w:cs="Arial"/>
          <w:bdr w:val="none" w:sz="0" w:space="0" w:color="auto"/>
        </w:rPr>
        <w:t>(9), 709-714. doi:10.1136/hrt.2010.199489; 10.1136/hrt.2010.199489</w:t>
      </w:r>
    </w:p>
    <w:p w14:paraId="4FB3921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Franklin, J., Lunt, M., Bunn, D., Symmons, D., &amp; Silman, A. (2007). Risk and predictors of infection leading to hospitalisation in a large primary-care-derived cohort of patients with inflammatory polyarthritis.</w:t>
      </w:r>
      <w:r w:rsidRPr="00CC7E17">
        <w:rPr>
          <w:rFonts w:ascii="Arial" w:eastAsiaTheme="minorEastAsia" w:hAnsi="Arial" w:cs="Arial"/>
          <w:i/>
          <w:iCs/>
          <w:bdr w:val="none" w:sz="0" w:space="0" w:color="auto"/>
        </w:rPr>
        <w:t xml:space="preserve"> Annals of the Rheumatic Diseases, 66</w:t>
      </w:r>
      <w:r w:rsidRPr="00CC7E17">
        <w:rPr>
          <w:rFonts w:ascii="Arial" w:eastAsiaTheme="minorEastAsia" w:hAnsi="Arial" w:cs="Arial"/>
          <w:bdr w:val="none" w:sz="0" w:space="0" w:color="auto"/>
        </w:rPr>
        <w:t>(3), 308-312. doi:10.1136/ard.2006.057265</w:t>
      </w:r>
    </w:p>
    <w:p w14:paraId="36F8C949"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Groth, S. W. (2008). The long-term impact of adolescent gestational weight gain.</w:t>
      </w:r>
      <w:r w:rsidRPr="00CC7E17">
        <w:rPr>
          <w:rFonts w:ascii="Arial" w:eastAsiaTheme="minorEastAsia" w:hAnsi="Arial" w:cs="Arial"/>
          <w:i/>
          <w:iCs/>
          <w:bdr w:val="none" w:sz="0" w:space="0" w:color="auto"/>
        </w:rPr>
        <w:t xml:space="preserve"> Research in Nursing &amp; Health, 31</w:t>
      </w:r>
      <w:r w:rsidRPr="00CC7E17">
        <w:rPr>
          <w:rFonts w:ascii="Arial" w:eastAsiaTheme="minorEastAsia" w:hAnsi="Arial" w:cs="Arial"/>
          <w:bdr w:val="none" w:sz="0" w:space="0" w:color="auto"/>
        </w:rPr>
        <w:t>(2), 108-118. doi:10.1002/nur.20243; 10.1002/nur.20243</w:t>
      </w:r>
    </w:p>
    <w:p w14:paraId="014EC732"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Harbarth, S., Sax, H., Uckay, I., Fankhauser, C., Agostinho, A., Christenson, J. T., et al. (2008). A predictive model for identifying surgical patients at risk of methicillin-resistant staphylococcus aureus carriage on admission.</w:t>
      </w:r>
      <w:r w:rsidRPr="00CC7E17">
        <w:rPr>
          <w:rFonts w:ascii="Arial" w:eastAsiaTheme="minorEastAsia" w:hAnsi="Arial" w:cs="Arial"/>
          <w:i/>
          <w:iCs/>
          <w:bdr w:val="none" w:sz="0" w:space="0" w:color="auto"/>
        </w:rPr>
        <w:t xml:space="preserve"> Journal of the American College of Surgeons, 207</w:t>
      </w:r>
      <w:r w:rsidRPr="00CC7E17">
        <w:rPr>
          <w:rFonts w:ascii="Arial" w:eastAsiaTheme="minorEastAsia" w:hAnsi="Arial" w:cs="Arial"/>
          <w:bdr w:val="none" w:sz="0" w:space="0" w:color="auto"/>
        </w:rPr>
        <w:t>(5), 683-689. doi:10.1016/j.jamcollsurg.2008.05.023; 10.1016/j.jamcollsurg.2008.05.023</w:t>
      </w:r>
    </w:p>
    <w:p w14:paraId="463C7C3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HIV Paediatric Prognostic Markers Collaborative Study. (2005). Use of total lymphocyte count for informing when to start antiretroviral therapy in HIV-infected children: A meta-analysis of longitudinal data.</w:t>
      </w:r>
      <w:r w:rsidRPr="00CC7E17">
        <w:rPr>
          <w:rFonts w:ascii="Arial" w:eastAsiaTheme="minorEastAsia" w:hAnsi="Arial" w:cs="Arial"/>
          <w:i/>
          <w:iCs/>
          <w:bdr w:val="none" w:sz="0" w:space="0" w:color="auto"/>
        </w:rPr>
        <w:t xml:space="preserve"> Lancet, 366</w:t>
      </w:r>
      <w:r w:rsidRPr="00CC7E17">
        <w:rPr>
          <w:rFonts w:ascii="Arial" w:eastAsiaTheme="minorEastAsia" w:hAnsi="Arial" w:cs="Arial"/>
          <w:bdr w:val="none" w:sz="0" w:space="0" w:color="auto"/>
        </w:rPr>
        <w:t>(9500), 1868-1874. doi:10.1016/S0140-6736(05)67757-4</w:t>
      </w:r>
    </w:p>
    <w:p w14:paraId="1975320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Hustey, F. M., Mion, L. C., Connor, J. T., Emerman, C. L., Campbell, J., &amp; Palmer, R. M. (2007). A brief risk stratification tool to predict functional decline in older adults discharged from emergency departments.</w:t>
      </w:r>
      <w:r w:rsidRPr="00CC7E17">
        <w:rPr>
          <w:rFonts w:ascii="Arial" w:eastAsiaTheme="minorEastAsia" w:hAnsi="Arial" w:cs="Arial"/>
          <w:i/>
          <w:iCs/>
          <w:bdr w:val="none" w:sz="0" w:space="0" w:color="auto"/>
        </w:rPr>
        <w:t xml:space="preserve"> Journal of the American Geriatrics Society, 55</w:t>
      </w:r>
      <w:r w:rsidRPr="00CC7E17">
        <w:rPr>
          <w:rFonts w:ascii="Arial" w:eastAsiaTheme="minorEastAsia" w:hAnsi="Arial" w:cs="Arial"/>
          <w:bdr w:val="none" w:sz="0" w:space="0" w:color="auto"/>
        </w:rPr>
        <w:t>(8), 1269-1274. doi:10.1111/j.1532-5415.2007.01272.x</w:t>
      </w:r>
    </w:p>
    <w:p w14:paraId="400D0DC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Ibrahim, H. N., Foley, R., Tan, L., Rogers, T., Bailey, R. F., Guo, H., et al. (2009). Long-term consequences of kidney donation.</w:t>
      </w:r>
      <w:r w:rsidRPr="00CC7E17">
        <w:rPr>
          <w:rFonts w:ascii="Arial" w:eastAsiaTheme="minorEastAsia" w:hAnsi="Arial" w:cs="Arial"/>
          <w:i/>
          <w:iCs/>
          <w:bdr w:val="none" w:sz="0" w:space="0" w:color="auto"/>
        </w:rPr>
        <w:t xml:space="preserve"> The New England Journal of Medicine, 360</w:t>
      </w:r>
      <w:r w:rsidRPr="00CC7E17">
        <w:rPr>
          <w:rFonts w:ascii="Arial" w:eastAsiaTheme="minorEastAsia" w:hAnsi="Arial" w:cs="Arial"/>
          <w:bdr w:val="none" w:sz="0" w:space="0" w:color="auto"/>
        </w:rPr>
        <w:t>(5), 459-469. doi:10.1056/NEJMoa0804883; 10.1056/NEJMoa0804883</w:t>
      </w:r>
    </w:p>
    <w:p w14:paraId="4FD5B5CD"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Liu, M. C., Shields, P. G., Warren, R. D., Cohen, P., Wilkinson, M., Ottaviano, Y. L., et al. (2009). Circulating tumor cells: A useful predictor of treatment efficacy in metastatic breast cancer.</w:t>
      </w:r>
      <w:r w:rsidRPr="00CC7E17">
        <w:rPr>
          <w:rFonts w:ascii="Arial" w:eastAsiaTheme="minorEastAsia" w:hAnsi="Arial" w:cs="Arial"/>
          <w:i/>
          <w:iCs/>
          <w:bdr w:val="none" w:sz="0" w:space="0" w:color="auto"/>
        </w:rPr>
        <w:t xml:space="preserve"> Journal of Clinical Oncology : Official Journal of the American Society of Clinical Oncology, 27</w:t>
      </w:r>
      <w:r w:rsidRPr="00CC7E17">
        <w:rPr>
          <w:rFonts w:ascii="Arial" w:eastAsiaTheme="minorEastAsia" w:hAnsi="Arial" w:cs="Arial"/>
          <w:bdr w:val="none" w:sz="0" w:space="0" w:color="auto"/>
        </w:rPr>
        <w:t>(31), 5153-5159. doi:10.1200/JCO.2008.20.6664; 10.1200/JCO.2008.20.6664</w:t>
      </w:r>
    </w:p>
    <w:p w14:paraId="54AC49A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Nicola, P. J., Crowson, C. S., Maradit-Kremers, H., Ballman, K. V., Roger, V. L., Jacobsen, S. J., et al. (2006). Contribution of congestive heart failure and ischemic heart disease to excess mortality in rheumatoid arthritis.</w:t>
      </w:r>
      <w:r w:rsidRPr="00CC7E17">
        <w:rPr>
          <w:rFonts w:ascii="Arial" w:eastAsiaTheme="minorEastAsia" w:hAnsi="Arial" w:cs="Arial"/>
          <w:i/>
          <w:iCs/>
          <w:bdr w:val="none" w:sz="0" w:space="0" w:color="auto"/>
        </w:rPr>
        <w:t xml:space="preserve"> Arthritis and Rheumatism, 54</w:t>
      </w:r>
      <w:r w:rsidRPr="00CC7E17">
        <w:rPr>
          <w:rFonts w:ascii="Arial" w:eastAsiaTheme="minorEastAsia" w:hAnsi="Arial" w:cs="Arial"/>
          <w:bdr w:val="none" w:sz="0" w:space="0" w:color="auto"/>
        </w:rPr>
        <w:t>(1), 60-67. doi:10.1002/art.21560</w:t>
      </w:r>
    </w:p>
    <w:p w14:paraId="7092266A"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Reid, J. M., Gubitz, G. J., Dai, D., Kydd, D., Eskes, G., Reidy, Y., et al. (2010). Predicting functional outcome after stroke by modelling baseline clinical and CT variables.</w:t>
      </w:r>
      <w:r w:rsidRPr="00CC7E17">
        <w:rPr>
          <w:rFonts w:ascii="Arial" w:eastAsiaTheme="minorEastAsia" w:hAnsi="Arial" w:cs="Arial"/>
          <w:i/>
          <w:iCs/>
          <w:bdr w:val="none" w:sz="0" w:space="0" w:color="auto"/>
        </w:rPr>
        <w:t xml:space="preserve"> Age and Ageing, 39</w:t>
      </w:r>
      <w:r w:rsidRPr="00CC7E17">
        <w:rPr>
          <w:rFonts w:ascii="Arial" w:eastAsiaTheme="minorEastAsia" w:hAnsi="Arial" w:cs="Arial"/>
          <w:bdr w:val="none" w:sz="0" w:space="0" w:color="auto"/>
        </w:rPr>
        <w:t>(3), 360-366. doi:10.1093/ageing/afq027; 10.1093/ageing/afq027</w:t>
      </w:r>
    </w:p>
    <w:p w14:paraId="31D8AACB"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Robinson, C. J., Swift, S., Johnson, D. D., &amp; Almeida, J. S. (2008). Prediction of pelvic organ prolapse using an artificial neural network.</w:t>
      </w:r>
      <w:r w:rsidRPr="00CC7E17">
        <w:rPr>
          <w:rFonts w:ascii="Arial" w:eastAsiaTheme="minorEastAsia" w:hAnsi="Arial" w:cs="Arial"/>
          <w:i/>
          <w:iCs/>
          <w:bdr w:val="none" w:sz="0" w:space="0" w:color="auto"/>
        </w:rPr>
        <w:t xml:space="preserve"> American Journal of Obstetrics and Gynecology, 199</w:t>
      </w:r>
      <w:r w:rsidRPr="00CC7E17">
        <w:rPr>
          <w:rFonts w:ascii="Arial" w:eastAsiaTheme="minorEastAsia" w:hAnsi="Arial" w:cs="Arial"/>
          <w:bdr w:val="none" w:sz="0" w:space="0" w:color="auto"/>
        </w:rPr>
        <w:t>(2), 193.e1-193.e6. doi:10.1016/j.ajog.2008.04.029; 10.1016/j.ajog.2008.04.029</w:t>
      </w:r>
    </w:p>
    <w:p w14:paraId="601CF20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Rossi, M. C., Lucisano, G., Comaschi, M., Coscelli, C., Cucinotta, D., Di Blasi, P., et al. (2011). Quality of diabetes care predicts the development of cardiovascular events: Results of the AMD-QUASAR study.</w:t>
      </w:r>
      <w:r w:rsidRPr="00CC7E17">
        <w:rPr>
          <w:rFonts w:ascii="Arial" w:eastAsiaTheme="minorEastAsia" w:hAnsi="Arial" w:cs="Arial"/>
          <w:i/>
          <w:iCs/>
          <w:bdr w:val="none" w:sz="0" w:space="0" w:color="auto"/>
        </w:rPr>
        <w:t xml:space="preserve"> Diabetes Care, 34</w:t>
      </w:r>
      <w:r w:rsidRPr="00CC7E17">
        <w:rPr>
          <w:rFonts w:ascii="Arial" w:eastAsiaTheme="minorEastAsia" w:hAnsi="Arial" w:cs="Arial"/>
          <w:bdr w:val="none" w:sz="0" w:space="0" w:color="auto"/>
        </w:rPr>
        <w:t>(2), 347-352. doi:10.2337/dc10-1709; 10.2337/dc10-1709</w:t>
      </w:r>
    </w:p>
    <w:p w14:paraId="517CFC69"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Schulzke, S. M., Deshpande, G. C., &amp; Patole, S. K. (2007). Neurodevelopmental outcomes of very low-birth-weight infants with necrotizing enterocolitis: A systematic review of observational studies.</w:t>
      </w:r>
      <w:r w:rsidRPr="00CC7E17">
        <w:rPr>
          <w:rFonts w:ascii="Arial" w:eastAsiaTheme="minorEastAsia" w:hAnsi="Arial" w:cs="Arial"/>
          <w:i/>
          <w:iCs/>
          <w:bdr w:val="none" w:sz="0" w:space="0" w:color="auto"/>
        </w:rPr>
        <w:t xml:space="preserve"> Archives of Pediatrics &amp; Adolescent Medicine, 161</w:t>
      </w:r>
      <w:r w:rsidRPr="00CC7E17">
        <w:rPr>
          <w:rFonts w:ascii="Arial" w:eastAsiaTheme="minorEastAsia" w:hAnsi="Arial" w:cs="Arial"/>
          <w:bdr w:val="none" w:sz="0" w:space="0" w:color="auto"/>
        </w:rPr>
        <w:t>(6), 583-590. doi:10.1001/archpedi.161.6.583</w:t>
      </w:r>
    </w:p>
    <w:p w14:paraId="42EC1F23"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Tanno, S., Nakano, Y., Nishikawa, T., Nakamura, K., Sasajima, J., Minoguchi, M., et al. (2008). Natural history of branch duct intraductal papillary-mucinous neoplasms of the pancreas without mural nodules: Long-term follow-up results.</w:t>
      </w:r>
      <w:r w:rsidRPr="00CC7E17">
        <w:rPr>
          <w:rFonts w:ascii="Arial" w:eastAsiaTheme="minorEastAsia" w:hAnsi="Arial" w:cs="Arial"/>
          <w:i/>
          <w:iCs/>
          <w:bdr w:val="none" w:sz="0" w:space="0" w:color="auto"/>
        </w:rPr>
        <w:t xml:space="preserve"> Gut, 57</w:t>
      </w:r>
      <w:r w:rsidRPr="00CC7E17">
        <w:rPr>
          <w:rFonts w:ascii="Arial" w:eastAsiaTheme="minorEastAsia" w:hAnsi="Arial" w:cs="Arial"/>
          <w:bdr w:val="none" w:sz="0" w:space="0" w:color="auto"/>
        </w:rPr>
        <w:t>(3), 339-343. doi:10.1136/gut.2007.129684</w:t>
      </w:r>
    </w:p>
    <w:p w14:paraId="77735721"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Tonelli, M., Wiebe, N., Culleton, B., House, A., Rabbat, C., Fok, M., et al. (2006). Chronic kidney disease and mortality risk: A systematic review.</w:t>
      </w:r>
      <w:r w:rsidRPr="00CC7E17">
        <w:rPr>
          <w:rFonts w:ascii="Arial" w:eastAsiaTheme="minorEastAsia" w:hAnsi="Arial" w:cs="Arial"/>
          <w:i/>
          <w:iCs/>
          <w:bdr w:val="none" w:sz="0" w:space="0" w:color="auto"/>
        </w:rPr>
        <w:t xml:space="preserve"> Journal of the American Society of Nephrology : JASN, 17</w:t>
      </w:r>
      <w:r w:rsidRPr="00CC7E17">
        <w:rPr>
          <w:rFonts w:ascii="Arial" w:eastAsiaTheme="minorEastAsia" w:hAnsi="Arial" w:cs="Arial"/>
          <w:bdr w:val="none" w:sz="0" w:space="0" w:color="auto"/>
        </w:rPr>
        <w:t>(7), 2034-2047. doi:10.1681/ASN.2005101085</w:t>
      </w:r>
    </w:p>
    <w:p w14:paraId="1EE28FE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Varpula, M., Pulkki, K., Karlsson, S., Ruokonen, E., Pettila, V., &amp; FINNSEPSIS Study Group. (2007). Predictive value of N-terminal pro-brain natriuretic peptide in severe sepsis and septic shock.</w:t>
      </w:r>
      <w:r w:rsidRPr="00CC7E17">
        <w:rPr>
          <w:rFonts w:ascii="Arial" w:eastAsiaTheme="minorEastAsia" w:hAnsi="Arial" w:cs="Arial"/>
          <w:i/>
          <w:iCs/>
          <w:bdr w:val="none" w:sz="0" w:space="0" w:color="auto"/>
        </w:rPr>
        <w:t xml:space="preserve"> Critical Care Medicine, 35</w:t>
      </w:r>
      <w:r w:rsidRPr="00CC7E17">
        <w:rPr>
          <w:rFonts w:ascii="Arial" w:eastAsiaTheme="minorEastAsia" w:hAnsi="Arial" w:cs="Arial"/>
          <w:bdr w:val="none" w:sz="0" w:space="0" w:color="auto"/>
        </w:rPr>
        <w:t>(5), 1277-1283. doi:10.1097/01.CCM.0000261893.72811.0F</w:t>
      </w:r>
    </w:p>
    <w:p w14:paraId="74B6DDE4"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Wald, R., Quinn, R. R., Luo, J., Li, P., Scales, D. C., Mamdani, M. M., et al. (2009). Chronic dialysis and death among survivors of acute kidney injury requiring dialysis.</w:t>
      </w:r>
      <w:r w:rsidRPr="00CC7E17">
        <w:rPr>
          <w:rFonts w:ascii="Arial" w:eastAsiaTheme="minorEastAsia" w:hAnsi="Arial" w:cs="Arial"/>
          <w:i/>
          <w:iCs/>
          <w:bdr w:val="none" w:sz="0" w:space="0" w:color="auto"/>
        </w:rPr>
        <w:t xml:space="preserve"> JAMA : The Journal of the American Medical Association, 302</w:t>
      </w:r>
      <w:r w:rsidRPr="00CC7E17">
        <w:rPr>
          <w:rFonts w:ascii="Arial" w:eastAsiaTheme="minorEastAsia" w:hAnsi="Arial" w:cs="Arial"/>
          <w:bdr w:val="none" w:sz="0" w:space="0" w:color="auto"/>
        </w:rPr>
        <w:t>(11), 1179-1185. doi:10.1001/jama.2009.1322; 10.1001/jama.2009.1322</w:t>
      </w:r>
    </w:p>
    <w:p w14:paraId="266B5948"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Walden, R. V., Taylor, S. C., Hansen, N. I., Poole, W. K., Stoll, B. J., Abuelo, D., et al. (2007). Major congenital anomalies place extremely low birth weight infants at higher risk for poor growth and developmental outcomes.</w:t>
      </w:r>
      <w:r w:rsidRPr="00CC7E17">
        <w:rPr>
          <w:rFonts w:ascii="Arial" w:eastAsiaTheme="minorEastAsia" w:hAnsi="Arial" w:cs="Arial"/>
          <w:i/>
          <w:iCs/>
          <w:bdr w:val="none" w:sz="0" w:space="0" w:color="auto"/>
        </w:rPr>
        <w:t xml:space="preserve"> Pediatrics, 120</w:t>
      </w:r>
      <w:r w:rsidRPr="00CC7E17">
        <w:rPr>
          <w:rFonts w:ascii="Arial" w:eastAsiaTheme="minorEastAsia" w:hAnsi="Arial" w:cs="Arial"/>
          <w:bdr w:val="none" w:sz="0" w:space="0" w:color="auto"/>
        </w:rPr>
        <w:t>(6), e1512-9. doi:10.1542/peds.2007-0354</w:t>
      </w:r>
    </w:p>
    <w:p w14:paraId="7F4CF6E5" w14:textId="77777777" w:rsidR="00C77297" w:rsidRPr="00CC7E17" w:rsidRDefault="00C77297" w:rsidP="000962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600" w:hanging="600"/>
        <w:rPr>
          <w:rFonts w:ascii="Arial" w:eastAsiaTheme="minorEastAsia" w:hAnsi="Arial" w:cs="Arial"/>
          <w:bdr w:val="none" w:sz="0" w:space="0" w:color="auto"/>
        </w:rPr>
      </w:pPr>
      <w:r w:rsidRPr="00CC7E17">
        <w:rPr>
          <w:rFonts w:ascii="Arial" w:eastAsiaTheme="minorEastAsia" w:hAnsi="Arial" w:cs="Arial"/>
          <w:bdr w:val="none" w:sz="0" w:space="0" w:color="auto"/>
        </w:rPr>
        <w:t>Worley, K. C., McIntire, D. D., &amp; Leveno, K. J. (2009). The prognosis for spontaneous labor in women with uncomplicated term pregnancies: Implications for cesarean delivery on maternal request.</w:t>
      </w:r>
      <w:r w:rsidRPr="00CC7E17">
        <w:rPr>
          <w:rFonts w:ascii="Arial" w:eastAsiaTheme="minorEastAsia" w:hAnsi="Arial" w:cs="Arial"/>
          <w:i/>
          <w:iCs/>
          <w:bdr w:val="none" w:sz="0" w:space="0" w:color="auto"/>
        </w:rPr>
        <w:t xml:space="preserve"> Obstetrics and Gynecology, 113</w:t>
      </w:r>
      <w:r w:rsidRPr="00CC7E17">
        <w:rPr>
          <w:rFonts w:ascii="Arial" w:eastAsiaTheme="minorEastAsia" w:hAnsi="Arial" w:cs="Arial"/>
          <w:bdr w:val="none" w:sz="0" w:space="0" w:color="auto"/>
        </w:rPr>
        <w:t>(4), 812-816. doi:10.1097/AOG.0b013e31819c82cc; 10.1097/AOG.0b013e31819c82cc</w:t>
      </w:r>
    </w:p>
    <w:p w14:paraId="08FF8D33" w14:textId="46A8A3EE" w:rsidR="006C5E8D" w:rsidRPr="00CC7E17" w:rsidRDefault="00C77297" w:rsidP="0009624B">
      <w:pPr>
        <w:pStyle w:val="NoSpacing"/>
        <w:spacing w:line="360" w:lineRule="auto"/>
        <w:ind w:left="567" w:hanging="567"/>
        <w:rPr>
          <w:rFonts w:ascii="Arial" w:hAnsi="Arial" w:cs="Arial"/>
        </w:rPr>
      </w:pPr>
      <w:r w:rsidRPr="00CC7E17">
        <w:rPr>
          <w:rFonts w:ascii="Arial" w:hAnsi="Arial" w:cs="Arial"/>
          <w:bdr w:val="none" w:sz="0" w:space="0" w:color="auto"/>
        </w:rPr>
        <w:t>Zintzaras, E., &amp; Kaditis, A. G. (2007). Sleep-disordered breathing and blood pressure in children: A meta-analysis.</w:t>
      </w:r>
      <w:r w:rsidRPr="00CC7E17">
        <w:rPr>
          <w:rFonts w:ascii="Arial" w:hAnsi="Arial" w:cs="Arial"/>
          <w:i/>
          <w:iCs/>
          <w:bdr w:val="none" w:sz="0" w:space="0" w:color="auto"/>
        </w:rPr>
        <w:t xml:space="preserve"> Archives of Pediatrics &amp; Adolescent Medicine, 161</w:t>
      </w:r>
      <w:r w:rsidRPr="00CC7E17">
        <w:rPr>
          <w:rFonts w:ascii="Arial" w:hAnsi="Arial" w:cs="Arial"/>
          <w:bdr w:val="none" w:sz="0" w:space="0" w:color="auto"/>
        </w:rPr>
        <w:t>(2), 172-178. doi:10.1001/archpedi.161.2.172</w:t>
      </w:r>
    </w:p>
    <w:p w14:paraId="4ED89426" w14:textId="77777777" w:rsidR="006C5E8D" w:rsidRPr="00CC7E17" w:rsidRDefault="006C5E8D" w:rsidP="0009624B">
      <w:pPr>
        <w:pStyle w:val="Heading2"/>
        <w:spacing w:line="360" w:lineRule="auto"/>
        <w:rPr>
          <w:rFonts w:ascii="Arial" w:eastAsia="Arial Unicode MS" w:hAnsi="Arial" w:cs="Arial"/>
          <w:lang w:val="en-US"/>
        </w:rPr>
      </w:pPr>
    </w:p>
    <w:p w14:paraId="65B85F9A" w14:textId="77777777" w:rsidR="006C5E8D" w:rsidRPr="00CC7E17" w:rsidRDefault="006C5E8D" w:rsidP="0009624B">
      <w:pPr>
        <w:pStyle w:val="Heading2"/>
        <w:spacing w:line="360" w:lineRule="auto"/>
        <w:rPr>
          <w:rFonts w:ascii="Arial" w:eastAsia="Arial Unicode MS" w:hAnsi="Arial" w:cs="Arial"/>
          <w:lang w:val="en-US"/>
        </w:rPr>
      </w:pPr>
    </w:p>
    <w:p w14:paraId="6D388310" w14:textId="77777777" w:rsidR="006C5E8D" w:rsidRPr="00CC7E17" w:rsidRDefault="006C5E8D" w:rsidP="0009624B">
      <w:pPr>
        <w:pStyle w:val="Heading2"/>
        <w:spacing w:line="360" w:lineRule="auto"/>
        <w:rPr>
          <w:rFonts w:ascii="Arial" w:eastAsia="Arial Unicode MS" w:hAnsi="Arial" w:cs="Arial"/>
          <w:lang w:val="en-US"/>
        </w:rPr>
      </w:pPr>
    </w:p>
    <w:p w14:paraId="2C090123" w14:textId="77777777" w:rsidR="006C5E8D" w:rsidRPr="00CC7E17" w:rsidRDefault="006C5E8D" w:rsidP="0009624B">
      <w:pPr>
        <w:pStyle w:val="Heading2"/>
        <w:spacing w:line="360" w:lineRule="auto"/>
        <w:rPr>
          <w:rFonts w:ascii="Arial" w:eastAsia="Arial Unicode MS" w:hAnsi="Arial" w:cs="Arial"/>
          <w:lang w:val="en-US"/>
        </w:rPr>
      </w:pPr>
    </w:p>
    <w:p w14:paraId="707D6D29" w14:textId="77777777" w:rsidR="006C5E8D" w:rsidRPr="00CC7E17" w:rsidRDefault="006C5E8D" w:rsidP="0009624B">
      <w:pPr>
        <w:pStyle w:val="Heading2"/>
        <w:spacing w:line="360" w:lineRule="auto"/>
        <w:rPr>
          <w:rFonts w:ascii="Arial" w:eastAsia="Arial Unicode MS" w:hAnsi="Arial" w:cs="Arial"/>
          <w:lang w:val="en-US"/>
        </w:rPr>
      </w:pPr>
    </w:p>
    <w:p w14:paraId="7B02BE76" w14:textId="77777777" w:rsidR="006C5E8D" w:rsidRPr="00CC7E17" w:rsidRDefault="006C5E8D" w:rsidP="0009624B">
      <w:pPr>
        <w:pStyle w:val="Heading2"/>
        <w:spacing w:line="360" w:lineRule="auto"/>
        <w:rPr>
          <w:rFonts w:ascii="Arial" w:eastAsia="Arial Unicode MS" w:hAnsi="Arial" w:cs="Arial"/>
          <w:lang w:val="en-US"/>
        </w:rPr>
      </w:pPr>
    </w:p>
    <w:p w14:paraId="630086A9" w14:textId="77777777" w:rsidR="004873C3" w:rsidRPr="00CC7E17" w:rsidRDefault="004873C3" w:rsidP="0009624B">
      <w:pPr>
        <w:pStyle w:val="Heading1"/>
        <w:spacing w:line="360" w:lineRule="auto"/>
        <w:rPr>
          <w:rFonts w:ascii="Arial" w:hAnsi="Arial" w:cs="Arial"/>
        </w:rPr>
      </w:pPr>
      <w:bookmarkStart w:id="58" w:name="_Ref271784486"/>
      <w:bookmarkStart w:id="59" w:name="_Toc286437142"/>
      <w:r w:rsidRPr="00CC7E17">
        <w:rPr>
          <w:rFonts w:ascii="Arial" w:hAnsi="Arial" w:cs="Arial"/>
        </w:rPr>
        <w:t>Appendix 1</w:t>
      </w:r>
      <w:bookmarkEnd w:id="58"/>
      <w:bookmarkEnd w:id="59"/>
      <w:r w:rsidRPr="00CC7E17">
        <w:rPr>
          <w:rFonts w:ascii="Arial" w:hAnsi="Arial" w:cs="Arial"/>
        </w:rPr>
        <w:t xml:space="preserve"> </w:t>
      </w:r>
    </w:p>
    <w:p w14:paraId="263ADD42" w14:textId="331809E0" w:rsidR="004873C3" w:rsidRPr="00CC7E17" w:rsidRDefault="009142A3" w:rsidP="0009624B">
      <w:pPr>
        <w:pStyle w:val="Heading3"/>
        <w:spacing w:line="360" w:lineRule="auto"/>
        <w:rPr>
          <w:rFonts w:ascii="Arial" w:hAnsi="Arial" w:cs="Arial"/>
        </w:rPr>
      </w:pPr>
      <w:bookmarkStart w:id="60" w:name="_Toc286437143"/>
      <w:r w:rsidRPr="00CC7E17">
        <w:rPr>
          <w:rFonts w:ascii="Arial" w:hAnsi="Arial" w:cs="Arial"/>
        </w:rPr>
        <w:t xml:space="preserve">PLUS System Logic </w:t>
      </w:r>
      <w:r w:rsidR="007B03A3" w:rsidRPr="00CC7E17">
        <w:rPr>
          <w:rFonts w:ascii="Arial" w:hAnsi="Arial" w:cs="Arial"/>
        </w:rPr>
        <w:t>and Inclusion Criteria</w:t>
      </w:r>
      <w:bookmarkEnd w:id="60"/>
    </w:p>
    <w:p w14:paraId="3B46FAFA" w14:textId="77777777" w:rsidR="009142A3" w:rsidRPr="00CC7E17" w:rsidRDefault="009142A3" w:rsidP="0009624B">
      <w:pPr>
        <w:pStyle w:val="Body"/>
        <w:spacing w:line="360" w:lineRule="auto"/>
        <w:rPr>
          <w:rFonts w:ascii="Arial" w:hAnsi="Arial" w:cs="Arial"/>
        </w:rPr>
      </w:pPr>
    </w:p>
    <w:p w14:paraId="2D172608" w14:textId="135F6F38" w:rsidR="004873C3" w:rsidRPr="00CC7E17" w:rsidRDefault="00AA5748" w:rsidP="0009624B">
      <w:pPr>
        <w:pStyle w:val="BodyA"/>
        <w:spacing w:line="360" w:lineRule="auto"/>
        <w:rPr>
          <w:rFonts w:ascii="Arial" w:eastAsia="Arial" w:hAnsi="Arial" w:cs="Arial"/>
        </w:rPr>
      </w:pPr>
      <w:r w:rsidRPr="00CC7E17">
        <w:rPr>
          <w:rFonts w:ascii="Arial" w:hAnsi="Arial" w:cs="Arial"/>
        </w:rPr>
        <w:t>BRiskeT</w:t>
      </w:r>
      <w:r w:rsidR="004873C3" w:rsidRPr="00CC7E17">
        <w:rPr>
          <w:rFonts w:ascii="Arial" w:hAnsi="Arial" w:cs="Arial"/>
        </w:rPr>
        <w:t xml:space="preserve"> uses the existing McMaster PLUS database developed by the HiRU as a primary filter. By doing so, </w:t>
      </w:r>
      <w:r w:rsidRPr="00CC7E17">
        <w:rPr>
          <w:rFonts w:ascii="Arial" w:hAnsi="Arial" w:cs="Arial"/>
        </w:rPr>
        <w:t>BRiskeT</w:t>
      </w:r>
      <w:r w:rsidR="004873C3" w:rsidRPr="00CC7E17">
        <w:rPr>
          <w:rFonts w:ascii="Arial" w:hAnsi="Arial" w:cs="Arial"/>
        </w:rPr>
        <w:t xml:space="preserve"> only populates itself with the most relevant, and methodologically rigorously tested journal articles. The PLUS system’s logic is described below (HiRU, 2011): </w:t>
      </w:r>
    </w:p>
    <w:p w14:paraId="6C1AD93F" w14:textId="77777777" w:rsidR="004873C3" w:rsidRPr="00CC7E17" w:rsidRDefault="004873C3" w:rsidP="0009624B">
      <w:pPr>
        <w:pStyle w:val="BodyA"/>
        <w:spacing w:line="360" w:lineRule="auto"/>
        <w:rPr>
          <w:rFonts w:ascii="Arial" w:eastAsia="Arial" w:hAnsi="Arial" w:cs="Arial"/>
        </w:rPr>
      </w:pPr>
    </w:p>
    <w:p w14:paraId="5D0D25A5" w14:textId="3C781229" w:rsidR="004873C3" w:rsidRPr="00CC7E17" w:rsidRDefault="004873C3" w:rsidP="0009624B">
      <w:pPr>
        <w:pStyle w:val="BodyA"/>
        <w:numPr>
          <w:ilvl w:val="0"/>
          <w:numId w:val="1"/>
        </w:numPr>
        <w:spacing w:line="360" w:lineRule="auto"/>
        <w:rPr>
          <w:rFonts w:ascii="Arial" w:eastAsia="Arial" w:hAnsi="Arial" w:cs="Arial"/>
        </w:rPr>
      </w:pPr>
      <w:r w:rsidRPr="00CC7E17">
        <w:rPr>
          <w:rFonts w:ascii="Arial" w:hAnsi="Arial" w:cs="Arial"/>
        </w:rPr>
        <w:t>The first step of the PLUS system is to select the journals from which papers will be drawn.</w:t>
      </w:r>
      <w:r w:rsidR="00A50237">
        <w:rPr>
          <w:rFonts w:ascii="Arial" w:hAnsi="Arial" w:cs="Arial"/>
        </w:rPr>
        <w:t xml:space="preserve"> </w:t>
      </w:r>
      <w:r w:rsidRPr="00CC7E17">
        <w:rPr>
          <w:rFonts w:ascii="Arial" w:hAnsi="Arial" w:cs="Arial"/>
        </w:rPr>
        <w:t xml:space="preserve">These journals are chosen based on the Science Citation </w:t>
      </w:r>
      <w:r w:rsidR="00C64494">
        <w:rPr>
          <w:rFonts w:ascii="Arial" w:hAnsi="Arial" w:cs="Arial"/>
        </w:rPr>
        <w:t>I</w:t>
      </w:r>
      <w:r w:rsidRPr="00CC7E17">
        <w:rPr>
          <w:rFonts w:ascii="Arial" w:hAnsi="Arial" w:cs="Arial"/>
        </w:rPr>
        <w:t xml:space="preserve">ndex </w:t>
      </w:r>
      <w:r w:rsidR="00C64494">
        <w:rPr>
          <w:rFonts w:ascii="Arial" w:hAnsi="Arial" w:cs="Arial"/>
        </w:rPr>
        <w:t>I</w:t>
      </w:r>
      <w:r w:rsidRPr="00CC7E17">
        <w:rPr>
          <w:rFonts w:ascii="Arial" w:hAnsi="Arial" w:cs="Arial"/>
        </w:rPr>
        <w:t xml:space="preserve">mpact </w:t>
      </w:r>
      <w:r w:rsidR="00C64494">
        <w:rPr>
          <w:rFonts w:ascii="Arial" w:hAnsi="Arial" w:cs="Arial"/>
        </w:rPr>
        <w:t>F</w:t>
      </w:r>
      <w:r w:rsidRPr="00CC7E17">
        <w:rPr>
          <w:rFonts w:ascii="Arial" w:hAnsi="Arial" w:cs="Arial"/>
        </w:rPr>
        <w:t xml:space="preserve">actors, and suggestions from various individuals. Content of these journals is monitored for at least 6 months and if it meets the inclusion criteria (See appendix 1), the journal is selected as another candidate from which to extract articles from. At present there are just over 120 journals that have been accepted (see Appendix 2) </w:t>
      </w:r>
    </w:p>
    <w:p w14:paraId="5C6A0A2D" w14:textId="77777777" w:rsidR="004873C3" w:rsidRPr="00CC7E17" w:rsidRDefault="004873C3" w:rsidP="0009624B">
      <w:pPr>
        <w:pStyle w:val="BodyA"/>
        <w:spacing w:line="360" w:lineRule="auto"/>
        <w:rPr>
          <w:rFonts w:ascii="Arial" w:eastAsia="Arial" w:hAnsi="Arial" w:cs="Arial"/>
          <w:position w:val="-4"/>
        </w:rPr>
      </w:pPr>
    </w:p>
    <w:p w14:paraId="6B153504" w14:textId="77777777" w:rsidR="004873C3" w:rsidRPr="00CC7E17" w:rsidRDefault="004873C3" w:rsidP="0009624B">
      <w:pPr>
        <w:pStyle w:val="BodyA"/>
        <w:numPr>
          <w:ilvl w:val="0"/>
          <w:numId w:val="1"/>
        </w:numPr>
        <w:spacing w:line="360" w:lineRule="auto"/>
        <w:rPr>
          <w:rFonts w:ascii="Arial" w:eastAsia="Arial" w:hAnsi="Arial" w:cs="Arial"/>
        </w:rPr>
      </w:pPr>
      <w:r w:rsidRPr="00CC7E17">
        <w:rPr>
          <w:rFonts w:ascii="Arial" w:hAnsi="Arial" w:cs="Arial"/>
        </w:rPr>
        <w:t xml:space="preserve">Next, trained readers read the articles from the selected journals and apply the inclusion criteria to the papers. Any papers that do not meet the inclusion criteria (see Appendix 2) are filtered out. </w:t>
      </w:r>
    </w:p>
    <w:p w14:paraId="279FBE09" w14:textId="77777777" w:rsidR="004873C3" w:rsidRPr="00CC7E17" w:rsidRDefault="004873C3" w:rsidP="0009624B">
      <w:pPr>
        <w:pStyle w:val="BodyA"/>
        <w:spacing w:line="360" w:lineRule="auto"/>
        <w:rPr>
          <w:rFonts w:ascii="Arial" w:eastAsia="Arial" w:hAnsi="Arial" w:cs="Arial"/>
          <w:position w:val="-4"/>
        </w:rPr>
      </w:pPr>
    </w:p>
    <w:p w14:paraId="364A222E" w14:textId="655D959F" w:rsidR="004873C3" w:rsidRPr="00CC7E17" w:rsidRDefault="004873C3" w:rsidP="0009624B">
      <w:pPr>
        <w:pStyle w:val="BodyA"/>
        <w:numPr>
          <w:ilvl w:val="0"/>
          <w:numId w:val="1"/>
        </w:numPr>
        <w:spacing w:line="360" w:lineRule="auto"/>
        <w:rPr>
          <w:rFonts w:ascii="Arial" w:eastAsia="Arial" w:hAnsi="Arial" w:cs="Arial"/>
        </w:rPr>
      </w:pPr>
      <w:r w:rsidRPr="00CC7E17">
        <w:rPr>
          <w:rFonts w:ascii="Arial" w:hAnsi="Arial" w:cs="Arial"/>
        </w:rPr>
        <w:t>The selected papers are then entered into the Critical Appraisal Process (CAP) system and P</w:t>
      </w:r>
      <w:r w:rsidR="00C64494">
        <w:rPr>
          <w:rFonts w:ascii="Arial" w:hAnsi="Arial" w:cs="Arial"/>
        </w:rPr>
        <w:t>nbMed</w:t>
      </w:r>
      <w:r w:rsidRPr="00CC7E17">
        <w:rPr>
          <w:rFonts w:ascii="Arial" w:hAnsi="Arial" w:cs="Arial"/>
        </w:rPr>
        <w:t xml:space="preserve"> ID is applied to prevent the redundancy of duplicates. In this system, the paper is categorized based on Article Type, Purpose Categories, patient population, and clinical discipline.</w:t>
      </w:r>
    </w:p>
    <w:p w14:paraId="550E206B" w14:textId="77777777" w:rsidR="004873C3" w:rsidRPr="00CC7E17" w:rsidRDefault="004873C3" w:rsidP="0009624B">
      <w:pPr>
        <w:pStyle w:val="BodyA"/>
        <w:spacing w:line="360" w:lineRule="auto"/>
        <w:rPr>
          <w:rFonts w:ascii="Arial" w:eastAsia="Arial" w:hAnsi="Arial" w:cs="Arial"/>
          <w:position w:val="-4"/>
        </w:rPr>
      </w:pPr>
    </w:p>
    <w:p w14:paraId="19FE7D51" w14:textId="77777777" w:rsidR="004873C3" w:rsidRPr="00CC7E17" w:rsidRDefault="004873C3" w:rsidP="0009624B">
      <w:pPr>
        <w:pStyle w:val="BodyA"/>
        <w:numPr>
          <w:ilvl w:val="0"/>
          <w:numId w:val="1"/>
        </w:numPr>
        <w:spacing w:line="360" w:lineRule="auto"/>
        <w:rPr>
          <w:rFonts w:ascii="Arial" w:eastAsia="Arial" w:hAnsi="Arial" w:cs="Arial"/>
        </w:rPr>
      </w:pPr>
      <w:r w:rsidRPr="00CC7E17">
        <w:rPr>
          <w:rFonts w:ascii="Arial" w:hAnsi="Arial" w:cs="Arial"/>
        </w:rPr>
        <w:t xml:space="preserve">After having passed through the CAP system, the papers are checked by clinical experts. In this step, the experts check the data added by the research associates as well as the indexing added by the CAP system. </w:t>
      </w:r>
    </w:p>
    <w:p w14:paraId="531A5B1A" w14:textId="77777777" w:rsidR="004873C3" w:rsidRPr="00CC7E17" w:rsidRDefault="004873C3" w:rsidP="0009624B">
      <w:pPr>
        <w:pStyle w:val="BodyA"/>
        <w:spacing w:line="360" w:lineRule="auto"/>
        <w:rPr>
          <w:rFonts w:ascii="Arial" w:eastAsia="Arial" w:hAnsi="Arial" w:cs="Arial"/>
          <w:position w:val="-4"/>
        </w:rPr>
      </w:pPr>
    </w:p>
    <w:p w14:paraId="3525C3A5" w14:textId="77777777" w:rsidR="004873C3" w:rsidRPr="00CC7E17" w:rsidRDefault="004873C3" w:rsidP="0009624B">
      <w:pPr>
        <w:pStyle w:val="BodyA"/>
        <w:numPr>
          <w:ilvl w:val="0"/>
          <w:numId w:val="1"/>
        </w:numPr>
        <w:spacing w:line="360" w:lineRule="auto"/>
        <w:rPr>
          <w:rFonts w:ascii="Arial" w:eastAsia="Arial" w:hAnsi="Arial" w:cs="Arial"/>
        </w:rPr>
      </w:pPr>
      <w:r w:rsidRPr="00CC7E17">
        <w:rPr>
          <w:rFonts w:ascii="Arial" w:hAnsi="Arial" w:cs="Arial"/>
        </w:rPr>
        <w:t xml:space="preserve">The verified articles then pass onto the McMaster Online Rating of Evidence (MORE) system wherein the system pulls up further information on the articles, including abstracts as well as major and minor MeSH headings to further index the papers. </w:t>
      </w:r>
    </w:p>
    <w:p w14:paraId="04CF6A8F" w14:textId="77777777" w:rsidR="004873C3" w:rsidRPr="00CC7E17" w:rsidRDefault="004873C3" w:rsidP="0009624B">
      <w:pPr>
        <w:pStyle w:val="BodyA"/>
        <w:spacing w:line="360" w:lineRule="auto"/>
        <w:rPr>
          <w:rFonts w:ascii="Arial" w:eastAsia="Arial" w:hAnsi="Arial" w:cs="Arial"/>
          <w:position w:val="-4"/>
        </w:rPr>
      </w:pPr>
    </w:p>
    <w:p w14:paraId="2437ACB8" w14:textId="77777777" w:rsidR="004873C3" w:rsidRPr="00CC7E17" w:rsidRDefault="004873C3" w:rsidP="0009624B">
      <w:pPr>
        <w:pStyle w:val="BodyA"/>
        <w:numPr>
          <w:ilvl w:val="0"/>
          <w:numId w:val="1"/>
        </w:numPr>
        <w:spacing w:line="360" w:lineRule="auto"/>
        <w:rPr>
          <w:rFonts w:ascii="Arial" w:eastAsia="Arial" w:hAnsi="Arial" w:cs="Arial"/>
        </w:rPr>
      </w:pPr>
      <w:r w:rsidRPr="00CC7E17">
        <w:rPr>
          <w:rFonts w:ascii="Arial" w:hAnsi="Arial" w:cs="Arial"/>
        </w:rPr>
        <w:t>Next, the MORE system forwards these articles to their Raters, who are either Doctors with an MD or equivalent, nurses or rehabilitation specialists. These raters rate the papers on two 7 point scales: one based on relevance and the other on newsworthiness. Each paper is rated by at least three people from each discipline and then finally transferred into the PLUS system.</w:t>
      </w:r>
    </w:p>
    <w:p w14:paraId="06E9CE3D" w14:textId="77777777" w:rsidR="004873C3" w:rsidRPr="00CC7E17" w:rsidRDefault="004873C3" w:rsidP="0009624B">
      <w:pPr>
        <w:pStyle w:val="BodyA"/>
        <w:spacing w:line="360" w:lineRule="auto"/>
        <w:ind w:left="360"/>
        <w:rPr>
          <w:rFonts w:ascii="Arial" w:eastAsia="Arial" w:hAnsi="Arial" w:cs="Arial"/>
          <w:position w:val="-4"/>
        </w:rPr>
      </w:pPr>
    </w:p>
    <w:p w14:paraId="5299A0E6" w14:textId="77777777" w:rsidR="004873C3" w:rsidRPr="00CC7E17" w:rsidRDefault="004873C3" w:rsidP="0009624B">
      <w:pPr>
        <w:pStyle w:val="BodyA"/>
        <w:numPr>
          <w:ilvl w:val="0"/>
          <w:numId w:val="1"/>
        </w:numPr>
        <w:spacing w:line="360" w:lineRule="auto"/>
        <w:rPr>
          <w:rFonts w:ascii="Arial" w:eastAsia="Arial" w:hAnsi="Arial" w:cs="Arial"/>
        </w:rPr>
      </w:pPr>
      <w:r w:rsidRPr="00CC7E17">
        <w:rPr>
          <w:rFonts w:ascii="Arial" w:hAnsi="Arial" w:cs="Arial"/>
        </w:rPr>
        <w:t xml:space="preserve">The papers that are extracted from the PLUS system for use in the database must be: </w:t>
      </w:r>
    </w:p>
    <w:p w14:paraId="6ABE6DDF" w14:textId="5241CFB9" w:rsidR="004873C3" w:rsidRPr="00CC7E17" w:rsidRDefault="004873C3" w:rsidP="0009624B">
      <w:pPr>
        <w:pStyle w:val="BodyA"/>
        <w:numPr>
          <w:ilvl w:val="2"/>
          <w:numId w:val="2"/>
        </w:numPr>
        <w:spacing w:line="360" w:lineRule="auto"/>
        <w:rPr>
          <w:rFonts w:ascii="Arial" w:eastAsia="Arial" w:hAnsi="Arial" w:cs="Arial"/>
        </w:rPr>
      </w:pPr>
      <w:r w:rsidRPr="00CC7E17">
        <w:rPr>
          <w:rFonts w:ascii="Arial" w:hAnsi="Arial" w:cs="Arial"/>
        </w:rPr>
        <w:t>Original studies, review articles or Individual Patient Data (IPD)</w:t>
      </w:r>
      <w:r w:rsidR="00A50237">
        <w:rPr>
          <w:rFonts w:ascii="Arial" w:hAnsi="Arial" w:cs="Arial"/>
        </w:rPr>
        <w:t xml:space="preserve"> </w:t>
      </w:r>
      <w:r w:rsidRPr="00CC7E17">
        <w:rPr>
          <w:rFonts w:ascii="Arial" w:hAnsi="Arial" w:cs="Arial"/>
        </w:rPr>
        <w:t>(no case reports, general and miscellaneous articles, or secondary publications)</w:t>
      </w:r>
    </w:p>
    <w:p w14:paraId="2689E772" w14:textId="77777777" w:rsidR="004873C3" w:rsidRPr="00CC7E17" w:rsidRDefault="004873C3" w:rsidP="0009624B">
      <w:pPr>
        <w:pStyle w:val="BodyA"/>
        <w:numPr>
          <w:ilvl w:val="2"/>
          <w:numId w:val="2"/>
        </w:numPr>
        <w:spacing w:line="360" w:lineRule="auto"/>
        <w:rPr>
          <w:rFonts w:ascii="Arial" w:eastAsia="Arial" w:hAnsi="Arial" w:cs="Arial"/>
        </w:rPr>
      </w:pPr>
      <w:r w:rsidRPr="00CC7E17">
        <w:rPr>
          <w:rFonts w:ascii="Arial" w:hAnsi="Arial" w:cs="Arial"/>
        </w:rPr>
        <w:t>Of interest to the health care to humans (ie. no studies looking at methodology, or medical profession)</w:t>
      </w:r>
    </w:p>
    <w:p w14:paraId="1380B551" w14:textId="77777777" w:rsidR="004873C3" w:rsidRPr="00CC7E17" w:rsidRDefault="004873C3" w:rsidP="0009624B">
      <w:pPr>
        <w:pStyle w:val="BodyA"/>
        <w:spacing w:line="360" w:lineRule="auto"/>
        <w:rPr>
          <w:rFonts w:ascii="Arial" w:eastAsia="Arial" w:hAnsi="Arial" w:cs="Arial"/>
          <w:position w:val="-4"/>
        </w:rPr>
      </w:pPr>
    </w:p>
    <w:p w14:paraId="4BB8A10B" w14:textId="77777777" w:rsidR="004873C3" w:rsidRPr="00CC7E17" w:rsidRDefault="004873C3" w:rsidP="0009624B">
      <w:pPr>
        <w:pStyle w:val="BodyA"/>
        <w:numPr>
          <w:ilvl w:val="0"/>
          <w:numId w:val="1"/>
        </w:numPr>
        <w:spacing w:line="360" w:lineRule="auto"/>
        <w:rPr>
          <w:rFonts w:ascii="Arial" w:eastAsia="Arial" w:hAnsi="Arial" w:cs="Arial"/>
        </w:rPr>
      </w:pPr>
      <w:r w:rsidRPr="00CC7E17">
        <w:rPr>
          <w:rFonts w:ascii="Arial" w:hAnsi="Arial" w:cs="Arial"/>
        </w:rPr>
        <w:t>For prognosis,</w:t>
      </w:r>
    </w:p>
    <w:p w14:paraId="0506FAD1" w14:textId="77777777" w:rsidR="004873C3" w:rsidRPr="00CC7E17" w:rsidRDefault="004873C3" w:rsidP="0009624B">
      <w:pPr>
        <w:pStyle w:val="BodyA"/>
        <w:numPr>
          <w:ilvl w:val="2"/>
          <w:numId w:val="3"/>
        </w:numPr>
        <w:spacing w:line="360" w:lineRule="auto"/>
        <w:rPr>
          <w:rFonts w:ascii="Arial" w:eastAsia="Arial" w:hAnsi="Arial" w:cs="Arial"/>
        </w:rPr>
      </w:pPr>
      <w:r w:rsidRPr="00CC7E17">
        <w:rPr>
          <w:rFonts w:ascii="Arial" w:hAnsi="Arial" w:cs="Arial"/>
        </w:rPr>
        <w:t>Must include patients with a disease at the beginning of the study, and have been followed up with over a period of time</w:t>
      </w:r>
    </w:p>
    <w:p w14:paraId="77D0D2E7" w14:textId="41CAD9AD" w:rsidR="004873C3" w:rsidRPr="00CC7E17" w:rsidRDefault="004873C3" w:rsidP="0009624B">
      <w:pPr>
        <w:pStyle w:val="BodyA"/>
        <w:numPr>
          <w:ilvl w:val="2"/>
          <w:numId w:val="3"/>
        </w:numPr>
        <w:spacing w:line="360" w:lineRule="auto"/>
        <w:rPr>
          <w:rFonts w:ascii="Arial" w:eastAsia="Arial" w:hAnsi="Arial" w:cs="Arial"/>
        </w:rPr>
      </w:pPr>
      <w:r w:rsidRPr="00CC7E17">
        <w:rPr>
          <w:rFonts w:ascii="Arial" w:hAnsi="Arial" w:cs="Arial"/>
        </w:rPr>
        <w:t>The inception cohort must be at a similar stage in the disease when the study is done to allow for the ability to compare results, as well as</w:t>
      </w:r>
      <w:r w:rsidR="00A50237">
        <w:rPr>
          <w:rFonts w:ascii="Arial" w:hAnsi="Arial" w:cs="Arial"/>
        </w:rPr>
        <w:t xml:space="preserve"> </w:t>
      </w:r>
      <w:r w:rsidRPr="00CC7E17">
        <w:rPr>
          <w:rFonts w:ascii="Arial" w:hAnsi="Arial" w:cs="Arial"/>
        </w:rPr>
        <w:t>follow-up information from &gt;80% of beginning population</w:t>
      </w:r>
    </w:p>
    <w:p w14:paraId="2137E3DA" w14:textId="77777777" w:rsidR="004873C3" w:rsidRPr="00CC7E17" w:rsidRDefault="004873C3" w:rsidP="0009624B">
      <w:pPr>
        <w:pStyle w:val="BodyA"/>
        <w:spacing w:line="360" w:lineRule="auto"/>
        <w:rPr>
          <w:rFonts w:ascii="Arial" w:eastAsia="Arial" w:hAnsi="Arial" w:cs="Arial"/>
          <w:position w:val="-4"/>
        </w:rPr>
      </w:pPr>
    </w:p>
    <w:p w14:paraId="782CE674" w14:textId="4F3A6E6A" w:rsidR="004873C3" w:rsidRPr="00CC7E17" w:rsidRDefault="004873C3" w:rsidP="0009624B">
      <w:pPr>
        <w:pStyle w:val="BodyA"/>
        <w:spacing w:line="360" w:lineRule="auto"/>
        <w:rPr>
          <w:rFonts w:ascii="Arial" w:eastAsia="Arial" w:hAnsi="Arial" w:cs="Arial"/>
        </w:rPr>
      </w:pPr>
      <w:r w:rsidRPr="00CC7E17">
        <w:rPr>
          <w:rFonts w:ascii="Arial" w:hAnsi="Arial" w:cs="Arial"/>
          <w:position w:val="-4"/>
        </w:rPr>
        <w:t xml:space="preserve">As is shown above, the inclusion criteria to the PLUS database is sufficiently stringent to act as the primary filter for </w:t>
      </w:r>
      <w:r w:rsidR="00AA5748" w:rsidRPr="00CC7E17">
        <w:rPr>
          <w:rFonts w:ascii="Arial" w:hAnsi="Arial" w:cs="Arial"/>
          <w:position w:val="-4"/>
        </w:rPr>
        <w:t>BRiskeT</w:t>
      </w:r>
      <w:r w:rsidRPr="00CC7E17">
        <w:rPr>
          <w:rFonts w:ascii="Arial" w:hAnsi="Arial" w:cs="Arial"/>
          <w:position w:val="-4"/>
        </w:rPr>
        <w:t xml:space="preserve">. </w:t>
      </w:r>
    </w:p>
    <w:p w14:paraId="6D91DC2F" w14:textId="77777777" w:rsidR="004873C3" w:rsidRPr="00CC7E17" w:rsidRDefault="004873C3" w:rsidP="0009624B">
      <w:pPr>
        <w:pStyle w:val="BodyA"/>
        <w:spacing w:line="360" w:lineRule="auto"/>
        <w:rPr>
          <w:rFonts w:ascii="Arial" w:eastAsia="Arial" w:hAnsi="Arial" w:cs="Arial"/>
          <w:position w:val="-4"/>
        </w:rPr>
      </w:pPr>
    </w:p>
    <w:p w14:paraId="15B290C5" w14:textId="77777777" w:rsidR="00614645" w:rsidRPr="00CC7E17" w:rsidRDefault="00614645" w:rsidP="0009624B">
      <w:pPr>
        <w:spacing w:line="360" w:lineRule="auto"/>
        <w:rPr>
          <w:rFonts w:ascii="Arial" w:hAnsi="Arial" w:cs="Arial"/>
        </w:rPr>
      </w:pPr>
      <w:bookmarkStart w:id="61" w:name="_Ref271784139"/>
    </w:p>
    <w:p w14:paraId="4109AA94" w14:textId="77777777" w:rsidR="009142A3" w:rsidRPr="00CC7E17" w:rsidRDefault="009142A3" w:rsidP="0009624B">
      <w:pPr>
        <w:pStyle w:val="Heading1"/>
        <w:spacing w:line="360" w:lineRule="auto"/>
        <w:rPr>
          <w:rFonts w:ascii="Arial" w:hAnsi="Arial" w:cs="Arial"/>
        </w:rPr>
      </w:pPr>
      <w:bookmarkStart w:id="62" w:name="_Toc286437144"/>
      <w:r w:rsidRPr="00CC7E17">
        <w:rPr>
          <w:rFonts w:ascii="Arial" w:hAnsi="Arial" w:cs="Arial"/>
        </w:rPr>
        <w:t>Appendix 2</w:t>
      </w:r>
      <w:bookmarkEnd w:id="61"/>
      <w:bookmarkEnd w:id="62"/>
    </w:p>
    <w:p w14:paraId="2AE1C795" w14:textId="0D4547A7" w:rsidR="009142A3" w:rsidRPr="00CC7E17" w:rsidRDefault="009142A3" w:rsidP="0009624B">
      <w:pPr>
        <w:pStyle w:val="Heading3"/>
        <w:spacing w:line="360" w:lineRule="auto"/>
        <w:rPr>
          <w:rFonts w:ascii="Arial" w:hAnsi="Arial" w:cs="Arial"/>
        </w:rPr>
      </w:pPr>
      <w:bookmarkStart w:id="63" w:name="_Toc286437145"/>
      <w:r w:rsidRPr="00CC7E17">
        <w:rPr>
          <w:rFonts w:ascii="Arial" w:hAnsi="Arial" w:cs="Arial"/>
        </w:rPr>
        <w:t>Development of</w:t>
      </w:r>
      <w:r w:rsidR="00A50237">
        <w:rPr>
          <w:rFonts w:ascii="Arial" w:hAnsi="Arial" w:cs="Arial"/>
        </w:rPr>
        <w:t xml:space="preserve"> </w:t>
      </w:r>
      <w:r w:rsidR="00614645" w:rsidRPr="00CC7E17">
        <w:rPr>
          <w:rFonts w:ascii="Arial" w:hAnsi="Arial" w:cs="Arial"/>
        </w:rPr>
        <w:t xml:space="preserve">Feasibility </w:t>
      </w:r>
      <w:r w:rsidRPr="00CC7E17">
        <w:rPr>
          <w:rFonts w:ascii="Arial" w:hAnsi="Arial" w:cs="Arial"/>
        </w:rPr>
        <w:t>Data Extraction Process</w:t>
      </w:r>
      <w:bookmarkEnd w:id="63"/>
      <w:r w:rsidRPr="00CC7E17">
        <w:rPr>
          <w:rFonts w:ascii="Arial" w:hAnsi="Arial" w:cs="Arial"/>
        </w:rPr>
        <w:t xml:space="preserve"> </w:t>
      </w:r>
    </w:p>
    <w:p w14:paraId="32B27479" w14:textId="77777777" w:rsidR="009142A3" w:rsidRPr="00CC7E17" w:rsidRDefault="009142A3" w:rsidP="0009624B">
      <w:pPr>
        <w:pStyle w:val="Heading4"/>
        <w:spacing w:line="360" w:lineRule="auto"/>
        <w:rPr>
          <w:rFonts w:ascii="Arial" w:eastAsia="Arial" w:hAnsi="Arial" w:cs="Arial"/>
        </w:rPr>
      </w:pPr>
      <w:bookmarkStart w:id="64" w:name="_Toc271280680"/>
      <w:r w:rsidRPr="00CC7E17">
        <w:rPr>
          <w:rFonts w:ascii="Arial" w:hAnsi="Arial" w:cs="Arial"/>
        </w:rPr>
        <w:t>Preliminary Check of PLUS and selection of test set</w:t>
      </w:r>
      <w:bookmarkEnd w:id="64"/>
      <w:r w:rsidRPr="00CC7E17">
        <w:rPr>
          <w:rFonts w:ascii="Arial" w:hAnsi="Arial" w:cs="Arial"/>
        </w:rPr>
        <w:t xml:space="preserve"> </w:t>
      </w:r>
    </w:p>
    <w:p w14:paraId="032B1B87" w14:textId="5F32D62B" w:rsidR="009142A3" w:rsidRPr="00CC7E17" w:rsidRDefault="009142A3" w:rsidP="0009624B">
      <w:pPr>
        <w:pStyle w:val="Default"/>
        <w:spacing w:after="240" w:line="360" w:lineRule="auto"/>
        <w:rPr>
          <w:rFonts w:ascii="Arial" w:eastAsia="Arial" w:hAnsi="Arial" w:cs="Arial"/>
          <w:sz w:val="24"/>
          <w:szCs w:val="24"/>
        </w:rPr>
      </w:pPr>
      <w:r w:rsidRPr="00CC7E17">
        <w:rPr>
          <w:rFonts w:ascii="Arial" w:hAnsi="Arial" w:cs="Arial"/>
          <w:sz w:val="24"/>
          <w:szCs w:val="24"/>
          <w:lang w:val="en-US"/>
        </w:rPr>
        <w:t xml:space="preserve">In order to test the feasibility of </w:t>
      </w:r>
      <w:r w:rsidR="00AA5748" w:rsidRPr="00CC7E17">
        <w:rPr>
          <w:rFonts w:ascii="Arial" w:hAnsi="Arial" w:cs="Arial"/>
          <w:sz w:val="24"/>
          <w:szCs w:val="24"/>
          <w:lang w:val="da-DK"/>
        </w:rPr>
        <w:t>BRiskeT</w:t>
      </w:r>
      <w:r w:rsidRPr="00CC7E17">
        <w:rPr>
          <w:rFonts w:ascii="Arial" w:hAnsi="Arial" w:cs="Arial"/>
          <w:sz w:val="24"/>
          <w:szCs w:val="24"/>
          <w:lang w:val="en-US"/>
        </w:rPr>
        <w:t>, a preliminary study was conducted to determine if enough high quality data could be extracted from journal articles taken from the PLUS database</w:t>
      </w:r>
      <w:r w:rsidR="001D0B37">
        <w:rPr>
          <w:rFonts w:ascii="Arial" w:hAnsi="Arial" w:cs="Arial"/>
          <w:sz w:val="24"/>
          <w:szCs w:val="24"/>
          <w:lang w:val="en-US"/>
        </w:rPr>
        <w:t xml:space="preserve"> starting in 2011</w:t>
      </w:r>
      <w:r w:rsidRPr="00CC7E17">
        <w:rPr>
          <w:rFonts w:ascii="Arial" w:hAnsi="Arial" w:cs="Arial"/>
          <w:sz w:val="24"/>
          <w:szCs w:val="24"/>
          <w:lang w:val="en-US"/>
        </w:rPr>
        <w:t xml:space="preserve">. In order to do this, Dr. Alfonso Iorio searched the papers available through McMaster University’s PLUS database. An analysis was then conducted which yielded information regarding year of publication as well as discipline (among other descriptors) that were subsequently used to choose a relevant subset of papers for the feasibility study. In total there were 1270 papers found between the years 2005 to 2011.The number of articles that were accepted into the PLUS database varied from year to year as shown below in Table 1: </w:t>
      </w:r>
    </w:p>
    <w:tbl>
      <w:tblPr>
        <w:tblStyle w:val="TableGrid"/>
        <w:tblW w:w="0" w:type="auto"/>
        <w:tblInd w:w="108" w:type="dxa"/>
        <w:tblLook w:val="04A0" w:firstRow="1" w:lastRow="0" w:firstColumn="1" w:lastColumn="0" w:noHBand="0" w:noVBand="1"/>
      </w:tblPr>
      <w:tblGrid>
        <w:gridCol w:w="1368"/>
        <w:gridCol w:w="1800"/>
      </w:tblGrid>
      <w:tr w:rsidR="009142A3" w:rsidRPr="00CC7E17" w14:paraId="20027608" w14:textId="77777777" w:rsidTr="009142A3">
        <w:trPr>
          <w:trHeight w:hRule="exact" w:val="288"/>
        </w:trPr>
        <w:tc>
          <w:tcPr>
            <w:tcW w:w="1368" w:type="dxa"/>
            <w:shd w:val="clear" w:color="auto" w:fill="D9D9D9" w:themeFill="background1" w:themeFillShade="D9"/>
          </w:tcPr>
          <w:p w14:paraId="27CBCE28" w14:textId="77777777" w:rsidR="009142A3" w:rsidRPr="00CC7E17" w:rsidRDefault="009142A3" w:rsidP="0009624B">
            <w:pPr>
              <w:spacing w:line="360" w:lineRule="auto"/>
              <w:jc w:val="center"/>
              <w:rPr>
                <w:rFonts w:ascii="Arial" w:eastAsia="Times New Roman" w:hAnsi="Arial" w:cs="Arial"/>
                <w:color w:val="000000"/>
              </w:rPr>
            </w:pPr>
            <w:r w:rsidRPr="00CC7E17">
              <w:rPr>
                <w:rFonts w:ascii="Arial" w:eastAsia="Times New Roman" w:hAnsi="Arial" w:cs="Arial"/>
                <w:color w:val="000000"/>
              </w:rPr>
              <w:t>Year</w:t>
            </w:r>
          </w:p>
        </w:tc>
        <w:tc>
          <w:tcPr>
            <w:tcW w:w="1800" w:type="dxa"/>
            <w:shd w:val="clear" w:color="auto" w:fill="D9D9D9" w:themeFill="background1" w:themeFillShade="D9"/>
          </w:tcPr>
          <w:p w14:paraId="50B08C48" w14:textId="77777777" w:rsidR="009142A3" w:rsidRPr="00CC7E17" w:rsidRDefault="009142A3" w:rsidP="0009624B">
            <w:pPr>
              <w:spacing w:line="360" w:lineRule="auto"/>
              <w:jc w:val="center"/>
              <w:rPr>
                <w:rFonts w:ascii="Arial" w:eastAsia="Times New Roman" w:hAnsi="Arial" w:cs="Arial"/>
                <w:color w:val="000000"/>
              </w:rPr>
            </w:pPr>
            <w:r w:rsidRPr="00CC7E17">
              <w:rPr>
                <w:rFonts w:ascii="Arial" w:eastAsia="Times New Roman" w:hAnsi="Arial" w:cs="Arial"/>
                <w:color w:val="000000"/>
              </w:rPr>
              <w:t>Prognosis</w:t>
            </w:r>
          </w:p>
        </w:tc>
      </w:tr>
      <w:tr w:rsidR="009142A3" w:rsidRPr="00CC7E17" w14:paraId="26C0489D" w14:textId="77777777" w:rsidTr="009142A3">
        <w:trPr>
          <w:trHeight w:hRule="exact" w:val="288"/>
        </w:trPr>
        <w:tc>
          <w:tcPr>
            <w:tcW w:w="1368" w:type="dxa"/>
          </w:tcPr>
          <w:p w14:paraId="1976DC83" w14:textId="77777777" w:rsidR="009142A3" w:rsidRPr="006401AD"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2005</w:t>
            </w:r>
          </w:p>
        </w:tc>
        <w:tc>
          <w:tcPr>
            <w:tcW w:w="1800" w:type="dxa"/>
          </w:tcPr>
          <w:p w14:paraId="7FF64BA0" w14:textId="77777777" w:rsidR="009142A3" w:rsidRPr="00CC7E17"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129</w:t>
            </w:r>
          </w:p>
        </w:tc>
      </w:tr>
      <w:tr w:rsidR="009142A3" w:rsidRPr="00CC7E17" w14:paraId="040A4D80" w14:textId="77777777" w:rsidTr="009142A3">
        <w:trPr>
          <w:trHeight w:hRule="exact" w:val="288"/>
        </w:trPr>
        <w:tc>
          <w:tcPr>
            <w:tcW w:w="1368" w:type="dxa"/>
          </w:tcPr>
          <w:p w14:paraId="39AE82E1" w14:textId="77777777" w:rsidR="009142A3" w:rsidRPr="006401AD"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2006</w:t>
            </w:r>
          </w:p>
        </w:tc>
        <w:tc>
          <w:tcPr>
            <w:tcW w:w="1800" w:type="dxa"/>
          </w:tcPr>
          <w:p w14:paraId="76DFD564" w14:textId="77777777" w:rsidR="009142A3" w:rsidRPr="00CC7E17"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185</w:t>
            </w:r>
          </w:p>
        </w:tc>
      </w:tr>
      <w:tr w:rsidR="009142A3" w:rsidRPr="00CC7E17" w14:paraId="2706ADC2" w14:textId="77777777" w:rsidTr="009142A3">
        <w:trPr>
          <w:trHeight w:hRule="exact" w:val="288"/>
        </w:trPr>
        <w:tc>
          <w:tcPr>
            <w:tcW w:w="1368" w:type="dxa"/>
          </w:tcPr>
          <w:p w14:paraId="1A4BD7D5" w14:textId="77777777" w:rsidR="009142A3" w:rsidRPr="006401AD"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2007</w:t>
            </w:r>
          </w:p>
        </w:tc>
        <w:tc>
          <w:tcPr>
            <w:tcW w:w="1800" w:type="dxa"/>
          </w:tcPr>
          <w:p w14:paraId="6AA3BFEC" w14:textId="77777777" w:rsidR="009142A3" w:rsidRPr="00CC7E17"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227</w:t>
            </w:r>
          </w:p>
        </w:tc>
      </w:tr>
      <w:tr w:rsidR="009142A3" w:rsidRPr="00CC7E17" w14:paraId="598A4C61" w14:textId="77777777" w:rsidTr="009142A3">
        <w:trPr>
          <w:trHeight w:hRule="exact" w:val="288"/>
        </w:trPr>
        <w:tc>
          <w:tcPr>
            <w:tcW w:w="1368" w:type="dxa"/>
          </w:tcPr>
          <w:p w14:paraId="4644A9F7" w14:textId="77777777" w:rsidR="009142A3" w:rsidRPr="006401AD"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2008</w:t>
            </w:r>
          </w:p>
        </w:tc>
        <w:tc>
          <w:tcPr>
            <w:tcW w:w="1800" w:type="dxa"/>
          </w:tcPr>
          <w:p w14:paraId="5339554D" w14:textId="77777777" w:rsidR="009142A3" w:rsidRPr="00CC7E17"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213</w:t>
            </w:r>
          </w:p>
        </w:tc>
      </w:tr>
      <w:tr w:rsidR="009142A3" w:rsidRPr="00CC7E17" w14:paraId="602EB824" w14:textId="77777777" w:rsidTr="009142A3">
        <w:trPr>
          <w:trHeight w:hRule="exact" w:val="288"/>
        </w:trPr>
        <w:tc>
          <w:tcPr>
            <w:tcW w:w="1368" w:type="dxa"/>
          </w:tcPr>
          <w:p w14:paraId="29A1042D" w14:textId="77777777" w:rsidR="009142A3" w:rsidRPr="006401AD"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2009</w:t>
            </w:r>
          </w:p>
        </w:tc>
        <w:tc>
          <w:tcPr>
            <w:tcW w:w="1800" w:type="dxa"/>
          </w:tcPr>
          <w:p w14:paraId="2129EB25" w14:textId="77777777" w:rsidR="009142A3" w:rsidRPr="00CC7E17"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254</w:t>
            </w:r>
          </w:p>
        </w:tc>
      </w:tr>
      <w:tr w:rsidR="009142A3" w:rsidRPr="00CC7E17" w14:paraId="517C903C" w14:textId="77777777" w:rsidTr="009142A3">
        <w:trPr>
          <w:trHeight w:hRule="exact" w:val="288"/>
        </w:trPr>
        <w:tc>
          <w:tcPr>
            <w:tcW w:w="1368" w:type="dxa"/>
          </w:tcPr>
          <w:p w14:paraId="7B5B24C7" w14:textId="77777777" w:rsidR="009142A3" w:rsidRPr="006401AD"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2010</w:t>
            </w:r>
          </w:p>
        </w:tc>
        <w:tc>
          <w:tcPr>
            <w:tcW w:w="1800" w:type="dxa"/>
          </w:tcPr>
          <w:p w14:paraId="729ECF1D" w14:textId="77777777" w:rsidR="009142A3" w:rsidRPr="00CC7E17"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209</w:t>
            </w:r>
          </w:p>
        </w:tc>
      </w:tr>
      <w:tr w:rsidR="009142A3" w:rsidRPr="00CC7E17" w14:paraId="77B7D458" w14:textId="77777777" w:rsidTr="009142A3">
        <w:trPr>
          <w:trHeight w:hRule="exact" w:val="288"/>
        </w:trPr>
        <w:tc>
          <w:tcPr>
            <w:tcW w:w="1368" w:type="dxa"/>
            <w:tcBorders>
              <w:bottom w:val="single" w:sz="4" w:space="0" w:color="auto"/>
            </w:tcBorders>
          </w:tcPr>
          <w:p w14:paraId="32B61BA6" w14:textId="77777777" w:rsidR="009142A3" w:rsidRPr="006401AD"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2011</w:t>
            </w:r>
          </w:p>
        </w:tc>
        <w:tc>
          <w:tcPr>
            <w:tcW w:w="1800" w:type="dxa"/>
            <w:tcBorders>
              <w:bottom w:val="single" w:sz="4" w:space="0" w:color="auto"/>
            </w:tcBorders>
          </w:tcPr>
          <w:p w14:paraId="0F4F7E95" w14:textId="77777777" w:rsidR="009142A3" w:rsidRPr="00CC7E17" w:rsidRDefault="009142A3" w:rsidP="0009624B">
            <w:pPr>
              <w:spacing w:line="360" w:lineRule="auto"/>
              <w:jc w:val="center"/>
              <w:rPr>
                <w:rFonts w:ascii="Arial" w:eastAsia="Times New Roman" w:hAnsi="Arial" w:cs="Arial"/>
              </w:rPr>
            </w:pPr>
            <w:r w:rsidRPr="00CC7E17">
              <w:rPr>
                <w:rFonts w:ascii="Arial" w:eastAsia="Times New Roman" w:hAnsi="Arial" w:cs="Arial"/>
                <w:color w:val="000000"/>
              </w:rPr>
              <w:t>52</w:t>
            </w:r>
          </w:p>
        </w:tc>
      </w:tr>
      <w:tr w:rsidR="009142A3" w:rsidRPr="00CC7E17" w14:paraId="28FA89E1" w14:textId="77777777" w:rsidTr="009142A3">
        <w:trPr>
          <w:trHeight w:hRule="exact" w:val="288"/>
        </w:trPr>
        <w:tc>
          <w:tcPr>
            <w:tcW w:w="1368" w:type="dxa"/>
            <w:shd w:val="clear" w:color="auto" w:fill="D9D9D9" w:themeFill="background1" w:themeFillShade="D9"/>
          </w:tcPr>
          <w:p w14:paraId="625A3957" w14:textId="77777777" w:rsidR="009142A3" w:rsidRPr="006401AD" w:rsidRDefault="009142A3" w:rsidP="0009624B">
            <w:pPr>
              <w:spacing w:line="360" w:lineRule="auto"/>
              <w:jc w:val="center"/>
              <w:rPr>
                <w:rFonts w:ascii="Arial" w:eastAsia="Times New Roman" w:hAnsi="Arial" w:cs="Arial"/>
                <w:color w:val="000000"/>
              </w:rPr>
            </w:pPr>
            <w:r w:rsidRPr="00CC7E17">
              <w:rPr>
                <w:rFonts w:ascii="Arial" w:eastAsia="Times New Roman" w:hAnsi="Arial" w:cs="Arial"/>
                <w:color w:val="000000"/>
              </w:rPr>
              <w:t>Mean/yr</w:t>
            </w:r>
          </w:p>
        </w:tc>
        <w:tc>
          <w:tcPr>
            <w:tcW w:w="1800" w:type="dxa"/>
            <w:shd w:val="clear" w:color="auto" w:fill="D9D9D9" w:themeFill="background1" w:themeFillShade="D9"/>
          </w:tcPr>
          <w:p w14:paraId="3A56A4BC" w14:textId="77777777" w:rsidR="009142A3" w:rsidRPr="00CC7E17" w:rsidRDefault="009142A3" w:rsidP="0009624B">
            <w:pPr>
              <w:spacing w:line="360" w:lineRule="auto"/>
              <w:jc w:val="center"/>
              <w:rPr>
                <w:rFonts w:ascii="Arial" w:eastAsia="Times New Roman" w:hAnsi="Arial" w:cs="Arial"/>
                <w:color w:val="000000"/>
              </w:rPr>
            </w:pPr>
            <w:r w:rsidRPr="00CC7E17">
              <w:rPr>
                <w:rFonts w:ascii="Arial" w:eastAsia="Times New Roman" w:hAnsi="Arial" w:cs="Arial"/>
                <w:color w:val="000000"/>
              </w:rPr>
              <w:t>189</w:t>
            </w:r>
          </w:p>
        </w:tc>
      </w:tr>
    </w:tbl>
    <w:p w14:paraId="2E883E74" w14:textId="35DA8EF6" w:rsidR="009142A3" w:rsidRPr="00CC7E17" w:rsidRDefault="000A29F5" w:rsidP="0009624B">
      <w:pPr>
        <w:pStyle w:val="Caption"/>
        <w:spacing w:line="360" w:lineRule="auto"/>
        <w:rPr>
          <w:rFonts w:ascii="Arial" w:eastAsia="Arial" w:hAnsi="Arial" w:cs="Arial"/>
          <w:sz w:val="24"/>
          <w:szCs w:val="24"/>
        </w:rPr>
      </w:pPr>
      <w:bookmarkStart w:id="65" w:name="_Toc271786980"/>
      <w:r w:rsidRPr="00CC7E17">
        <w:rPr>
          <w:rFonts w:ascii="Arial" w:hAnsi="Arial" w:cs="Arial"/>
        </w:rPr>
        <w:t>APPENDIX 2 TABLE</w:t>
      </w:r>
      <w:r w:rsidR="00A50237">
        <w:rPr>
          <w:rFonts w:ascii="Arial" w:hAnsi="Arial" w:cs="Arial"/>
        </w:rPr>
        <w:t xml:space="preserve"> </w:t>
      </w:r>
      <w:r w:rsidRPr="009E57CF">
        <w:rPr>
          <w:rFonts w:ascii="Arial" w:hAnsi="Arial" w:cs="Arial"/>
        </w:rPr>
        <w:fldChar w:fldCharType="begin"/>
      </w:r>
      <w:r w:rsidRPr="00CC7E17">
        <w:rPr>
          <w:rFonts w:ascii="Arial" w:hAnsi="Arial" w:cs="Arial"/>
        </w:rPr>
        <w:instrText xml:space="preserve"> SEQ APPENDIX_2_TABLE_ \* ARABIC </w:instrText>
      </w:r>
      <w:r w:rsidRPr="009E57CF">
        <w:rPr>
          <w:rFonts w:ascii="Arial" w:hAnsi="Arial" w:cs="Arial"/>
        </w:rPr>
        <w:fldChar w:fldCharType="separate"/>
      </w:r>
      <w:r w:rsidRPr="00CC7E17">
        <w:rPr>
          <w:rFonts w:ascii="Arial" w:hAnsi="Arial" w:cs="Arial"/>
          <w:noProof/>
        </w:rPr>
        <w:t>1</w:t>
      </w:r>
      <w:r w:rsidRPr="009E57CF">
        <w:rPr>
          <w:rFonts w:ascii="Arial" w:hAnsi="Arial" w:cs="Arial"/>
        </w:rPr>
        <w:fldChar w:fldCharType="end"/>
      </w:r>
      <w:r w:rsidRPr="00CC7E17">
        <w:rPr>
          <w:rFonts w:ascii="Arial" w:hAnsi="Arial" w:cs="Arial"/>
        </w:rPr>
        <w:t>: Number of prognosis studies per year from 2005-2011 (courtesy of Dr alfonso iorio)</w:t>
      </w:r>
      <w:bookmarkEnd w:id="65"/>
    </w:p>
    <w:p w14:paraId="3BD0A715" w14:textId="77777777" w:rsidR="009142A3" w:rsidRPr="00CC7E17" w:rsidRDefault="009142A3" w:rsidP="0009624B">
      <w:pPr>
        <w:pStyle w:val="Default"/>
        <w:spacing w:after="240" w:line="360" w:lineRule="auto"/>
        <w:rPr>
          <w:rFonts w:ascii="Arial" w:eastAsia="Arial" w:hAnsi="Arial" w:cs="Arial"/>
          <w:sz w:val="24"/>
          <w:szCs w:val="24"/>
        </w:rPr>
      </w:pPr>
    </w:p>
    <w:p w14:paraId="4EA69A48" w14:textId="77777777" w:rsidR="009142A3" w:rsidRPr="00CC7E17" w:rsidRDefault="009142A3" w:rsidP="0009624B">
      <w:pPr>
        <w:pStyle w:val="Default"/>
        <w:spacing w:after="240" w:line="360" w:lineRule="auto"/>
        <w:rPr>
          <w:rFonts w:ascii="Arial" w:eastAsia="Arial" w:hAnsi="Arial" w:cs="Arial"/>
          <w:sz w:val="24"/>
          <w:szCs w:val="24"/>
        </w:rPr>
      </w:pPr>
      <w:r w:rsidRPr="00CC7E17">
        <w:rPr>
          <w:rFonts w:ascii="Arial" w:hAnsi="Arial" w:cs="Arial"/>
          <w:sz w:val="24"/>
          <w:szCs w:val="24"/>
          <w:lang w:val="en-US"/>
        </w:rPr>
        <w:t>Each discipline had a varied amount of papers associated with it. For example, Neurology was one of the more popular disciplines that was found with 260 papers attributed to the discipline between 2005 and 2011, while Gynecology was significantly less prevalent within the database (only 27 papers written regarding the discipline were included in the PLUS system). Please see Table 2 below for a full list of the disciplines related to PLUS articles between 2005 and 2011.</w:t>
      </w:r>
    </w:p>
    <w:tbl>
      <w:tblPr>
        <w:tblStyle w:val="TableGrid"/>
        <w:tblW w:w="6802" w:type="dxa"/>
        <w:tblLook w:val="04A0" w:firstRow="1" w:lastRow="0" w:firstColumn="1" w:lastColumn="0" w:noHBand="0" w:noVBand="1"/>
      </w:tblPr>
      <w:tblGrid>
        <w:gridCol w:w="5537"/>
        <w:gridCol w:w="1265"/>
      </w:tblGrid>
      <w:tr w:rsidR="009142A3" w:rsidRPr="00CC7E17" w14:paraId="6D20A425" w14:textId="77777777" w:rsidTr="009142A3">
        <w:trPr>
          <w:trHeight w:hRule="exact" w:val="288"/>
        </w:trPr>
        <w:tc>
          <w:tcPr>
            <w:tcW w:w="4840" w:type="dxa"/>
            <w:shd w:val="clear" w:color="auto" w:fill="D9D9D9" w:themeFill="background1" w:themeFillShade="D9"/>
            <w:noWrap/>
            <w:hideMark/>
          </w:tcPr>
          <w:p w14:paraId="6879AB33" w14:textId="77777777" w:rsidR="009142A3" w:rsidRPr="00CC7E17" w:rsidRDefault="009142A3" w:rsidP="0009624B">
            <w:pPr>
              <w:spacing w:line="360" w:lineRule="auto"/>
              <w:rPr>
                <w:rFonts w:ascii="Arial" w:hAnsi="Arial" w:cs="Arial"/>
              </w:rPr>
            </w:pPr>
            <w:r w:rsidRPr="00CC7E17">
              <w:rPr>
                <w:rFonts w:ascii="Arial" w:hAnsi="Arial" w:cs="Arial"/>
              </w:rPr>
              <w:t>Discipline</w:t>
            </w:r>
          </w:p>
        </w:tc>
        <w:tc>
          <w:tcPr>
            <w:tcW w:w="1002" w:type="dxa"/>
            <w:shd w:val="clear" w:color="auto" w:fill="D9D9D9" w:themeFill="background1" w:themeFillShade="D9"/>
            <w:noWrap/>
            <w:hideMark/>
          </w:tcPr>
          <w:p w14:paraId="1EA9A4B6" w14:textId="77777777" w:rsidR="009142A3" w:rsidRPr="00CC7E17" w:rsidRDefault="009142A3" w:rsidP="0009624B">
            <w:pPr>
              <w:spacing w:line="360" w:lineRule="auto"/>
              <w:jc w:val="center"/>
              <w:rPr>
                <w:rFonts w:ascii="Arial" w:hAnsi="Arial" w:cs="Arial"/>
              </w:rPr>
            </w:pPr>
            <w:r w:rsidRPr="00CC7E17">
              <w:rPr>
                <w:rFonts w:ascii="Arial" w:hAnsi="Arial" w:cs="Arial"/>
              </w:rPr>
              <w:t>Prognosis</w:t>
            </w:r>
          </w:p>
        </w:tc>
      </w:tr>
      <w:tr w:rsidR="009142A3" w:rsidRPr="00CC7E17" w14:paraId="1B73EC7A" w14:textId="77777777" w:rsidTr="009142A3">
        <w:trPr>
          <w:trHeight w:hRule="exact" w:val="288"/>
        </w:trPr>
        <w:tc>
          <w:tcPr>
            <w:tcW w:w="4840" w:type="dxa"/>
            <w:hideMark/>
          </w:tcPr>
          <w:p w14:paraId="18460AF7" w14:textId="77777777" w:rsidR="009142A3" w:rsidRPr="006401AD" w:rsidRDefault="009142A3" w:rsidP="0009624B">
            <w:pPr>
              <w:spacing w:line="360" w:lineRule="auto"/>
              <w:rPr>
                <w:rFonts w:ascii="Arial" w:hAnsi="Arial" w:cs="Arial"/>
              </w:rPr>
            </w:pPr>
            <w:r w:rsidRPr="00CC7E17">
              <w:rPr>
                <w:rFonts w:ascii="Arial" w:hAnsi="Arial" w:cs="Arial"/>
              </w:rPr>
              <w:t>Pediatrics (General)</w:t>
            </w:r>
          </w:p>
        </w:tc>
        <w:tc>
          <w:tcPr>
            <w:tcW w:w="1002" w:type="dxa"/>
            <w:hideMark/>
          </w:tcPr>
          <w:p w14:paraId="521F7262" w14:textId="77777777" w:rsidR="009142A3" w:rsidRPr="00CC7E17" w:rsidRDefault="009142A3" w:rsidP="0009624B">
            <w:pPr>
              <w:spacing w:line="360" w:lineRule="auto"/>
              <w:jc w:val="center"/>
              <w:rPr>
                <w:rFonts w:ascii="Arial" w:hAnsi="Arial" w:cs="Arial"/>
              </w:rPr>
            </w:pPr>
            <w:r w:rsidRPr="00CC7E17">
              <w:rPr>
                <w:rFonts w:ascii="Arial" w:hAnsi="Arial" w:cs="Arial"/>
              </w:rPr>
              <w:t>357</w:t>
            </w:r>
          </w:p>
        </w:tc>
      </w:tr>
      <w:tr w:rsidR="009142A3" w:rsidRPr="00CC7E17" w14:paraId="350B21F3" w14:textId="77777777" w:rsidTr="009142A3">
        <w:trPr>
          <w:trHeight w:hRule="exact" w:val="288"/>
        </w:trPr>
        <w:tc>
          <w:tcPr>
            <w:tcW w:w="4840" w:type="dxa"/>
            <w:hideMark/>
          </w:tcPr>
          <w:p w14:paraId="4943B3C0" w14:textId="77777777" w:rsidR="009142A3" w:rsidRPr="006401AD" w:rsidRDefault="009142A3" w:rsidP="0009624B">
            <w:pPr>
              <w:spacing w:line="360" w:lineRule="auto"/>
              <w:rPr>
                <w:rFonts w:ascii="Arial" w:hAnsi="Arial" w:cs="Arial"/>
              </w:rPr>
            </w:pPr>
            <w:r w:rsidRPr="00CC7E17">
              <w:rPr>
                <w:rFonts w:ascii="Arial" w:hAnsi="Arial" w:cs="Arial"/>
              </w:rPr>
              <w:t>Internal Medicine and its subspecialties</w:t>
            </w:r>
          </w:p>
        </w:tc>
        <w:tc>
          <w:tcPr>
            <w:tcW w:w="1002" w:type="dxa"/>
            <w:hideMark/>
          </w:tcPr>
          <w:p w14:paraId="4553A5C4" w14:textId="77777777" w:rsidR="009142A3" w:rsidRPr="00CC7E17" w:rsidRDefault="009142A3" w:rsidP="0009624B">
            <w:pPr>
              <w:spacing w:line="360" w:lineRule="auto"/>
              <w:jc w:val="center"/>
              <w:rPr>
                <w:rFonts w:ascii="Arial" w:hAnsi="Arial" w:cs="Arial"/>
              </w:rPr>
            </w:pPr>
            <w:r w:rsidRPr="00CC7E17">
              <w:rPr>
                <w:rFonts w:ascii="Arial" w:hAnsi="Arial" w:cs="Arial"/>
              </w:rPr>
              <w:t>344</w:t>
            </w:r>
          </w:p>
        </w:tc>
      </w:tr>
      <w:tr w:rsidR="009142A3" w:rsidRPr="00CC7E17" w14:paraId="5F1CCFEA" w14:textId="77777777" w:rsidTr="009142A3">
        <w:trPr>
          <w:trHeight w:hRule="exact" w:val="288"/>
        </w:trPr>
        <w:tc>
          <w:tcPr>
            <w:tcW w:w="4840" w:type="dxa"/>
            <w:hideMark/>
          </w:tcPr>
          <w:p w14:paraId="072247A4" w14:textId="77777777" w:rsidR="009142A3" w:rsidRPr="006401AD" w:rsidRDefault="009142A3" w:rsidP="0009624B">
            <w:pPr>
              <w:spacing w:line="360" w:lineRule="auto"/>
              <w:rPr>
                <w:rFonts w:ascii="Arial" w:hAnsi="Arial" w:cs="Arial"/>
              </w:rPr>
            </w:pPr>
            <w:r w:rsidRPr="00CC7E17">
              <w:rPr>
                <w:rFonts w:ascii="Arial" w:hAnsi="Arial" w:cs="Arial"/>
              </w:rPr>
              <w:t>General Practice (GP)/Family Practice(FP)(all)</w:t>
            </w:r>
          </w:p>
        </w:tc>
        <w:tc>
          <w:tcPr>
            <w:tcW w:w="1002" w:type="dxa"/>
            <w:hideMark/>
          </w:tcPr>
          <w:p w14:paraId="49230252" w14:textId="77777777" w:rsidR="009142A3" w:rsidRPr="00CC7E17" w:rsidRDefault="009142A3" w:rsidP="0009624B">
            <w:pPr>
              <w:spacing w:line="360" w:lineRule="auto"/>
              <w:jc w:val="center"/>
              <w:rPr>
                <w:rFonts w:ascii="Arial" w:hAnsi="Arial" w:cs="Arial"/>
              </w:rPr>
            </w:pPr>
            <w:r w:rsidRPr="00CC7E17">
              <w:rPr>
                <w:rFonts w:ascii="Arial" w:hAnsi="Arial" w:cs="Arial"/>
              </w:rPr>
              <w:t>308</w:t>
            </w:r>
          </w:p>
        </w:tc>
      </w:tr>
      <w:tr w:rsidR="009142A3" w:rsidRPr="00CC7E17" w14:paraId="1B0902CA" w14:textId="77777777" w:rsidTr="009142A3">
        <w:trPr>
          <w:trHeight w:hRule="exact" w:val="288"/>
        </w:trPr>
        <w:tc>
          <w:tcPr>
            <w:tcW w:w="4840" w:type="dxa"/>
            <w:hideMark/>
          </w:tcPr>
          <w:p w14:paraId="6F6132D3" w14:textId="77777777" w:rsidR="009142A3" w:rsidRPr="006401AD" w:rsidRDefault="009142A3" w:rsidP="0009624B">
            <w:pPr>
              <w:spacing w:line="360" w:lineRule="auto"/>
              <w:rPr>
                <w:rFonts w:ascii="Arial" w:hAnsi="Arial" w:cs="Arial"/>
              </w:rPr>
            </w:pPr>
            <w:r w:rsidRPr="00CC7E17">
              <w:rPr>
                <w:rFonts w:ascii="Arial" w:hAnsi="Arial" w:cs="Arial"/>
              </w:rPr>
              <w:t>Neurology</w:t>
            </w:r>
          </w:p>
        </w:tc>
        <w:tc>
          <w:tcPr>
            <w:tcW w:w="1002" w:type="dxa"/>
            <w:hideMark/>
          </w:tcPr>
          <w:p w14:paraId="7EE7BB4A" w14:textId="77777777" w:rsidR="009142A3" w:rsidRPr="00CC7E17" w:rsidRDefault="009142A3" w:rsidP="0009624B">
            <w:pPr>
              <w:spacing w:line="360" w:lineRule="auto"/>
              <w:jc w:val="center"/>
              <w:rPr>
                <w:rFonts w:ascii="Arial" w:hAnsi="Arial" w:cs="Arial"/>
              </w:rPr>
            </w:pPr>
            <w:r w:rsidRPr="00CC7E17">
              <w:rPr>
                <w:rFonts w:ascii="Arial" w:hAnsi="Arial" w:cs="Arial"/>
              </w:rPr>
              <w:t>260</w:t>
            </w:r>
          </w:p>
        </w:tc>
      </w:tr>
      <w:tr w:rsidR="009142A3" w:rsidRPr="00CC7E17" w14:paraId="53662AFF" w14:textId="77777777" w:rsidTr="009142A3">
        <w:trPr>
          <w:trHeight w:hRule="exact" w:val="288"/>
        </w:trPr>
        <w:tc>
          <w:tcPr>
            <w:tcW w:w="4840" w:type="dxa"/>
            <w:hideMark/>
          </w:tcPr>
          <w:p w14:paraId="43BCD16E" w14:textId="77777777" w:rsidR="009142A3" w:rsidRPr="006401AD" w:rsidRDefault="009142A3" w:rsidP="0009624B">
            <w:pPr>
              <w:spacing w:line="360" w:lineRule="auto"/>
              <w:rPr>
                <w:rFonts w:ascii="Arial" w:hAnsi="Arial" w:cs="Arial"/>
              </w:rPr>
            </w:pPr>
            <w:r w:rsidRPr="00CC7E17">
              <w:rPr>
                <w:rFonts w:ascii="Arial" w:hAnsi="Arial" w:cs="Arial"/>
              </w:rPr>
              <w:t>Cardiology</w:t>
            </w:r>
          </w:p>
        </w:tc>
        <w:tc>
          <w:tcPr>
            <w:tcW w:w="1002" w:type="dxa"/>
            <w:hideMark/>
          </w:tcPr>
          <w:p w14:paraId="3DBB3ED4" w14:textId="77777777" w:rsidR="009142A3" w:rsidRPr="00CC7E17" w:rsidRDefault="009142A3" w:rsidP="0009624B">
            <w:pPr>
              <w:spacing w:line="360" w:lineRule="auto"/>
              <w:jc w:val="center"/>
              <w:rPr>
                <w:rFonts w:ascii="Arial" w:hAnsi="Arial" w:cs="Arial"/>
              </w:rPr>
            </w:pPr>
            <w:r w:rsidRPr="00CC7E17">
              <w:rPr>
                <w:rFonts w:ascii="Arial" w:hAnsi="Arial" w:cs="Arial"/>
              </w:rPr>
              <w:t>222</w:t>
            </w:r>
          </w:p>
        </w:tc>
      </w:tr>
      <w:tr w:rsidR="009142A3" w:rsidRPr="00CC7E17" w14:paraId="76E9BC80" w14:textId="77777777" w:rsidTr="009142A3">
        <w:trPr>
          <w:trHeight w:hRule="exact" w:val="288"/>
        </w:trPr>
        <w:tc>
          <w:tcPr>
            <w:tcW w:w="4840" w:type="dxa"/>
            <w:hideMark/>
          </w:tcPr>
          <w:p w14:paraId="118C6CA1" w14:textId="77777777" w:rsidR="009142A3" w:rsidRPr="006401AD" w:rsidRDefault="009142A3" w:rsidP="0009624B">
            <w:pPr>
              <w:spacing w:line="360" w:lineRule="auto"/>
              <w:rPr>
                <w:rFonts w:ascii="Arial" w:hAnsi="Arial" w:cs="Arial"/>
              </w:rPr>
            </w:pPr>
            <w:r w:rsidRPr="00CC7E17">
              <w:rPr>
                <w:rFonts w:ascii="Arial" w:hAnsi="Arial" w:cs="Arial"/>
              </w:rPr>
              <w:t>Pediatric Neonatology</w:t>
            </w:r>
          </w:p>
        </w:tc>
        <w:tc>
          <w:tcPr>
            <w:tcW w:w="1002" w:type="dxa"/>
            <w:hideMark/>
          </w:tcPr>
          <w:p w14:paraId="533016DB" w14:textId="77777777" w:rsidR="009142A3" w:rsidRPr="00CC7E17" w:rsidRDefault="009142A3" w:rsidP="0009624B">
            <w:pPr>
              <w:spacing w:line="360" w:lineRule="auto"/>
              <w:jc w:val="center"/>
              <w:rPr>
                <w:rFonts w:ascii="Arial" w:hAnsi="Arial" w:cs="Arial"/>
              </w:rPr>
            </w:pPr>
            <w:r w:rsidRPr="00CC7E17">
              <w:rPr>
                <w:rFonts w:ascii="Arial" w:hAnsi="Arial" w:cs="Arial"/>
              </w:rPr>
              <w:t>191</w:t>
            </w:r>
          </w:p>
        </w:tc>
      </w:tr>
      <w:tr w:rsidR="009142A3" w:rsidRPr="00CC7E17" w14:paraId="652DFE3E" w14:textId="77777777" w:rsidTr="009142A3">
        <w:trPr>
          <w:trHeight w:hRule="exact" w:val="288"/>
        </w:trPr>
        <w:tc>
          <w:tcPr>
            <w:tcW w:w="4840" w:type="dxa"/>
            <w:hideMark/>
          </w:tcPr>
          <w:p w14:paraId="7FF17EBF" w14:textId="77777777" w:rsidR="009142A3" w:rsidRPr="006401AD" w:rsidRDefault="009142A3" w:rsidP="0009624B">
            <w:pPr>
              <w:spacing w:line="360" w:lineRule="auto"/>
              <w:rPr>
                <w:rFonts w:ascii="Arial" w:hAnsi="Arial" w:cs="Arial"/>
              </w:rPr>
            </w:pPr>
            <w:r w:rsidRPr="00CC7E17">
              <w:rPr>
                <w:rFonts w:ascii="Arial" w:hAnsi="Arial" w:cs="Arial"/>
              </w:rPr>
              <w:t>Obstetrics</w:t>
            </w:r>
          </w:p>
        </w:tc>
        <w:tc>
          <w:tcPr>
            <w:tcW w:w="1002" w:type="dxa"/>
            <w:hideMark/>
          </w:tcPr>
          <w:p w14:paraId="6E985627" w14:textId="77777777" w:rsidR="009142A3" w:rsidRPr="00CC7E17" w:rsidRDefault="009142A3" w:rsidP="0009624B">
            <w:pPr>
              <w:spacing w:line="360" w:lineRule="auto"/>
              <w:jc w:val="center"/>
              <w:rPr>
                <w:rFonts w:ascii="Arial" w:hAnsi="Arial" w:cs="Arial"/>
              </w:rPr>
            </w:pPr>
            <w:r w:rsidRPr="00CC7E17">
              <w:rPr>
                <w:rFonts w:ascii="Arial" w:hAnsi="Arial" w:cs="Arial"/>
              </w:rPr>
              <w:t>155</w:t>
            </w:r>
          </w:p>
        </w:tc>
      </w:tr>
      <w:tr w:rsidR="009142A3" w:rsidRPr="00CC7E17" w14:paraId="7E246C0D" w14:textId="77777777" w:rsidTr="009142A3">
        <w:trPr>
          <w:trHeight w:hRule="exact" w:val="288"/>
        </w:trPr>
        <w:tc>
          <w:tcPr>
            <w:tcW w:w="4840" w:type="dxa"/>
            <w:hideMark/>
          </w:tcPr>
          <w:p w14:paraId="307F75E7" w14:textId="77777777" w:rsidR="009142A3" w:rsidRPr="006401AD" w:rsidRDefault="009142A3" w:rsidP="0009624B">
            <w:pPr>
              <w:spacing w:line="360" w:lineRule="auto"/>
              <w:rPr>
                <w:rFonts w:ascii="Arial" w:hAnsi="Arial" w:cs="Arial"/>
              </w:rPr>
            </w:pPr>
            <w:r w:rsidRPr="00CC7E17">
              <w:rPr>
                <w:rFonts w:ascii="Arial" w:hAnsi="Arial" w:cs="Arial"/>
              </w:rPr>
              <w:t>Rheumatology</w:t>
            </w:r>
          </w:p>
        </w:tc>
        <w:tc>
          <w:tcPr>
            <w:tcW w:w="1002" w:type="dxa"/>
            <w:hideMark/>
          </w:tcPr>
          <w:p w14:paraId="24DAEF8B" w14:textId="77777777" w:rsidR="009142A3" w:rsidRPr="00CC7E17" w:rsidRDefault="009142A3" w:rsidP="0009624B">
            <w:pPr>
              <w:spacing w:line="360" w:lineRule="auto"/>
              <w:jc w:val="center"/>
              <w:rPr>
                <w:rFonts w:ascii="Arial" w:hAnsi="Arial" w:cs="Arial"/>
              </w:rPr>
            </w:pPr>
            <w:r w:rsidRPr="00CC7E17">
              <w:rPr>
                <w:rFonts w:ascii="Arial" w:hAnsi="Arial" w:cs="Arial"/>
              </w:rPr>
              <w:t>148</w:t>
            </w:r>
          </w:p>
        </w:tc>
      </w:tr>
      <w:tr w:rsidR="009142A3" w:rsidRPr="00CC7E17" w14:paraId="4B2DB86F" w14:textId="77777777" w:rsidTr="009142A3">
        <w:trPr>
          <w:trHeight w:hRule="exact" w:val="288"/>
        </w:trPr>
        <w:tc>
          <w:tcPr>
            <w:tcW w:w="4840" w:type="dxa"/>
            <w:hideMark/>
          </w:tcPr>
          <w:p w14:paraId="565236A4" w14:textId="77777777" w:rsidR="009142A3" w:rsidRPr="006401AD" w:rsidRDefault="009142A3" w:rsidP="0009624B">
            <w:pPr>
              <w:spacing w:line="360" w:lineRule="auto"/>
              <w:rPr>
                <w:rFonts w:ascii="Arial" w:hAnsi="Arial" w:cs="Arial"/>
              </w:rPr>
            </w:pPr>
            <w:r w:rsidRPr="00CC7E17">
              <w:rPr>
                <w:rFonts w:ascii="Arial" w:hAnsi="Arial" w:cs="Arial"/>
              </w:rPr>
              <w:t>Endocrine</w:t>
            </w:r>
          </w:p>
        </w:tc>
        <w:tc>
          <w:tcPr>
            <w:tcW w:w="1002" w:type="dxa"/>
            <w:hideMark/>
          </w:tcPr>
          <w:p w14:paraId="2B071E9A" w14:textId="77777777" w:rsidR="009142A3" w:rsidRPr="00CC7E17" w:rsidRDefault="009142A3" w:rsidP="0009624B">
            <w:pPr>
              <w:spacing w:line="360" w:lineRule="auto"/>
              <w:jc w:val="center"/>
              <w:rPr>
                <w:rFonts w:ascii="Arial" w:hAnsi="Arial" w:cs="Arial"/>
              </w:rPr>
            </w:pPr>
            <w:r w:rsidRPr="00CC7E17">
              <w:rPr>
                <w:rFonts w:ascii="Arial" w:hAnsi="Arial" w:cs="Arial"/>
              </w:rPr>
              <w:t>104</w:t>
            </w:r>
          </w:p>
        </w:tc>
      </w:tr>
      <w:tr w:rsidR="009142A3" w:rsidRPr="00CC7E17" w14:paraId="62640C84" w14:textId="77777777" w:rsidTr="009142A3">
        <w:trPr>
          <w:trHeight w:hRule="exact" w:val="288"/>
        </w:trPr>
        <w:tc>
          <w:tcPr>
            <w:tcW w:w="4840" w:type="dxa"/>
            <w:hideMark/>
          </w:tcPr>
          <w:p w14:paraId="340966E5" w14:textId="77777777" w:rsidR="009142A3" w:rsidRPr="006401AD" w:rsidRDefault="009142A3" w:rsidP="0009624B">
            <w:pPr>
              <w:spacing w:line="360" w:lineRule="auto"/>
              <w:rPr>
                <w:rFonts w:ascii="Arial" w:hAnsi="Arial" w:cs="Arial"/>
              </w:rPr>
            </w:pPr>
            <w:r w:rsidRPr="00CC7E17">
              <w:rPr>
                <w:rFonts w:ascii="Arial" w:hAnsi="Arial" w:cs="Arial"/>
              </w:rPr>
              <w:t>Nephrology</w:t>
            </w:r>
          </w:p>
        </w:tc>
        <w:tc>
          <w:tcPr>
            <w:tcW w:w="1002" w:type="dxa"/>
            <w:hideMark/>
          </w:tcPr>
          <w:p w14:paraId="67BD4099" w14:textId="77777777" w:rsidR="009142A3" w:rsidRPr="00CC7E17" w:rsidRDefault="009142A3" w:rsidP="0009624B">
            <w:pPr>
              <w:spacing w:line="360" w:lineRule="auto"/>
              <w:jc w:val="center"/>
              <w:rPr>
                <w:rFonts w:ascii="Arial" w:hAnsi="Arial" w:cs="Arial"/>
              </w:rPr>
            </w:pPr>
            <w:r w:rsidRPr="00CC7E17">
              <w:rPr>
                <w:rFonts w:ascii="Arial" w:hAnsi="Arial" w:cs="Arial"/>
              </w:rPr>
              <w:t>102</w:t>
            </w:r>
          </w:p>
        </w:tc>
      </w:tr>
      <w:tr w:rsidR="009142A3" w:rsidRPr="00CC7E17" w14:paraId="76370E7F" w14:textId="77777777" w:rsidTr="009142A3">
        <w:trPr>
          <w:trHeight w:hRule="exact" w:val="288"/>
        </w:trPr>
        <w:tc>
          <w:tcPr>
            <w:tcW w:w="4840" w:type="dxa"/>
            <w:hideMark/>
          </w:tcPr>
          <w:p w14:paraId="3341031D" w14:textId="77777777" w:rsidR="009142A3" w:rsidRPr="006401AD" w:rsidRDefault="009142A3" w:rsidP="0009624B">
            <w:pPr>
              <w:spacing w:line="360" w:lineRule="auto"/>
              <w:rPr>
                <w:rFonts w:ascii="Arial" w:hAnsi="Arial" w:cs="Arial"/>
              </w:rPr>
            </w:pPr>
            <w:r w:rsidRPr="00CC7E17">
              <w:rPr>
                <w:rFonts w:ascii="Arial" w:hAnsi="Arial" w:cs="Arial"/>
              </w:rPr>
              <w:t>Infectious Disease</w:t>
            </w:r>
          </w:p>
        </w:tc>
        <w:tc>
          <w:tcPr>
            <w:tcW w:w="1002" w:type="dxa"/>
            <w:hideMark/>
          </w:tcPr>
          <w:p w14:paraId="60213D3C" w14:textId="77777777" w:rsidR="009142A3" w:rsidRPr="00CC7E17" w:rsidRDefault="009142A3" w:rsidP="0009624B">
            <w:pPr>
              <w:spacing w:line="360" w:lineRule="auto"/>
              <w:jc w:val="center"/>
              <w:rPr>
                <w:rFonts w:ascii="Arial" w:hAnsi="Arial" w:cs="Arial"/>
              </w:rPr>
            </w:pPr>
            <w:r w:rsidRPr="00CC7E17">
              <w:rPr>
                <w:rFonts w:ascii="Arial" w:hAnsi="Arial" w:cs="Arial"/>
              </w:rPr>
              <w:t>92</w:t>
            </w:r>
          </w:p>
        </w:tc>
      </w:tr>
      <w:tr w:rsidR="009142A3" w:rsidRPr="00CC7E17" w14:paraId="2A416C2B" w14:textId="77777777" w:rsidTr="009142A3">
        <w:trPr>
          <w:trHeight w:hRule="exact" w:val="288"/>
        </w:trPr>
        <w:tc>
          <w:tcPr>
            <w:tcW w:w="4840" w:type="dxa"/>
            <w:hideMark/>
          </w:tcPr>
          <w:p w14:paraId="393406F6" w14:textId="77777777" w:rsidR="009142A3" w:rsidRPr="006401AD" w:rsidRDefault="009142A3" w:rsidP="0009624B">
            <w:pPr>
              <w:spacing w:line="360" w:lineRule="auto"/>
              <w:rPr>
                <w:rFonts w:ascii="Arial" w:hAnsi="Arial" w:cs="Arial"/>
              </w:rPr>
            </w:pPr>
            <w:r w:rsidRPr="00CC7E17">
              <w:rPr>
                <w:rFonts w:ascii="Arial" w:hAnsi="Arial" w:cs="Arial"/>
              </w:rPr>
              <w:t>Respirology/Pulmonology</w:t>
            </w:r>
          </w:p>
        </w:tc>
        <w:tc>
          <w:tcPr>
            <w:tcW w:w="1002" w:type="dxa"/>
            <w:hideMark/>
          </w:tcPr>
          <w:p w14:paraId="1BFBE9B4" w14:textId="77777777" w:rsidR="009142A3" w:rsidRPr="00CC7E17" w:rsidRDefault="009142A3" w:rsidP="0009624B">
            <w:pPr>
              <w:spacing w:line="360" w:lineRule="auto"/>
              <w:jc w:val="center"/>
              <w:rPr>
                <w:rFonts w:ascii="Arial" w:hAnsi="Arial" w:cs="Arial"/>
              </w:rPr>
            </w:pPr>
            <w:r w:rsidRPr="00CC7E17">
              <w:rPr>
                <w:rFonts w:ascii="Arial" w:hAnsi="Arial" w:cs="Arial"/>
              </w:rPr>
              <w:t>92</w:t>
            </w:r>
          </w:p>
        </w:tc>
      </w:tr>
      <w:tr w:rsidR="009142A3" w:rsidRPr="00CC7E17" w14:paraId="19053C1C" w14:textId="77777777" w:rsidTr="009142A3">
        <w:trPr>
          <w:trHeight w:hRule="exact" w:val="288"/>
        </w:trPr>
        <w:tc>
          <w:tcPr>
            <w:tcW w:w="4840" w:type="dxa"/>
            <w:hideMark/>
          </w:tcPr>
          <w:p w14:paraId="2ADF75EE" w14:textId="1CAB3D2D" w:rsidR="009142A3" w:rsidRPr="006401AD" w:rsidRDefault="009142A3" w:rsidP="0009624B">
            <w:pPr>
              <w:spacing w:line="360" w:lineRule="auto"/>
              <w:rPr>
                <w:rFonts w:ascii="Arial" w:hAnsi="Arial" w:cs="Arial"/>
              </w:rPr>
            </w:pPr>
            <w:r w:rsidRPr="00CC7E17">
              <w:rPr>
                <w:rFonts w:ascii="Arial" w:hAnsi="Arial" w:cs="Arial"/>
              </w:rPr>
              <w:t xml:space="preserve">Oncology </w:t>
            </w:r>
            <w:r w:rsidR="00C64494">
              <w:rPr>
                <w:rFonts w:ascii="Arial" w:hAnsi="Arial" w:cs="Arial"/>
              </w:rPr>
              <w:t>–</w:t>
            </w:r>
            <w:r w:rsidRPr="00CC7E17">
              <w:rPr>
                <w:rFonts w:ascii="Arial" w:hAnsi="Arial" w:cs="Arial"/>
              </w:rPr>
              <w:t xml:space="preserve"> General</w:t>
            </w:r>
          </w:p>
        </w:tc>
        <w:tc>
          <w:tcPr>
            <w:tcW w:w="1002" w:type="dxa"/>
            <w:hideMark/>
          </w:tcPr>
          <w:p w14:paraId="59BBE9CD" w14:textId="77777777" w:rsidR="009142A3" w:rsidRPr="00CC7E17" w:rsidRDefault="009142A3" w:rsidP="0009624B">
            <w:pPr>
              <w:spacing w:line="360" w:lineRule="auto"/>
              <w:jc w:val="center"/>
              <w:rPr>
                <w:rFonts w:ascii="Arial" w:hAnsi="Arial" w:cs="Arial"/>
              </w:rPr>
            </w:pPr>
            <w:r w:rsidRPr="00CC7E17">
              <w:rPr>
                <w:rFonts w:ascii="Arial" w:hAnsi="Arial" w:cs="Arial"/>
              </w:rPr>
              <w:t>89</w:t>
            </w:r>
          </w:p>
        </w:tc>
      </w:tr>
      <w:tr w:rsidR="009142A3" w:rsidRPr="00CC7E17" w14:paraId="1081DD38" w14:textId="77777777" w:rsidTr="009142A3">
        <w:trPr>
          <w:trHeight w:hRule="exact" w:val="288"/>
        </w:trPr>
        <w:tc>
          <w:tcPr>
            <w:tcW w:w="4840" w:type="dxa"/>
            <w:hideMark/>
          </w:tcPr>
          <w:p w14:paraId="78DFC174" w14:textId="77777777" w:rsidR="009142A3" w:rsidRPr="006401AD" w:rsidRDefault="009142A3" w:rsidP="0009624B">
            <w:pPr>
              <w:spacing w:line="360" w:lineRule="auto"/>
              <w:rPr>
                <w:rFonts w:ascii="Arial" w:hAnsi="Arial" w:cs="Arial"/>
              </w:rPr>
            </w:pPr>
            <w:r w:rsidRPr="00CC7E17">
              <w:rPr>
                <w:rFonts w:ascii="Arial" w:hAnsi="Arial" w:cs="Arial"/>
              </w:rPr>
              <w:t>Gastroenterology</w:t>
            </w:r>
          </w:p>
        </w:tc>
        <w:tc>
          <w:tcPr>
            <w:tcW w:w="1002" w:type="dxa"/>
            <w:hideMark/>
          </w:tcPr>
          <w:p w14:paraId="3B0D83B0" w14:textId="77777777" w:rsidR="009142A3" w:rsidRPr="00CC7E17" w:rsidRDefault="009142A3" w:rsidP="0009624B">
            <w:pPr>
              <w:spacing w:line="360" w:lineRule="auto"/>
              <w:jc w:val="center"/>
              <w:rPr>
                <w:rFonts w:ascii="Arial" w:hAnsi="Arial" w:cs="Arial"/>
              </w:rPr>
            </w:pPr>
            <w:r w:rsidRPr="00CC7E17">
              <w:rPr>
                <w:rFonts w:ascii="Arial" w:hAnsi="Arial" w:cs="Arial"/>
              </w:rPr>
              <w:t>80</w:t>
            </w:r>
          </w:p>
        </w:tc>
      </w:tr>
      <w:tr w:rsidR="009142A3" w:rsidRPr="00CC7E17" w14:paraId="1F52C926" w14:textId="77777777" w:rsidTr="009142A3">
        <w:trPr>
          <w:trHeight w:hRule="exact" w:val="288"/>
        </w:trPr>
        <w:tc>
          <w:tcPr>
            <w:tcW w:w="4840" w:type="dxa"/>
            <w:hideMark/>
          </w:tcPr>
          <w:p w14:paraId="61105E7F" w14:textId="77777777" w:rsidR="009142A3" w:rsidRPr="006401AD" w:rsidRDefault="009142A3" w:rsidP="0009624B">
            <w:pPr>
              <w:spacing w:line="360" w:lineRule="auto"/>
              <w:rPr>
                <w:rFonts w:ascii="Arial" w:hAnsi="Arial" w:cs="Arial"/>
              </w:rPr>
            </w:pPr>
            <w:r w:rsidRPr="00CC7E17">
              <w:rPr>
                <w:rFonts w:ascii="Arial" w:hAnsi="Arial" w:cs="Arial"/>
              </w:rPr>
              <w:t>Pediatric Intensive Care</w:t>
            </w:r>
          </w:p>
        </w:tc>
        <w:tc>
          <w:tcPr>
            <w:tcW w:w="1002" w:type="dxa"/>
            <w:hideMark/>
          </w:tcPr>
          <w:p w14:paraId="4C060DF8" w14:textId="77777777" w:rsidR="009142A3" w:rsidRPr="00CC7E17" w:rsidRDefault="009142A3" w:rsidP="0009624B">
            <w:pPr>
              <w:spacing w:line="360" w:lineRule="auto"/>
              <w:jc w:val="center"/>
              <w:rPr>
                <w:rFonts w:ascii="Arial" w:hAnsi="Arial" w:cs="Arial"/>
              </w:rPr>
            </w:pPr>
            <w:r w:rsidRPr="00CC7E17">
              <w:rPr>
                <w:rFonts w:ascii="Arial" w:hAnsi="Arial" w:cs="Arial"/>
              </w:rPr>
              <w:t>79</w:t>
            </w:r>
          </w:p>
        </w:tc>
      </w:tr>
      <w:tr w:rsidR="009142A3" w:rsidRPr="00CC7E17" w14:paraId="1CF9B552" w14:textId="77777777" w:rsidTr="009142A3">
        <w:trPr>
          <w:trHeight w:hRule="exact" w:val="288"/>
        </w:trPr>
        <w:tc>
          <w:tcPr>
            <w:tcW w:w="4840" w:type="dxa"/>
            <w:hideMark/>
          </w:tcPr>
          <w:p w14:paraId="45FB796A" w14:textId="77777777" w:rsidR="009142A3" w:rsidRPr="006401AD" w:rsidRDefault="009142A3" w:rsidP="0009624B">
            <w:pPr>
              <w:spacing w:line="360" w:lineRule="auto"/>
              <w:rPr>
                <w:rFonts w:ascii="Arial" w:hAnsi="Arial" w:cs="Arial"/>
              </w:rPr>
            </w:pPr>
            <w:r w:rsidRPr="00CC7E17">
              <w:rPr>
                <w:rFonts w:ascii="Arial" w:hAnsi="Arial" w:cs="Arial"/>
              </w:rPr>
              <w:t>Pediatric Hospital Medicine</w:t>
            </w:r>
          </w:p>
        </w:tc>
        <w:tc>
          <w:tcPr>
            <w:tcW w:w="1002" w:type="dxa"/>
            <w:hideMark/>
          </w:tcPr>
          <w:p w14:paraId="5B6DC3B4" w14:textId="77777777" w:rsidR="009142A3" w:rsidRPr="00CC7E17" w:rsidRDefault="009142A3" w:rsidP="0009624B">
            <w:pPr>
              <w:spacing w:line="360" w:lineRule="auto"/>
              <w:jc w:val="center"/>
              <w:rPr>
                <w:rFonts w:ascii="Arial" w:hAnsi="Arial" w:cs="Arial"/>
              </w:rPr>
            </w:pPr>
            <w:r w:rsidRPr="00CC7E17">
              <w:rPr>
                <w:rFonts w:ascii="Arial" w:hAnsi="Arial" w:cs="Arial"/>
              </w:rPr>
              <w:t>76</w:t>
            </w:r>
          </w:p>
        </w:tc>
      </w:tr>
      <w:tr w:rsidR="009142A3" w:rsidRPr="00CC7E17" w14:paraId="6ECB04C2" w14:textId="77777777" w:rsidTr="009142A3">
        <w:trPr>
          <w:trHeight w:hRule="exact" w:val="288"/>
        </w:trPr>
        <w:tc>
          <w:tcPr>
            <w:tcW w:w="4840" w:type="dxa"/>
            <w:hideMark/>
          </w:tcPr>
          <w:p w14:paraId="32ADD7F7" w14:textId="77777777" w:rsidR="009142A3" w:rsidRPr="006401AD" w:rsidRDefault="009142A3" w:rsidP="0009624B">
            <w:pPr>
              <w:spacing w:line="360" w:lineRule="auto"/>
              <w:rPr>
                <w:rFonts w:ascii="Arial" w:hAnsi="Arial" w:cs="Arial"/>
              </w:rPr>
            </w:pPr>
            <w:r w:rsidRPr="00CC7E17">
              <w:rPr>
                <w:rFonts w:ascii="Arial" w:hAnsi="Arial" w:cs="Arial"/>
              </w:rPr>
              <w:t>Hematology/Thrombosis</w:t>
            </w:r>
          </w:p>
        </w:tc>
        <w:tc>
          <w:tcPr>
            <w:tcW w:w="1002" w:type="dxa"/>
            <w:hideMark/>
          </w:tcPr>
          <w:p w14:paraId="5242FC04" w14:textId="77777777" w:rsidR="009142A3" w:rsidRPr="00CC7E17" w:rsidRDefault="009142A3" w:rsidP="0009624B">
            <w:pPr>
              <w:spacing w:line="360" w:lineRule="auto"/>
              <w:jc w:val="center"/>
              <w:rPr>
                <w:rFonts w:ascii="Arial" w:hAnsi="Arial" w:cs="Arial"/>
              </w:rPr>
            </w:pPr>
            <w:r w:rsidRPr="00CC7E17">
              <w:rPr>
                <w:rFonts w:ascii="Arial" w:hAnsi="Arial" w:cs="Arial"/>
              </w:rPr>
              <w:t>72</w:t>
            </w:r>
          </w:p>
        </w:tc>
      </w:tr>
      <w:tr w:rsidR="009142A3" w:rsidRPr="00CC7E17" w14:paraId="772D8ECF" w14:textId="77777777" w:rsidTr="009142A3">
        <w:trPr>
          <w:trHeight w:hRule="exact" w:val="288"/>
        </w:trPr>
        <w:tc>
          <w:tcPr>
            <w:tcW w:w="4840" w:type="dxa"/>
            <w:hideMark/>
          </w:tcPr>
          <w:p w14:paraId="7D828879" w14:textId="77777777" w:rsidR="009142A3" w:rsidRPr="006401AD" w:rsidRDefault="009142A3" w:rsidP="0009624B">
            <w:pPr>
              <w:spacing w:line="360" w:lineRule="auto"/>
              <w:rPr>
                <w:rFonts w:ascii="Arial" w:hAnsi="Arial" w:cs="Arial"/>
              </w:rPr>
            </w:pPr>
            <w:r w:rsidRPr="00CC7E17">
              <w:rPr>
                <w:rFonts w:ascii="Arial" w:hAnsi="Arial" w:cs="Arial"/>
              </w:rPr>
              <w:t>Psychiatry</w:t>
            </w:r>
          </w:p>
        </w:tc>
        <w:tc>
          <w:tcPr>
            <w:tcW w:w="1002" w:type="dxa"/>
            <w:hideMark/>
          </w:tcPr>
          <w:p w14:paraId="13BA8FDB" w14:textId="77777777" w:rsidR="009142A3" w:rsidRPr="00CC7E17" w:rsidRDefault="009142A3" w:rsidP="0009624B">
            <w:pPr>
              <w:spacing w:line="360" w:lineRule="auto"/>
              <w:jc w:val="center"/>
              <w:rPr>
                <w:rFonts w:ascii="Arial" w:hAnsi="Arial" w:cs="Arial"/>
              </w:rPr>
            </w:pPr>
            <w:r w:rsidRPr="00CC7E17">
              <w:rPr>
                <w:rFonts w:ascii="Arial" w:hAnsi="Arial" w:cs="Arial"/>
              </w:rPr>
              <w:t>60</w:t>
            </w:r>
          </w:p>
        </w:tc>
      </w:tr>
      <w:tr w:rsidR="009142A3" w:rsidRPr="00CC7E17" w14:paraId="75E79928" w14:textId="77777777" w:rsidTr="009142A3">
        <w:trPr>
          <w:trHeight w:hRule="exact" w:val="288"/>
        </w:trPr>
        <w:tc>
          <w:tcPr>
            <w:tcW w:w="4840" w:type="dxa"/>
            <w:hideMark/>
          </w:tcPr>
          <w:p w14:paraId="29CC9BA1" w14:textId="77777777" w:rsidR="009142A3" w:rsidRPr="006401AD" w:rsidRDefault="009142A3" w:rsidP="0009624B">
            <w:pPr>
              <w:spacing w:line="360" w:lineRule="auto"/>
              <w:rPr>
                <w:rFonts w:ascii="Arial" w:hAnsi="Arial" w:cs="Arial"/>
              </w:rPr>
            </w:pPr>
            <w:r w:rsidRPr="00CC7E17">
              <w:rPr>
                <w:rFonts w:ascii="Arial" w:hAnsi="Arial" w:cs="Arial"/>
              </w:rPr>
              <w:t>Emergency Medicine</w:t>
            </w:r>
          </w:p>
        </w:tc>
        <w:tc>
          <w:tcPr>
            <w:tcW w:w="1002" w:type="dxa"/>
            <w:hideMark/>
          </w:tcPr>
          <w:p w14:paraId="297B2FDA" w14:textId="77777777" w:rsidR="009142A3" w:rsidRPr="00CC7E17" w:rsidRDefault="009142A3" w:rsidP="0009624B">
            <w:pPr>
              <w:spacing w:line="360" w:lineRule="auto"/>
              <w:jc w:val="center"/>
              <w:rPr>
                <w:rFonts w:ascii="Arial" w:hAnsi="Arial" w:cs="Arial"/>
              </w:rPr>
            </w:pPr>
            <w:r w:rsidRPr="00CC7E17">
              <w:rPr>
                <w:rFonts w:ascii="Arial" w:hAnsi="Arial" w:cs="Arial"/>
              </w:rPr>
              <w:t>57</w:t>
            </w:r>
          </w:p>
        </w:tc>
      </w:tr>
      <w:tr w:rsidR="009142A3" w:rsidRPr="00CC7E17" w14:paraId="7F60CEAF" w14:textId="77777777" w:rsidTr="009142A3">
        <w:trPr>
          <w:trHeight w:hRule="exact" w:val="288"/>
        </w:trPr>
        <w:tc>
          <w:tcPr>
            <w:tcW w:w="4840" w:type="dxa"/>
            <w:hideMark/>
          </w:tcPr>
          <w:p w14:paraId="50EB8100" w14:textId="77777777" w:rsidR="009142A3" w:rsidRPr="006401AD" w:rsidRDefault="009142A3" w:rsidP="0009624B">
            <w:pPr>
              <w:spacing w:line="360" w:lineRule="auto"/>
              <w:rPr>
                <w:rFonts w:ascii="Arial" w:hAnsi="Arial" w:cs="Arial"/>
              </w:rPr>
            </w:pPr>
            <w:r w:rsidRPr="00CC7E17">
              <w:rPr>
                <w:rFonts w:ascii="Arial" w:hAnsi="Arial" w:cs="Arial"/>
              </w:rPr>
              <w:t>Geriatrics</w:t>
            </w:r>
          </w:p>
        </w:tc>
        <w:tc>
          <w:tcPr>
            <w:tcW w:w="1002" w:type="dxa"/>
            <w:hideMark/>
          </w:tcPr>
          <w:p w14:paraId="75C0C55F" w14:textId="77777777" w:rsidR="009142A3" w:rsidRPr="00CC7E17" w:rsidRDefault="009142A3" w:rsidP="0009624B">
            <w:pPr>
              <w:spacing w:line="360" w:lineRule="auto"/>
              <w:jc w:val="center"/>
              <w:rPr>
                <w:rFonts w:ascii="Arial" w:hAnsi="Arial" w:cs="Arial"/>
              </w:rPr>
            </w:pPr>
            <w:r w:rsidRPr="00CC7E17">
              <w:rPr>
                <w:rFonts w:ascii="Arial" w:hAnsi="Arial" w:cs="Arial"/>
              </w:rPr>
              <w:t>57</w:t>
            </w:r>
          </w:p>
        </w:tc>
      </w:tr>
      <w:tr w:rsidR="009142A3" w:rsidRPr="00CC7E17" w14:paraId="40802AAE" w14:textId="77777777" w:rsidTr="009142A3">
        <w:trPr>
          <w:trHeight w:hRule="exact" w:val="288"/>
        </w:trPr>
        <w:tc>
          <w:tcPr>
            <w:tcW w:w="4840" w:type="dxa"/>
            <w:hideMark/>
          </w:tcPr>
          <w:p w14:paraId="3FE61579" w14:textId="77777777" w:rsidR="009142A3" w:rsidRPr="006401AD" w:rsidRDefault="009142A3" w:rsidP="0009624B">
            <w:pPr>
              <w:spacing w:line="360" w:lineRule="auto"/>
              <w:rPr>
                <w:rFonts w:ascii="Arial" w:hAnsi="Arial" w:cs="Arial"/>
              </w:rPr>
            </w:pPr>
            <w:r w:rsidRPr="00CC7E17">
              <w:rPr>
                <w:rFonts w:ascii="Arial" w:hAnsi="Arial" w:cs="Arial"/>
              </w:rPr>
              <w:t>Intensivist/Critical Care</w:t>
            </w:r>
          </w:p>
        </w:tc>
        <w:tc>
          <w:tcPr>
            <w:tcW w:w="1002" w:type="dxa"/>
            <w:hideMark/>
          </w:tcPr>
          <w:p w14:paraId="78D28D35" w14:textId="77777777" w:rsidR="009142A3" w:rsidRPr="00CC7E17" w:rsidRDefault="009142A3" w:rsidP="0009624B">
            <w:pPr>
              <w:spacing w:line="360" w:lineRule="auto"/>
              <w:jc w:val="center"/>
              <w:rPr>
                <w:rFonts w:ascii="Arial" w:hAnsi="Arial" w:cs="Arial"/>
              </w:rPr>
            </w:pPr>
            <w:r w:rsidRPr="00CC7E17">
              <w:rPr>
                <w:rFonts w:ascii="Arial" w:hAnsi="Arial" w:cs="Arial"/>
              </w:rPr>
              <w:t>54</w:t>
            </w:r>
          </w:p>
        </w:tc>
      </w:tr>
      <w:tr w:rsidR="009142A3" w:rsidRPr="00CC7E17" w14:paraId="1ABA3C47" w14:textId="77777777" w:rsidTr="009142A3">
        <w:trPr>
          <w:trHeight w:hRule="exact" w:val="288"/>
        </w:trPr>
        <w:tc>
          <w:tcPr>
            <w:tcW w:w="4840" w:type="dxa"/>
            <w:hideMark/>
          </w:tcPr>
          <w:p w14:paraId="0FF23BF1" w14:textId="77777777" w:rsidR="009142A3" w:rsidRPr="006401AD" w:rsidRDefault="009142A3" w:rsidP="0009624B">
            <w:pPr>
              <w:spacing w:line="360" w:lineRule="auto"/>
              <w:rPr>
                <w:rFonts w:ascii="Arial" w:hAnsi="Arial" w:cs="Arial"/>
              </w:rPr>
            </w:pPr>
            <w:r w:rsidRPr="00CC7E17">
              <w:rPr>
                <w:rFonts w:ascii="Arial" w:hAnsi="Arial" w:cs="Arial"/>
              </w:rPr>
              <w:t>Allergy and Immunology</w:t>
            </w:r>
          </w:p>
        </w:tc>
        <w:tc>
          <w:tcPr>
            <w:tcW w:w="1002" w:type="dxa"/>
            <w:hideMark/>
          </w:tcPr>
          <w:p w14:paraId="5AF24126" w14:textId="77777777" w:rsidR="009142A3" w:rsidRPr="00CC7E17" w:rsidRDefault="009142A3" w:rsidP="0009624B">
            <w:pPr>
              <w:spacing w:line="360" w:lineRule="auto"/>
              <w:jc w:val="center"/>
              <w:rPr>
                <w:rFonts w:ascii="Arial" w:hAnsi="Arial" w:cs="Arial"/>
              </w:rPr>
            </w:pPr>
            <w:r w:rsidRPr="00CC7E17">
              <w:rPr>
                <w:rFonts w:ascii="Arial" w:hAnsi="Arial" w:cs="Arial"/>
              </w:rPr>
              <w:t>50</w:t>
            </w:r>
          </w:p>
        </w:tc>
      </w:tr>
      <w:tr w:rsidR="009142A3" w:rsidRPr="00CC7E17" w14:paraId="67AA0405" w14:textId="77777777" w:rsidTr="009142A3">
        <w:trPr>
          <w:trHeight w:hRule="exact" w:val="288"/>
        </w:trPr>
        <w:tc>
          <w:tcPr>
            <w:tcW w:w="4840" w:type="dxa"/>
            <w:hideMark/>
          </w:tcPr>
          <w:p w14:paraId="75A731BA" w14:textId="70569799" w:rsidR="009142A3" w:rsidRPr="006401AD" w:rsidRDefault="009142A3" w:rsidP="0009624B">
            <w:pPr>
              <w:spacing w:line="360" w:lineRule="auto"/>
              <w:rPr>
                <w:rFonts w:ascii="Arial" w:hAnsi="Arial" w:cs="Arial"/>
              </w:rPr>
            </w:pPr>
            <w:r w:rsidRPr="00CC7E17">
              <w:rPr>
                <w:rFonts w:ascii="Arial" w:hAnsi="Arial" w:cs="Arial"/>
              </w:rPr>
              <w:t xml:space="preserve">Surgery </w:t>
            </w:r>
            <w:r w:rsidR="00C64494">
              <w:rPr>
                <w:rFonts w:ascii="Arial" w:hAnsi="Arial" w:cs="Arial"/>
              </w:rPr>
              <w:t>–</w:t>
            </w:r>
            <w:r w:rsidRPr="00CC7E17">
              <w:rPr>
                <w:rFonts w:ascii="Arial" w:hAnsi="Arial" w:cs="Arial"/>
              </w:rPr>
              <w:t xml:space="preserve"> Orthopaedics</w:t>
            </w:r>
          </w:p>
        </w:tc>
        <w:tc>
          <w:tcPr>
            <w:tcW w:w="1002" w:type="dxa"/>
            <w:hideMark/>
          </w:tcPr>
          <w:p w14:paraId="2A2BA6C8" w14:textId="77777777" w:rsidR="009142A3" w:rsidRPr="00CC7E17" w:rsidRDefault="009142A3" w:rsidP="0009624B">
            <w:pPr>
              <w:spacing w:line="360" w:lineRule="auto"/>
              <w:jc w:val="center"/>
              <w:rPr>
                <w:rFonts w:ascii="Arial" w:hAnsi="Arial" w:cs="Arial"/>
              </w:rPr>
            </w:pPr>
            <w:r w:rsidRPr="00CC7E17">
              <w:rPr>
                <w:rFonts w:ascii="Arial" w:hAnsi="Arial" w:cs="Arial"/>
              </w:rPr>
              <w:t>48</w:t>
            </w:r>
          </w:p>
        </w:tc>
      </w:tr>
      <w:tr w:rsidR="009142A3" w:rsidRPr="00CC7E17" w14:paraId="1D490909" w14:textId="77777777" w:rsidTr="009142A3">
        <w:trPr>
          <w:trHeight w:hRule="exact" w:val="288"/>
        </w:trPr>
        <w:tc>
          <w:tcPr>
            <w:tcW w:w="4840" w:type="dxa"/>
            <w:hideMark/>
          </w:tcPr>
          <w:p w14:paraId="00692AF5" w14:textId="77777777" w:rsidR="009142A3" w:rsidRPr="006401AD" w:rsidRDefault="009142A3" w:rsidP="0009624B">
            <w:pPr>
              <w:spacing w:line="360" w:lineRule="auto"/>
              <w:rPr>
                <w:rFonts w:ascii="Arial" w:hAnsi="Arial" w:cs="Arial"/>
              </w:rPr>
            </w:pPr>
            <w:r w:rsidRPr="00CC7E17">
              <w:rPr>
                <w:rFonts w:ascii="Arial" w:hAnsi="Arial" w:cs="Arial"/>
              </w:rPr>
              <w:t>Physical Medicine and Rehabilitation</w:t>
            </w:r>
          </w:p>
        </w:tc>
        <w:tc>
          <w:tcPr>
            <w:tcW w:w="1002" w:type="dxa"/>
            <w:hideMark/>
          </w:tcPr>
          <w:p w14:paraId="5DA1A523" w14:textId="77777777" w:rsidR="009142A3" w:rsidRPr="00CC7E17" w:rsidRDefault="009142A3" w:rsidP="0009624B">
            <w:pPr>
              <w:spacing w:line="360" w:lineRule="auto"/>
              <w:jc w:val="center"/>
              <w:rPr>
                <w:rFonts w:ascii="Arial" w:hAnsi="Arial" w:cs="Arial"/>
              </w:rPr>
            </w:pPr>
            <w:r w:rsidRPr="00CC7E17">
              <w:rPr>
                <w:rFonts w:ascii="Arial" w:hAnsi="Arial" w:cs="Arial"/>
              </w:rPr>
              <w:t>39</w:t>
            </w:r>
          </w:p>
        </w:tc>
      </w:tr>
      <w:tr w:rsidR="009142A3" w:rsidRPr="00CC7E17" w14:paraId="1DD494F7" w14:textId="77777777" w:rsidTr="009142A3">
        <w:trPr>
          <w:trHeight w:hRule="exact" w:val="288"/>
        </w:trPr>
        <w:tc>
          <w:tcPr>
            <w:tcW w:w="4840" w:type="dxa"/>
            <w:hideMark/>
          </w:tcPr>
          <w:p w14:paraId="15EC4D8D" w14:textId="77777777" w:rsidR="009142A3" w:rsidRPr="006401AD" w:rsidRDefault="009142A3" w:rsidP="0009624B">
            <w:pPr>
              <w:spacing w:line="360" w:lineRule="auto"/>
              <w:rPr>
                <w:rFonts w:ascii="Arial" w:hAnsi="Arial" w:cs="Arial"/>
              </w:rPr>
            </w:pPr>
            <w:r w:rsidRPr="00CC7E17">
              <w:rPr>
                <w:rFonts w:ascii="Arial" w:hAnsi="Arial" w:cs="Arial"/>
              </w:rPr>
              <w:t>Genetics</w:t>
            </w:r>
          </w:p>
        </w:tc>
        <w:tc>
          <w:tcPr>
            <w:tcW w:w="1002" w:type="dxa"/>
            <w:hideMark/>
          </w:tcPr>
          <w:p w14:paraId="2567E54E" w14:textId="77777777" w:rsidR="009142A3" w:rsidRPr="00CC7E17" w:rsidRDefault="009142A3" w:rsidP="0009624B">
            <w:pPr>
              <w:spacing w:line="360" w:lineRule="auto"/>
              <w:jc w:val="center"/>
              <w:rPr>
                <w:rFonts w:ascii="Arial" w:hAnsi="Arial" w:cs="Arial"/>
              </w:rPr>
            </w:pPr>
            <w:r w:rsidRPr="00CC7E17">
              <w:rPr>
                <w:rFonts w:ascii="Arial" w:hAnsi="Arial" w:cs="Arial"/>
              </w:rPr>
              <w:t>31</w:t>
            </w:r>
          </w:p>
        </w:tc>
      </w:tr>
      <w:tr w:rsidR="009142A3" w:rsidRPr="00CC7E17" w14:paraId="6D9F4424" w14:textId="77777777" w:rsidTr="009142A3">
        <w:trPr>
          <w:trHeight w:hRule="exact" w:val="288"/>
        </w:trPr>
        <w:tc>
          <w:tcPr>
            <w:tcW w:w="4840" w:type="dxa"/>
            <w:hideMark/>
          </w:tcPr>
          <w:p w14:paraId="7F6380F9" w14:textId="77777777" w:rsidR="009142A3" w:rsidRPr="006401AD" w:rsidRDefault="009142A3" w:rsidP="0009624B">
            <w:pPr>
              <w:spacing w:line="360" w:lineRule="auto"/>
              <w:rPr>
                <w:rFonts w:ascii="Arial" w:hAnsi="Arial" w:cs="Arial"/>
              </w:rPr>
            </w:pPr>
            <w:r w:rsidRPr="00CC7E17">
              <w:rPr>
                <w:rFonts w:ascii="Arial" w:hAnsi="Arial" w:cs="Arial"/>
              </w:rPr>
              <w:t>Public Health</w:t>
            </w:r>
          </w:p>
        </w:tc>
        <w:tc>
          <w:tcPr>
            <w:tcW w:w="1002" w:type="dxa"/>
            <w:hideMark/>
          </w:tcPr>
          <w:p w14:paraId="2757C7F8" w14:textId="77777777" w:rsidR="009142A3" w:rsidRPr="00CC7E17" w:rsidRDefault="009142A3" w:rsidP="0009624B">
            <w:pPr>
              <w:spacing w:line="360" w:lineRule="auto"/>
              <w:jc w:val="center"/>
              <w:rPr>
                <w:rFonts w:ascii="Arial" w:hAnsi="Arial" w:cs="Arial"/>
              </w:rPr>
            </w:pPr>
            <w:r w:rsidRPr="00CC7E17">
              <w:rPr>
                <w:rFonts w:ascii="Arial" w:hAnsi="Arial" w:cs="Arial"/>
              </w:rPr>
              <w:t>28</w:t>
            </w:r>
          </w:p>
        </w:tc>
      </w:tr>
      <w:tr w:rsidR="009142A3" w:rsidRPr="00CC7E17" w14:paraId="580A20CF" w14:textId="77777777" w:rsidTr="009142A3">
        <w:trPr>
          <w:trHeight w:hRule="exact" w:val="288"/>
        </w:trPr>
        <w:tc>
          <w:tcPr>
            <w:tcW w:w="4840" w:type="dxa"/>
            <w:hideMark/>
          </w:tcPr>
          <w:p w14:paraId="12060B1F" w14:textId="77777777" w:rsidR="009142A3" w:rsidRPr="006401AD" w:rsidRDefault="009142A3" w:rsidP="0009624B">
            <w:pPr>
              <w:spacing w:line="360" w:lineRule="auto"/>
              <w:rPr>
                <w:rFonts w:ascii="Arial" w:hAnsi="Arial" w:cs="Arial"/>
              </w:rPr>
            </w:pPr>
            <w:r w:rsidRPr="00CC7E17">
              <w:rPr>
                <w:rFonts w:ascii="Arial" w:hAnsi="Arial" w:cs="Arial"/>
              </w:rPr>
              <w:t>Gynecology</w:t>
            </w:r>
          </w:p>
        </w:tc>
        <w:tc>
          <w:tcPr>
            <w:tcW w:w="1002" w:type="dxa"/>
            <w:hideMark/>
          </w:tcPr>
          <w:p w14:paraId="0CE5696D" w14:textId="77777777" w:rsidR="009142A3" w:rsidRPr="00CC7E17" w:rsidRDefault="009142A3" w:rsidP="0009624B">
            <w:pPr>
              <w:spacing w:line="360" w:lineRule="auto"/>
              <w:jc w:val="center"/>
              <w:rPr>
                <w:rFonts w:ascii="Arial" w:hAnsi="Arial" w:cs="Arial"/>
              </w:rPr>
            </w:pPr>
            <w:r w:rsidRPr="00CC7E17">
              <w:rPr>
                <w:rFonts w:ascii="Arial" w:hAnsi="Arial" w:cs="Arial"/>
              </w:rPr>
              <w:t>27</w:t>
            </w:r>
          </w:p>
        </w:tc>
      </w:tr>
      <w:tr w:rsidR="009142A3" w:rsidRPr="00CC7E17" w14:paraId="18448616" w14:textId="77777777" w:rsidTr="009142A3">
        <w:trPr>
          <w:trHeight w:hRule="exact" w:val="288"/>
        </w:trPr>
        <w:tc>
          <w:tcPr>
            <w:tcW w:w="4840" w:type="dxa"/>
            <w:hideMark/>
          </w:tcPr>
          <w:p w14:paraId="17999778" w14:textId="4502C7E3" w:rsidR="009142A3" w:rsidRPr="006401AD" w:rsidRDefault="009142A3" w:rsidP="0009624B">
            <w:pPr>
              <w:spacing w:line="360" w:lineRule="auto"/>
              <w:rPr>
                <w:rFonts w:ascii="Arial" w:hAnsi="Arial" w:cs="Arial"/>
              </w:rPr>
            </w:pPr>
            <w:r w:rsidRPr="00CC7E17">
              <w:rPr>
                <w:rFonts w:ascii="Arial" w:hAnsi="Arial" w:cs="Arial"/>
              </w:rPr>
              <w:t xml:space="preserve">Oncology </w:t>
            </w:r>
            <w:r w:rsidR="00C64494">
              <w:rPr>
                <w:rFonts w:ascii="Arial" w:hAnsi="Arial" w:cs="Arial"/>
              </w:rPr>
              <w:t>–</w:t>
            </w:r>
            <w:r w:rsidRPr="00CC7E17">
              <w:rPr>
                <w:rFonts w:ascii="Arial" w:hAnsi="Arial" w:cs="Arial"/>
              </w:rPr>
              <w:t xml:space="preserve"> Breast</w:t>
            </w:r>
          </w:p>
        </w:tc>
        <w:tc>
          <w:tcPr>
            <w:tcW w:w="1002" w:type="dxa"/>
            <w:hideMark/>
          </w:tcPr>
          <w:p w14:paraId="7A548A24" w14:textId="77777777" w:rsidR="009142A3" w:rsidRPr="00CC7E17" w:rsidRDefault="009142A3" w:rsidP="0009624B">
            <w:pPr>
              <w:spacing w:line="360" w:lineRule="auto"/>
              <w:jc w:val="center"/>
              <w:rPr>
                <w:rFonts w:ascii="Arial" w:hAnsi="Arial" w:cs="Arial"/>
              </w:rPr>
            </w:pPr>
            <w:r w:rsidRPr="00CC7E17">
              <w:rPr>
                <w:rFonts w:ascii="Arial" w:hAnsi="Arial" w:cs="Arial"/>
              </w:rPr>
              <w:t>24</w:t>
            </w:r>
          </w:p>
        </w:tc>
      </w:tr>
    </w:tbl>
    <w:p w14:paraId="17D8A8FA" w14:textId="16BB1A52" w:rsidR="009142A3" w:rsidRPr="00CC7E17" w:rsidRDefault="000A29F5" w:rsidP="0009624B">
      <w:pPr>
        <w:pStyle w:val="Caption"/>
        <w:spacing w:line="360" w:lineRule="auto"/>
        <w:rPr>
          <w:rFonts w:ascii="Arial" w:eastAsia="Arial" w:hAnsi="Arial" w:cs="Arial"/>
          <w:sz w:val="24"/>
          <w:szCs w:val="24"/>
        </w:rPr>
      </w:pPr>
      <w:bookmarkStart w:id="66" w:name="_Toc271786981"/>
      <w:r w:rsidRPr="00CC7E17">
        <w:rPr>
          <w:rFonts w:ascii="Arial" w:hAnsi="Arial" w:cs="Arial"/>
        </w:rPr>
        <w:t>APPENDIX 2 TABLE</w:t>
      </w:r>
      <w:r w:rsidR="00A50237">
        <w:rPr>
          <w:rFonts w:ascii="Arial" w:hAnsi="Arial" w:cs="Arial"/>
        </w:rPr>
        <w:t xml:space="preserve"> </w:t>
      </w:r>
      <w:r w:rsidRPr="009E57CF">
        <w:rPr>
          <w:rFonts w:ascii="Arial" w:hAnsi="Arial" w:cs="Arial"/>
        </w:rPr>
        <w:fldChar w:fldCharType="begin"/>
      </w:r>
      <w:r w:rsidRPr="00CC7E17">
        <w:rPr>
          <w:rFonts w:ascii="Arial" w:hAnsi="Arial" w:cs="Arial"/>
        </w:rPr>
        <w:instrText xml:space="preserve"> SEQ APPENDIX_2_TABLE_ \* ARABIC </w:instrText>
      </w:r>
      <w:r w:rsidRPr="009E57CF">
        <w:rPr>
          <w:rFonts w:ascii="Arial" w:hAnsi="Arial" w:cs="Arial"/>
        </w:rPr>
        <w:fldChar w:fldCharType="separate"/>
      </w:r>
      <w:r w:rsidRPr="00CC7E17">
        <w:rPr>
          <w:rFonts w:ascii="Arial" w:hAnsi="Arial" w:cs="Arial"/>
          <w:noProof/>
        </w:rPr>
        <w:t>2</w:t>
      </w:r>
      <w:r w:rsidRPr="009E57CF">
        <w:rPr>
          <w:rFonts w:ascii="Arial" w:hAnsi="Arial" w:cs="Arial"/>
        </w:rPr>
        <w:fldChar w:fldCharType="end"/>
      </w:r>
      <w:r w:rsidRPr="00CC7E17">
        <w:rPr>
          <w:rFonts w:ascii="Arial" w:hAnsi="Arial" w:cs="Arial"/>
        </w:rPr>
        <w:t>: Number of articles per discipline in the plus database as of 2011 (courtesy of dr alfonso iorio)</w:t>
      </w:r>
      <w:bookmarkEnd w:id="66"/>
    </w:p>
    <w:p w14:paraId="68F392DA" w14:textId="77777777" w:rsidR="009142A3" w:rsidRPr="00CC7E17" w:rsidRDefault="009142A3" w:rsidP="0009624B">
      <w:pPr>
        <w:pStyle w:val="BodyA"/>
        <w:spacing w:line="360" w:lineRule="auto"/>
        <w:rPr>
          <w:rFonts w:ascii="Arial" w:eastAsia="Arial" w:hAnsi="Arial" w:cs="Arial"/>
        </w:rPr>
      </w:pPr>
    </w:p>
    <w:p w14:paraId="63559B78" w14:textId="77777777" w:rsidR="009142A3" w:rsidRPr="00CC7E17" w:rsidRDefault="009142A3" w:rsidP="0009624B">
      <w:pPr>
        <w:pStyle w:val="BodyA"/>
        <w:spacing w:line="360" w:lineRule="auto"/>
        <w:rPr>
          <w:rFonts w:ascii="Arial" w:eastAsia="Arial" w:hAnsi="Arial" w:cs="Arial"/>
        </w:rPr>
      </w:pPr>
      <w:r w:rsidRPr="00CC7E17">
        <w:rPr>
          <w:rFonts w:ascii="Arial" w:hAnsi="Arial" w:cs="Arial"/>
        </w:rPr>
        <w:t xml:space="preserve">It was decided to choose random disciplines to make sure that any schema that was developed was adaptable enough. The following disciplines were selected to form the subset of papers: </w:t>
      </w:r>
    </w:p>
    <w:p w14:paraId="663A4879" w14:textId="77777777" w:rsidR="009142A3" w:rsidRPr="00CC7E17" w:rsidRDefault="009142A3" w:rsidP="0009624B">
      <w:pPr>
        <w:pStyle w:val="BodyA"/>
        <w:spacing w:line="360" w:lineRule="auto"/>
        <w:rPr>
          <w:rFonts w:ascii="Arial" w:eastAsia="Arial" w:hAnsi="Arial" w:cs="Arial"/>
        </w:rPr>
      </w:pPr>
    </w:p>
    <w:p w14:paraId="64FB29CA" w14:textId="77777777" w:rsidR="009142A3" w:rsidRPr="00CC7E17" w:rsidRDefault="009142A3" w:rsidP="0009624B">
      <w:pPr>
        <w:pStyle w:val="ListParagraph"/>
        <w:numPr>
          <w:ilvl w:val="0"/>
          <w:numId w:val="21"/>
        </w:numPr>
        <w:spacing w:after="200" w:line="360" w:lineRule="auto"/>
        <w:rPr>
          <w:rFonts w:ascii="Arial" w:eastAsia="Calibri" w:hAnsi="Arial" w:cs="Arial"/>
        </w:rPr>
      </w:pPr>
      <w:r w:rsidRPr="00CC7E17">
        <w:rPr>
          <w:rFonts w:ascii="Arial" w:eastAsia="Calibri" w:hAnsi="Arial" w:cs="Arial"/>
        </w:rPr>
        <w:t>Cardiology (11)</w:t>
      </w:r>
    </w:p>
    <w:p w14:paraId="127F1070" w14:textId="77777777" w:rsidR="009142A3" w:rsidRPr="00CC7E17" w:rsidRDefault="009142A3" w:rsidP="0009624B">
      <w:pPr>
        <w:pStyle w:val="ListParagraph"/>
        <w:numPr>
          <w:ilvl w:val="0"/>
          <w:numId w:val="22"/>
        </w:numPr>
        <w:spacing w:after="200" w:line="360" w:lineRule="auto"/>
        <w:rPr>
          <w:rFonts w:ascii="Arial" w:eastAsia="Calibri" w:hAnsi="Arial" w:cs="Arial"/>
        </w:rPr>
      </w:pPr>
      <w:r w:rsidRPr="00CC7E17">
        <w:rPr>
          <w:rFonts w:ascii="Arial" w:eastAsia="Calibri" w:hAnsi="Arial" w:cs="Arial"/>
        </w:rPr>
        <w:t>Internal Medicine (17)</w:t>
      </w:r>
    </w:p>
    <w:p w14:paraId="2FA65B4D" w14:textId="77777777" w:rsidR="009142A3" w:rsidRPr="00CC7E17" w:rsidRDefault="009142A3" w:rsidP="0009624B">
      <w:pPr>
        <w:pStyle w:val="ListParagraph"/>
        <w:numPr>
          <w:ilvl w:val="0"/>
          <w:numId w:val="23"/>
        </w:numPr>
        <w:spacing w:after="200" w:line="360" w:lineRule="auto"/>
        <w:rPr>
          <w:rFonts w:ascii="Arial" w:eastAsia="Calibri" w:hAnsi="Arial" w:cs="Arial"/>
        </w:rPr>
      </w:pPr>
      <w:r w:rsidRPr="00CC7E17">
        <w:rPr>
          <w:rFonts w:ascii="Arial" w:eastAsia="Calibri" w:hAnsi="Arial" w:cs="Arial"/>
        </w:rPr>
        <w:t>Obstetrics (4)</w:t>
      </w:r>
    </w:p>
    <w:p w14:paraId="1C095ECF" w14:textId="77777777" w:rsidR="009142A3" w:rsidRPr="00CC7E17" w:rsidRDefault="009142A3" w:rsidP="0009624B">
      <w:pPr>
        <w:pStyle w:val="ListParagraph"/>
        <w:numPr>
          <w:ilvl w:val="0"/>
          <w:numId w:val="24"/>
        </w:numPr>
        <w:spacing w:after="200" w:line="360" w:lineRule="auto"/>
        <w:rPr>
          <w:rFonts w:ascii="Arial" w:eastAsia="Calibri" w:hAnsi="Arial" w:cs="Arial"/>
        </w:rPr>
      </w:pPr>
      <w:r w:rsidRPr="00CC7E17">
        <w:rPr>
          <w:rFonts w:ascii="Arial" w:eastAsia="Calibri" w:hAnsi="Arial" w:cs="Arial"/>
        </w:rPr>
        <w:t>Pain (4)</w:t>
      </w:r>
    </w:p>
    <w:p w14:paraId="2E86E9C4" w14:textId="77777777" w:rsidR="009142A3" w:rsidRPr="00CC7E17" w:rsidRDefault="009142A3" w:rsidP="0009624B">
      <w:pPr>
        <w:pStyle w:val="ListParagraph"/>
        <w:numPr>
          <w:ilvl w:val="0"/>
          <w:numId w:val="25"/>
        </w:numPr>
        <w:spacing w:after="200" w:line="360" w:lineRule="auto"/>
        <w:rPr>
          <w:rFonts w:ascii="Arial" w:eastAsia="Calibri" w:hAnsi="Arial" w:cs="Arial"/>
        </w:rPr>
      </w:pPr>
      <w:r w:rsidRPr="00CC7E17">
        <w:rPr>
          <w:rFonts w:ascii="Arial" w:eastAsia="Calibri" w:hAnsi="Arial" w:cs="Arial"/>
        </w:rPr>
        <w:t>Surgery- Ear, Nose, Throat (2)</w:t>
      </w:r>
    </w:p>
    <w:p w14:paraId="08C2D162" w14:textId="77777777" w:rsidR="009142A3" w:rsidRPr="00CC7E17" w:rsidRDefault="009142A3" w:rsidP="0009624B">
      <w:pPr>
        <w:pStyle w:val="ListParagraph"/>
        <w:spacing w:after="200" w:line="360" w:lineRule="auto"/>
        <w:ind w:left="0"/>
        <w:rPr>
          <w:rFonts w:ascii="Arial" w:eastAsia="Calibri" w:hAnsi="Arial" w:cs="Arial"/>
        </w:rPr>
      </w:pPr>
      <w:r w:rsidRPr="00CC7E17">
        <w:rPr>
          <w:rFonts w:ascii="Arial" w:eastAsia="Calibri" w:hAnsi="Arial" w:cs="Arial"/>
        </w:rPr>
        <w:t>The goal of the primary feasibility study was to determine whether high quality data could be extracted from papers that populated the PLUS database. The criteria for success was the extraction of useful data from greater or equal to 50% of the total study set. Secondly, it was important to understand whether the schema that was to be developed was adaptable to capture a sufficient amount of data from a wide variety of disciplines.</w:t>
      </w:r>
    </w:p>
    <w:p w14:paraId="34E75386" w14:textId="77777777" w:rsidR="009142A3" w:rsidRPr="00CC7E17" w:rsidRDefault="009142A3" w:rsidP="0009624B">
      <w:pPr>
        <w:pStyle w:val="Body"/>
        <w:spacing w:line="360" w:lineRule="auto"/>
        <w:rPr>
          <w:rFonts w:ascii="Arial" w:hAnsi="Arial" w:cs="Arial"/>
        </w:rPr>
      </w:pPr>
    </w:p>
    <w:p w14:paraId="297C1AFD" w14:textId="77777777" w:rsidR="009142A3" w:rsidRPr="00CC7E17" w:rsidRDefault="009142A3" w:rsidP="0009624B">
      <w:pPr>
        <w:pStyle w:val="Heading4"/>
        <w:spacing w:line="360" w:lineRule="auto"/>
        <w:rPr>
          <w:rFonts w:ascii="Arial" w:eastAsia="Arial" w:hAnsi="Arial" w:cs="Arial"/>
        </w:rPr>
      </w:pPr>
      <w:bookmarkStart w:id="67" w:name="_Toc271280681"/>
      <w:r w:rsidRPr="00CC7E17">
        <w:rPr>
          <w:rFonts w:ascii="Arial" w:hAnsi="Arial" w:cs="Arial"/>
        </w:rPr>
        <w:t>Database Schema</w:t>
      </w:r>
      <w:bookmarkEnd w:id="67"/>
    </w:p>
    <w:p w14:paraId="1924378D" w14:textId="77777777" w:rsidR="009142A3" w:rsidRPr="00CC7E17" w:rsidRDefault="009142A3" w:rsidP="0009624B">
      <w:pPr>
        <w:pStyle w:val="BodyA"/>
        <w:spacing w:line="360" w:lineRule="auto"/>
        <w:rPr>
          <w:rFonts w:ascii="Arial" w:eastAsia="Arial" w:hAnsi="Arial" w:cs="Arial"/>
        </w:rPr>
      </w:pPr>
      <w:r w:rsidRPr="00CC7E17">
        <w:rPr>
          <w:rFonts w:ascii="Arial" w:hAnsi="Arial" w:cs="Arial"/>
        </w:rPr>
        <w:t>The next step was to develop a database schema that was adaptable enough to accurately represent the data available from a wide variety of papers and medical disciplines. The data structure that was decided upon for the feasibility study was as follows:</w:t>
      </w:r>
    </w:p>
    <w:p w14:paraId="1D73D552" w14:textId="77777777" w:rsidR="009142A3" w:rsidRPr="00CC7E17" w:rsidRDefault="009142A3" w:rsidP="0009624B">
      <w:pPr>
        <w:pStyle w:val="Body"/>
        <w:spacing w:line="360" w:lineRule="auto"/>
        <w:rPr>
          <w:rFonts w:ascii="Arial" w:eastAsia="Arial" w:hAnsi="Arial" w:cs="Arial"/>
          <w:sz w:val="24"/>
          <w:szCs w:val="24"/>
        </w:rPr>
      </w:pPr>
      <w:r w:rsidRPr="009E57CF">
        <w:rPr>
          <w:rFonts w:ascii="Arial" w:eastAsia="Arial" w:hAnsi="Arial" w:cs="Arial"/>
          <w:noProof/>
          <w:lang w:val="en-US"/>
        </w:rPr>
        <w:drawing>
          <wp:inline distT="0" distB="0" distL="0" distR="0" wp14:anchorId="26DEF579" wp14:editId="527BE1E5">
            <wp:extent cx="5504815" cy="3908066"/>
            <wp:effectExtent l="0" t="0" r="6985" b="381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13" cstate="email">
                      <a:extLst>
                        <a:ext uri="{28A0092B-C50C-407E-A947-70E740481C1C}">
                          <a14:useLocalDpi xmlns:a14="http://schemas.microsoft.com/office/drawing/2010/main"/>
                        </a:ext>
                      </a:extLst>
                    </a:blip>
                    <a:stretch>
                      <a:fillRect/>
                    </a:stretch>
                  </pic:blipFill>
                  <pic:spPr>
                    <a:xfrm>
                      <a:off x="0" y="0"/>
                      <a:ext cx="5504815" cy="3908066"/>
                    </a:xfrm>
                    <a:prstGeom prst="rect">
                      <a:avLst/>
                    </a:prstGeom>
                    <a:ln w="12700" cap="flat">
                      <a:noFill/>
                      <a:miter lim="400000"/>
                    </a:ln>
                    <a:effectLst/>
                  </pic:spPr>
                </pic:pic>
              </a:graphicData>
            </a:graphic>
          </wp:inline>
        </w:drawing>
      </w:r>
    </w:p>
    <w:p w14:paraId="7FCB6DFF" w14:textId="32697FC0" w:rsidR="009142A3" w:rsidRPr="00CC7E17" w:rsidRDefault="000A29F5" w:rsidP="0009624B">
      <w:pPr>
        <w:pStyle w:val="Caption"/>
        <w:spacing w:line="360" w:lineRule="auto"/>
        <w:rPr>
          <w:rFonts w:ascii="Arial" w:eastAsia="Arial" w:hAnsi="Arial" w:cs="Arial"/>
        </w:rPr>
      </w:pPr>
      <w:bookmarkStart w:id="68" w:name="_Toc271786697"/>
      <w:r w:rsidRPr="00CC7E17">
        <w:rPr>
          <w:rFonts w:ascii="Arial" w:hAnsi="Arial" w:cs="Arial"/>
        </w:rPr>
        <w:t xml:space="preserve">APPENDIX 2 FIGURE </w:t>
      </w:r>
      <w:r w:rsidRPr="009E57CF">
        <w:rPr>
          <w:rFonts w:ascii="Arial" w:hAnsi="Arial" w:cs="Arial"/>
        </w:rPr>
        <w:fldChar w:fldCharType="begin"/>
      </w:r>
      <w:r w:rsidRPr="00CC7E17">
        <w:rPr>
          <w:rFonts w:ascii="Arial" w:hAnsi="Arial" w:cs="Arial"/>
        </w:rPr>
        <w:instrText xml:space="preserve"> SEQ APPENDIX_2_FIGURE \* ARABIC </w:instrText>
      </w:r>
      <w:r w:rsidRPr="009E57CF">
        <w:rPr>
          <w:rFonts w:ascii="Arial" w:hAnsi="Arial" w:cs="Arial"/>
        </w:rPr>
        <w:fldChar w:fldCharType="separate"/>
      </w:r>
      <w:r w:rsidRPr="00CC7E17">
        <w:rPr>
          <w:rFonts w:ascii="Arial" w:hAnsi="Arial" w:cs="Arial"/>
          <w:noProof/>
        </w:rPr>
        <w:t>1</w:t>
      </w:r>
      <w:r w:rsidRPr="009E57CF">
        <w:rPr>
          <w:rFonts w:ascii="Arial" w:hAnsi="Arial" w:cs="Arial"/>
        </w:rPr>
        <w:fldChar w:fldCharType="end"/>
      </w:r>
      <w:r w:rsidRPr="00CC7E17">
        <w:rPr>
          <w:rFonts w:ascii="Arial" w:hAnsi="Arial" w:cs="Arial"/>
        </w:rPr>
        <w:t>: PRELIMINARY DATABASE SCHEMA AS SHOWN ON MICROSOFT ACCESS</w:t>
      </w:r>
      <w:bookmarkEnd w:id="68"/>
    </w:p>
    <w:p w14:paraId="3A47CD38" w14:textId="77777777" w:rsidR="009142A3" w:rsidRPr="00CC7E17" w:rsidRDefault="009142A3" w:rsidP="0009624B">
      <w:pPr>
        <w:pStyle w:val="Body"/>
        <w:spacing w:line="360" w:lineRule="auto"/>
        <w:rPr>
          <w:rFonts w:ascii="Arial" w:hAnsi="Arial" w:cs="Arial"/>
          <w:sz w:val="24"/>
          <w:szCs w:val="24"/>
          <w:lang w:val="en-US"/>
        </w:rPr>
      </w:pPr>
    </w:p>
    <w:p w14:paraId="6F98A14D" w14:textId="77777777" w:rsidR="009142A3" w:rsidRPr="00CC7E17" w:rsidRDefault="009142A3" w:rsidP="0009624B">
      <w:pPr>
        <w:pStyle w:val="Body"/>
        <w:spacing w:line="360" w:lineRule="auto"/>
        <w:rPr>
          <w:rFonts w:ascii="Arial" w:hAnsi="Arial" w:cs="Arial"/>
          <w:sz w:val="24"/>
          <w:szCs w:val="24"/>
          <w:lang w:val="en-US"/>
        </w:rPr>
      </w:pPr>
    </w:p>
    <w:p w14:paraId="4D70FD82" w14:textId="77777777" w:rsidR="009142A3" w:rsidRPr="00CC7E17" w:rsidRDefault="009142A3" w:rsidP="0009624B">
      <w:pPr>
        <w:pStyle w:val="Body"/>
        <w:spacing w:line="360" w:lineRule="auto"/>
        <w:rPr>
          <w:rFonts w:ascii="Arial" w:eastAsia="Arial" w:hAnsi="Arial" w:cs="Arial"/>
          <w:sz w:val="24"/>
          <w:szCs w:val="24"/>
        </w:rPr>
      </w:pPr>
      <w:r w:rsidRPr="00CC7E17">
        <w:rPr>
          <w:rFonts w:ascii="Arial" w:hAnsi="Arial" w:cs="Arial"/>
          <w:sz w:val="24"/>
          <w:szCs w:val="24"/>
          <w:lang w:val="en-US"/>
        </w:rPr>
        <w:t>In essence the database was structured in a way to allow for the repeated use of a defined population, disease and outcome (represented by indexing numbers) while also assigning each piece of baseline risk information an ID. Structuring the database this way allowed for a solution, which would allow for searching based on a particular population, disease, or outcome as well as to be able to search based on a single journal article or even a particular baseline risk data line.</w:t>
      </w:r>
    </w:p>
    <w:p w14:paraId="05A22523" w14:textId="77777777" w:rsidR="009142A3" w:rsidRPr="00CC7E17" w:rsidRDefault="009142A3" w:rsidP="0009624B">
      <w:pPr>
        <w:pStyle w:val="Body"/>
        <w:spacing w:line="360" w:lineRule="auto"/>
        <w:rPr>
          <w:rFonts w:ascii="Arial" w:eastAsia="Arial" w:hAnsi="Arial" w:cs="Arial"/>
        </w:rPr>
      </w:pPr>
    </w:p>
    <w:p w14:paraId="38775195" w14:textId="77777777" w:rsidR="009142A3" w:rsidRPr="00CC7E17" w:rsidRDefault="009142A3" w:rsidP="0009624B">
      <w:pPr>
        <w:pStyle w:val="Heading4"/>
        <w:spacing w:line="360" w:lineRule="auto"/>
        <w:rPr>
          <w:rFonts w:ascii="Arial" w:eastAsia="Arial" w:hAnsi="Arial" w:cs="Arial"/>
        </w:rPr>
      </w:pPr>
      <w:bookmarkStart w:id="69" w:name="_Toc271280684"/>
      <w:r w:rsidRPr="00CC7E17">
        <w:rPr>
          <w:rFonts w:ascii="Arial" w:hAnsi="Arial" w:cs="Arial"/>
        </w:rPr>
        <w:t>Data Extraction Process and Rules</w:t>
      </w:r>
      <w:bookmarkEnd w:id="69"/>
    </w:p>
    <w:p w14:paraId="54819EDD" w14:textId="77777777" w:rsidR="009142A3" w:rsidRPr="00CC7E17" w:rsidRDefault="009142A3" w:rsidP="0009624B">
      <w:pPr>
        <w:pStyle w:val="BodyA"/>
        <w:spacing w:line="360" w:lineRule="auto"/>
        <w:rPr>
          <w:rFonts w:ascii="Arial" w:eastAsia="Arial" w:hAnsi="Arial" w:cs="Arial"/>
        </w:rPr>
      </w:pPr>
      <w:r w:rsidRPr="00CC7E17">
        <w:rPr>
          <w:rFonts w:ascii="Arial" w:hAnsi="Arial" w:cs="Arial"/>
        </w:rPr>
        <w:t xml:space="preserve">Once a structure for the database was agreed upon for the feasibility study, the data extraction process was defined. First, all of the articles in the test set were found on PubMed and their full PDF’s were downloaded to a file. Next, each article in the test set of articles was carefully read and the pertinent data was extracted. In order to reduce the risk of extractor bias, a random selection of the articles were periodically extracted in duplicate and compared to determine whether similar results were obtained. In order to guide extraction, a paper-based form was generated and filled out for each article. The form is shown in the sample extraction below and again in the appendix. Once these forms were filled out for all of the articles in the primary feasibility set, the data was then transferred to an Excel spreadsheet. </w:t>
      </w:r>
    </w:p>
    <w:p w14:paraId="0BB8670B" w14:textId="77777777" w:rsidR="009142A3" w:rsidRPr="00CC7E17" w:rsidRDefault="009142A3" w:rsidP="0009624B">
      <w:pPr>
        <w:pStyle w:val="BodyA"/>
        <w:spacing w:line="360" w:lineRule="auto"/>
        <w:rPr>
          <w:rFonts w:ascii="Arial" w:eastAsia="Arial" w:hAnsi="Arial" w:cs="Arial"/>
        </w:rPr>
      </w:pPr>
    </w:p>
    <w:p w14:paraId="3C55D3E8" w14:textId="77777777" w:rsidR="009142A3" w:rsidRPr="00CC7E17" w:rsidRDefault="009142A3" w:rsidP="0009624B">
      <w:pPr>
        <w:pStyle w:val="BodyA"/>
        <w:spacing w:line="360" w:lineRule="auto"/>
        <w:rPr>
          <w:rFonts w:ascii="Arial" w:eastAsia="Arial" w:hAnsi="Arial" w:cs="Arial"/>
        </w:rPr>
      </w:pPr>
      <w:r w:rsidRPr="00CC7E17">
        <w:rPr>
          <w:rFonts w:ascii="Arial" w:hAnsi="Arial" w:cs="Arial"/>
        </w:rPr>
        <w:t>The most important information to extract is categorized as follows:</w:t>
      </w:r>
    </w:p>
    <w:p w14:paraId="43AF4CFD" w14:textId="77777777" w:rsidR="009142A3" w:rsidRPr="00CC7E17" w:rsidRDefault="009142A3" w:rsidP="0009624B">
      <w:pPr>
        <w:pStyle w:val="BodyA"/>
        <w:numPr>
          <w:ilvl w:val="0"/>
          <w:numId w:val="47"/>
        </w:numPr>
        <w:spacing w:line="360" w:lineRule="auto"/>
        <w:rPr>
          <w:rFonts w:ascii="Arial" w:eastAsia="Arial" w:hAnsi="Arial" w:cs="Arial"/>
        </w:rPr>
      </w:pPr>
      <w:r w:rsidRPr="00CC7E17">
        <w:rPr>
          <w:rFonts w:ascii="Arial" w:hAnsi="Arial" w:cs="Arial"/>
        </w:rPr>
        <w:t xml:space="preserve">Study ID’s for sourcing purposes </w:t>
      </w:r>
    </w:p>
    <w:p w14:paraId="37295A5B" w14:textId="77777777" w:rsidR="009142A3" w:rsidRPr="00CC7E17" w:rsidRDefault="009142A3" w:rsidP="0009624B">
      <w:pPr>
        <w:pStyle w:val="BodyA"/>
        <w:numPr>
          <w:ilvl w:val="1"/>
          <w:numId w:val="48"/>
        </w:numPr>
        <w:spacing w:line="360" w:lineRule="auto"/>
        <w:rPr>
          <w:rFonts w:ascii="Arial" w:eastAsia="Arial" w:hAnsi="Arial" w:cs="Arial"/>
        </w:rPr>
      </w:pPr>
      <w:r w:rsidRPr="00CC7E17">
        <w:rPr>
          <w:rFonts w:ascii="Arial" w:hAnsi="Arial" w:cs="Arial"/>
        </w:rPr>
        <w:t>CAPID, MOREID, PUBMED ID</w:t>
      </w:r>
    </w:p>
    <w:p w14:paraId="487C23BC" w14:textId="77777777" w:rsidR="009142A3" w:rsidRPr="00CC7E17" w:rsidRDefault="009142A3" w:rsidP="0009624B">
      <w:pPr>
        <w:pStyle w:val="BodyA"/>
        <w:numPr>
          <w:ilvl w:val="0"/>
          <w:numId w:val="49"/>
        </w:numPr>
        <w:spacing w:line="360" w:lineRule="auto"/>
        <w:rPr>
          <w:rFonts w:ascii="Arial" w:eastAsia="Arial" w:hAnsi="Arial" w:cs="Arial"/>
        </w:rPr>
      </w:pPr>
      <w:r w:rsidRPr="00CC7E17">
        <w:rPr>
          <w:rFonts w:ascii="Arial" w:hAnsi="Arial" w:cs="Arial"/>
        </w:rPr>
        <w:t xml:space="preserve">Disease Reference </w:t>
      </w:r>
    </w:p>
    <w:p w14:paraId="5D73B27F" w14:textId="77777777" w:rsidR="009142A3" w:rsidRPr="00CC7E17" w:rsidRDefault="009142A3" w:rsidP="0009624B">
      <w:pPr>
        <w:pStyle w:val="BodyA"/>
        <w:numPr>
          <w:ilvl w:val="1"/>
          <w:numId w:val="50"/>
        </w:numPr>
        <w:spacing w:line="360" w:lineRule="auto"/>
        <w:rPr>
          <w:rFonts w:ascii="Arial" w:eastAsia="Arial" w:hAnsi="Arial" w:cs="Arial"/>
        </w:rPr>
      </w:pPr>
      <w:r w:rsidRPr="00CC7E17">
        <w:rPr>
          <w:rFonts w:ascii="Arial" w:hAnsi="Arial" w:cs="Arial"/>
        </w:rPr>
        <w:t xml:space="preserve">SNOMED, Common disease name </w:t>
      </w:r>
    </w:p>
    <w:p w14:paraId="3A938BC0" w14:textId="77777777" w:rsidR="009142A3" w:rsidRPr="00CC7E17" w:rsidRDefault="009142A3" w:rsidP="0009624B">
      <w:pPr>
        <w:pStyle w:val="BodyA"/>
        <w:numPr>
          <w:ilvl w:val="0"/>
          <w:numId w:val="51"/>
        </w:numPr>
        <w:spacing w:line="360" w:lineRule="auto"/>
        <w:rPr>
          <w:rFonts w:ascii="Arial" w:eastAsia="Arial" w:hAnsi="Arial" w:cs="Arial"/>
        </w:rPr>
      </w:pPr>
      <w:r w:rsidRPr="00CC7E17">
        <w:rPr>
          <w:rFonts w:ascii="Arial" w:hAnsi="Arial" w:cs="Arial"/>
        </w:rPr>
        <w:t xml:space="preserve">Population Characteristics </w:t>
      </w:r>
    </w:p>
    <w:p w14:paraId="496527E1" w14:textId="77777777" w:rsidR="009142A3" w:rsidRPr="00CC7E17" w:rsidRDefault="009142A3" w:rsidP="0009624B">
      <w:pPr>
        <w:pStyle w:val="BodyA"/>
        <w:numPr>
          <w:ilvl w:val="1"/>
          <w:numId w:val="52"/>
        </w:numPr>
        <w:spacing w:line="360" w:lineRule="auto"/>
        <w:rPr>
          <w:rFonts w:ascii="Arial" w:eastAsia="Arial" w:hAnsi="Arial" w:cs="Arial"/>
        </w:rPr>
      </w:pPr>
      <w:r w:rsidRPr="00CC7E17">
        <w:rPr>
          <w:rFonts w:ascii="Arial" w:hAnsi="Arial" w:cs="Arial"/>
        </w:rPr>
        <w:t>Severity, surgical procedures, comorbidity, age, gender if indicated, population number</w:t>
      </w:r>
    </w:p>
    <w:p w14:paraId="48B7C87E" w14:textId="77777777" w:rsidR="009142A3" w:rsidRPr="00CC7E17" w:rsidRDefault="009142A3" w:rsidP="0009624B">
      <w:pPr>
        <w:pStyle w:val="BodyA"/>
        <w:numPr>
          <w:ilvl w:val="0"/>
          <w:numId w:val="53"/>
        </w:numPr>
        <w:spacing w:line="360" w:lineRule="auto"/>
        <w:rPr>
          <w:rFonts w:ascii="Arial" w:eastAsia="Arial" w:hAnsi="Arial" w:cs="Arial"/>
        </w:rPr>
      </w:pPr>
      <w:r w:rsidRPr="00CC7E17">
        <w:rPr>
          <w:rFonts w:ascii="Arial" w:hAnsi="Arial" w:cs="Arial"/>
        </w:rPr>
        <w:t xml:space="preserve">Outcomes </w:t>
      </w:r>
    </w:p>
    <w:p w14:paraId="4D9356E0" w14:textId="77777777" w:rsidR="009142A3" w:rsidRPr="00CC7E17" w:rsidRDefault="009142A3" w:rsidP="0009624B">
      <w:pPr>
        <w:pStyle w:val="BodyA"/>
        <w:numPr>
          <w:ilvl w:val="1"/>
          <w:numId w:val="54"/>
        </w:numPr>
        <w:spacing w:line="360" w:lineRule="auto"/>
        <w:rPr>
          <w:rFonts w:ascii="Arial" w:eastAsia="Arial" w:hAnsi="Arial" w:cs="Arial"/>
        </w:rPr>
      </w:pPr>
      <w:r w:rsidRPr="00CC7E17">
        <w:rPr>
          <w:rFonts w:ascii="Arial" w:hAnsi="Arial" w:cs="Arial"/>
        </w:rPr>
        <w:t>Number and/or proportion of events in total population/subpopulation</w:t>
      </w:r>
    </w:p>
    <w:p w14:paraId="2878A5B2" w14:textId="77777777" w:rsidR="009142A3" w:rsidRPr="00CC7E17" w:rsidRDefault="009142A3" w:rsidP="0009624B">
      <w:pPr>
        <w:pStyle w:val="BodyA"/>
        <w:spacing w:line="360" w:lineRule="auto"/>
        <w:rPr>
          <w:rFonts w:ascii="Arial" w:eastAsia="Arial" w:hAnsi="Arial" w:cs="Arial"/>
          <w:u w:val="single"/>
        </w:rPr>
      </w:pPr>
    </w:p>
    <w:p w14:paraId="37795ABB" w14:textId="77777777" w:rsidR="009142A3" w:rsidRPr="00CC7E17" w:rsidRDefault="009142A3" w:rsidP="0009624B">
      <w:pPr>
        <w:pStyle w:val="BodyA"/>
        <w:spacing w:line="360" w:lineRule="auto"/>
        <w:rPr>
          <w:rFonts w:ascii="Arial" w:eastAsia="Arial" w:hAnsi="Arial" w:cs="Arial"/>
          <w:u w:val="single"/>
        </w:rPr>
      </w:pPr>
      <w:r w:rsidRPr="00CC7E17">
        <w:rPr>
          <w:rFonts w:ascii="Arial" w:hAnsi="Arial" w:cs="Arial"/>
        </w:rPr>
        <w:t xml:space="preserve">The following rules were set in advance of the first article being extracted: </w:t>
      </w:r>
    </w:p>
    <w:p w14:paraId="459A9332" w14:textId="77777777" w:rsidR="009142A3" w:rsidRPr="00CC7E17" w:rsidRDefault="009142A3" w:rsidP="0009624B">
      <w:pPr>
        <w:pStyle w:val="BodyA"/>
        <w:numPr>
          <w:ilvl w:val="0"/>
          <w:numId w:val="55"/>
        </w:numPr>
        <w:spacing w:line="360" w:lineRule="auto"/>
        <w:rPr>
          <w:rFonts w:ascii="Arial" w:eastAsia="Arial" w:hAnsi="Arial" w:cs="Arial"/>
          <w:position w:val="-2"/>
          <w:u w:val="single"/>
        </w:rPr>
      </w:pPr>
      <w:r w:rsidRPr="00CC7E17">
        <w:rPr>
          <w:rFonts w:ascii="Arial" w:hAnsi="Arial" w:cs="Arial"/>
        </w:rPr>
        <w:t>Loss to follow up is not to exceed 20%</w:t>
      </w:r>
    </w:p>
    <w:p w14:paraId="560DC825" w14:textId="77777777" w:rsidR="009142A3" w:rsidRPr="00CC7E17" w:rsidRDefault="009142A3" w:rsidP="0009624B">
      <w:pPr>
        <w:pStyle w:val="BodyA"/>
        <w:numPr>
          <w:ilvl w:val="0"/>
          <w:numId w:val="56"/>
        </w:numPr>
        <w:spacing w:line="360" w:lineRule="auto"/>
        <w:rPr>
          <w:rFonts w:ascii="Arial" w:eastAsia="Arial" w:hAnsi="Arial" w:cs="Arial"/>
          <w:position w:val="-2"/>
        </w:rPr>
      </w:pPr>
      <w:r w:rsidRPr="00CC7E17">
        <w:rPr>
          <w:rFonts w:ascii="Arial" w:hAnsi="Arial" w:cs="Arial"/>
        </w:rPr>
        <w:t>When more than one population is reported:</w:t>
      </w:r>
    </w:p>
    <w:p w14:paraId="69C40B41" w14:textId="77777777" w:rsidR="009142A3" w:rsidRPr="00CC7E17" w:rsidRDefault="009142A3" w:rsidP="0009624B">
      <w:pPr>
        <w:pStyle w:val="BodyA"/>
        <w:numPr>
          <w:ilvl w:val="1"/>
          <w:numId w:val="57"/>
        </w:numPr>
        <w:spacing w:line="360" w:lineRule="auto"/>
        <w:rPr>
          <w:rFonts w:ascii="Arial" w:eastAsia="Arial" w:hAnsi="Arial" w:cs="Arial"/>
          <w:position w:val="-2"/>
        </w:rPr>
      </w:pPr>
      <w:r w:rsidRPr="00CC7E17">
        <w:rPr>
          <w:rFonts w:ascii="Arial" w:hAnsi="Arial" w:cs="Arial"/>
        </w:rPr>
        <w:t xml:space="preserve">Extract data for one relevant subpopulation described, sample size and event number </w:t>
      </w:r>
    </w:p>
    <w:p w14:paraId="20F0B852" w14:textId="77777777" w:rsidR="009142A3" w:rsidRPr="00CC7E17" w:rsidRDefault="009142A3" w:rsidP="0009624B">
      <w:pPr>
        <w:pStyle w:val="BodyA"/>
        <w:numPr>
          <w:ilvl w:val="1"/>
          <w:numId w:val="58"/>
        </w:numPr>
        <w:spacing w:line="360" w:lineRule="auto"/>
        <w:rPr>
          <w:rFonts w:ascii="Arial" w:eastAsia="Arial" w:hAnsi="Arial" w:cs="Arial"/>
          <w:position w:val="-2"/>
        </w:rPr>
      </w:pPr>
      <w:r w:rsidRPr="00CC7E17">
        <w:rPr>
          <w:rFonts w:ascii="Arial" w:hAnsi="Arial" w:cs="Arial"/>
        </w:rPr>
        <w:t>Provide relative measures of Risk (RR, OR, HR) only population total value is available for back-calculation</w:t>
      </w:r>
    </w:p>
    <w:p w14:paraId="4DDBF75B" w14:textId="77777777" w:rsidR="009142A3" w:rsidRPr="00CC7E17" w:rsidRDefault="009142A3" w:rsidP="0009624B">
      <w:pPr>
        <w:pStyle w:val="BodyA"/>
        <w:numPr>
          <w:ilvl w:val="1"/>
          <w:numId w:val="59"/>
        </w:numPr>
        <w:spacing w:line="360" w:lineRule="auto"/>
        <w:rPr>
          <w:rFonts w:ascii="Arial" w:eastAsia="Arial" w:hAnsi="Arial" w:cs="Arial"/>
          <w:position w:val="-2"/>
        </w:rPr>
      </w:pPr>
      <w:r w:rsidRPr="00CC7E17">
        <w:rPr>
          <w:rFonts w:ascii="Arial" w:hAnsi="Arial" w:cs="Arial"/>
        </w:rPr>
        <w:t xml:space="preserve">When extracting from meta-analyses </w:t>
      </w:r>
    </w:p>
    <w:p w14:paraId="0AAD4889" w14:textId="77777777" w:rsidR="009142A3" w:rsidRPr="00CC7E17" w:rsidRDefault="009142A3" w:rsidP="0009624B">
      <w:pPr>
        <w:pStyle w:val="BodyA"/>
        <w:numPr>
          <w:ilvl w:val="1"/>
          <w:numId w:val="60"/>
        </w:numPr>
        <w:spacing w:line="360" w:lineRule="auto"/>
        <w:rPr>
          <w:rFonts w:ascii="Arial" w:eastAsia="Arial" w:hAnsi="Arial" w:cs="Arial"/>
          <w:position w:val="-2"/>
        </w:rPr>
      </w:pPr>
      <w:r w:rsidRPr="00CC7E17">
        <w:rPr>
          <w:rFonts w:ascii="Arial" w:hAnsi="Arial" w:cs="Arial"/>
        </w:rPr>
        <w:t xml:space="preserve">Extract pooled estimates only when Absolute measures of Risk reduction are given and heterogeneity is low (0-30%) </w:t>
      </w:r>
    </w:p>
    <w:p w14:paraId="34C46784" w14:textId="77777777" w:rsidR="009142A3" w:rsidRPr="00CC7E17" w:rsidRDefault="009142A3" w:rsidP="0009624B">
      <w:pPr>
        <w:pStyle w:val="BodyA"/>
        <w:numPr>
          <w:ilvl w:val="1"/>
          <w:numId w:val="61"/>
        </w:numPr>
        <w:spacing w:line="360" w:lineRule="auto"/>
        <w:rPr>
          <w:rFonts w:ascii="Arial" w:eastAsia="Arial" w:hAnsi="Arial" w:cs="Arial"/>
          <w:position w:val="-2"/>
        </w:rPr>
      </w:pPr>
      <w:r w:rsidRPr="00CC7E17">
        <w:rPr>
          <w:rFonts w:ascii="Arial" w:hAnsi="Arial" w:cs="Arial"/>
        </w:rPr>
        <w:t xml:space="preserve">IF heterogeneity is high (&gt;30%) information will be extracted from source papers if they pass the PLUS refinery </w:t>
      </w:r>
    </w:p>
    <w:p w14:paraId="6DC4122F" w14:textId="77777777" w:rsidR="009142A3" w:rsidRPr="00CC7E17" w:rsidRDefault="009142A3" w:rsidP="0009624B">
      <w:pPr>
        <w:pStyle w:val="Body"/>
        <w:spacing w:line="360" w:lineRule="auto"/>
        <w:rPr>
          <w:rFonts w:ascii="Arial" w:hAnsi="Arial" w:cs="Arial"/>
        </w:rPr>
      </w:pPr>
    </w:p>
    <w:p w14:paraId="1D34C136" w14:textId="66A570FC" w:rsidR="000A29F5" w:rsidRPr="00CC7E17" w:rsidRDefault="000A29F5" w:rsidP="0009624B">
      <w:pPr>
        <w:pStyle w:val="Heading4"/>
        <w:spacing w:line="360" w:lineRule="auto"/>
        <w:rPr>
          <w:rFonts w:ascii="Arial" w:eastAsia="Arial" w:hAnsi="Arial" w:cs="Arial"/>
        </w:rPr>
      </w:pPr>
      <w:bookmarkStart w:id="70" w:name="_Toc271280685"/>
      <w:r w:rsidRPr="00CC7E17">
        <w:rPr>
          <w:rFonts w:ascii="Arial" w:hAnsi="Arial" w:cs="Arial"/>
        </w:rPr>
        <w:t>Sample extraction</w:t>
      </w:r>
      <w:bookmarkEnd w:id="70"/>
      <w:r w:rsidR="00FF09EA" w:rsidRPr="00CC7E17">
        <w:rPr>
          <w:rFonts w:ascii="Arial" w:hAnsi="Arial" w:cs="Arial"/>
        </w:rPr>
        <w:t xml:space="preserve"> using Paper-based process</w:t>
      </w:r>
    </w:p>
    <w:p w14:paraId="0BE4E71F" w14:textId="22ED80E0" w:rsidR="000A29F5" w:rsidRPr="00CC7E17" w:rsidRDefault="000A29F5" w:rsidP="0009624B">
      <w:pPr>
        <w:pStyle w:val="Body"/>
        <w:spacing w:line="360" w:lineRule="auto"/>
        <w:rPr>
          <w:rFonts w:ascii="Arial" w:eastAsia="Arial" w:hAnsi="Arial" w:cs="Arial"/>
          <w:sz w:val="24"/>
          <w:szCs w:val="24"/>
        </w:rPr>
      </w:pPr>
      <w:r w:rsidRPr="00CC7E17">
        <w:rPr>
          <w:rFonts w:ascii="Arial" w:hAnsi="Arial" w:cs="Arial"/>
          <w:sz w:val="24"/>
          <w:szCs w:val="24"/>
          <w:lang w:val="en-US"/>
        </w:rPr>
        <w:t>38 studies comprised the article set for the feasibility study. In order to understand the process of paper-based extraction, a step-by-step extraction is provided below for a piece of baseline risk information. The article chosen for this purpose was:</w:t>
      </w:r>
      <w:r w:rsidR="00A50237">
        <w:rPr>
          <w:rFonts w:ascii="Arial" w:hAnsi="Arial" w:cs="Arial"/>
          <w:sz w:val="24"/>
          <w:szCs w:val="24"/>
          <w:lang w:val="en-US"/>
        </w:rPr>
        <w:t xml:space="preserve"> </w:t>
      </w:r>
      <w:r w:rsidRPr="00CC7E17">
        <w:rPr>
          <w:rFonts w:ascii="Arial" w:hAnsi="Arial" w:cs="Arial"/>
          <w:sz w:val="24"/>
          <w:szCs w:val="24"/>
          <w:lang w:val="en-US"/>
        </w:rPr>
        <w:t>Atrial Fibrillation and death after Myocardial Infarction.</w:t>
      </w:r>
    </w:p>
    <w:p w14:paraId="67835412" w14:textId="77777777" w:rsidR="000A29F5" w:rsidRPr="00CC7E17" w:rsidRDefault="000A29F5" w:rsidP="0009624B">
      <w:pPr>
        <w:pStyle w:val="FreeForm"/>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Search for article on PUBMED </w:t>
      </w:r>
    </w:p>
    <w:p w14:paraId="343D1F24" w14:textId="77777777" w:rsidR="000A29F5" w:rsidRPr="00CC7E17" w:rsidRDefault="000A29F5" w:rsidP="0009624B">
      <w:pPr>
        <w:pStyle w:val="FreeForm"/>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Pull article PDF </w:t>
      </w:r>
    </w:p>
    <w:p w14:paraId="27E0716F" w14:textId="77777777" w:rsidR="000A29F5" w:rsidRPr="00CC7E17" w:rsidRDefault="000A29F5" w:rsidP="0009624B">
      <w:pPr>
        <w:pStyle w:val="FreeForm"/>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Fill in PUBMED ID for referencing in large box</w:t>
      </w:r>
    </w:p>
    <w:p w14:paraId="686C827E" w14:textId="77777777" w:rsidR="000A29F5" w:rsidRPr="00CC7E17" w:rsidRDefault="000A29F5" w:rsidP="0009624B">
      <w:pPr>
        <w:pStyle w:val="FreeForm"/>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Read Abstract to become familiar with article context</w:t>
      </w:r>
    </w:p>
    <w:p w14:paraId="25D70D71" w14:textId="77777777" w:rsidR="000A29F5" w:rsidRPr="00CC7E17" w:rsidRDefault="000A29F5" w:rsidP="0009624B">
      <w:pPr>
        <w:pStyle w:val="FreeForm"/>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Begin gathering information about which conditions and outcomes are involved in the article </w:t>
      </w:r>
    </w:p>
    <w:p w14:paraId="462B7095" w14:textId="77777777" w:rsidR="000A29F5" w:rsidRPr="00CC7E17" w:rsidRDefault="000A29F5" w:rsidP="0009624B">
      <w:pPr>
        <w:pStyle w:val="FreeForm"/>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Begin gathering information regarding the population of interest </w:t>
      </w:r>
    </w:p>
    <w:p w14:paraId="0B8AD761" w14:textId="77777777" w:rsidR="000A29F5" w:rsidRPr="00CC7E17" w:rsidRDefault="000A29F5" w:rsidP="0009624B">
      <w:pPr>
        <w:pStyle w:val="FreeForm"/>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Read Methods to gather full understanding of population of interest</w:t>
      </w:r>
    </w:p>
    <w:p w14:paraId="68755025" w14:textId="77777777" w:rsidR="000A29F5" w:rsidRPr="00CC7E17" w:rsidRDefault="000A29F5" w:rsidP="0009624B">
      <w:pPr>
        <w:pStyle w:val="FreeForm"/>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Search POP ID index for similar cohort </w:t>
      </w:r>
    </w:p>
    <w:p w14:paraId="77908636" w14:textId="77777777" w:rsidR="000A29F5" w:rsidRPr="00CC7E17" w:rsidRDefault="000A29F5" w:rsidP="0009624B">
      <w:pPr>
        <w:pStyle w:val="FreeForm"/>
        <w:numPr>
          <w:ilvl w:val="1"/>
          <w:numId w:val="69"/>
        </w:numPr>
        <w:tabs>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09" w:hanging="245"/>
        <w:rPr>
          <w:rFonts w:ascii="Arial" w:eastAsia="Arial" w:hAnsi="Arial" w:cs="Arial"/>
          <w:position w:val="-2"/>
        </w:rPr>
      </w:pPr>
      <w:r w:rsidRPr="00CC7E17">
        <w:rPr>
          <w:rFonts w:ascii="Arial" w:hAnsi="Arial" w:cs="Arial"/>
        </w:rPr>
        <w:t xml:space="preserve">If no similar entry is found, create new entry for current cohort based on conditions and age </w:t>
      </w:r>
    </w:p>
    <w:p w14:paraId="7E79BF99"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Enter details regarding population on extraction sheet:</w:t>
      </w:r>
    </w:p>
    <w:p w14:paraId="1FB845B2" w14:textId="77777777" w:rsidR="000A29F5" w:rsidRPr="00CC7E17" w:rsidRDefault="000A29F5" w:rsidP="0009624B">
      <w:pPr>
        <w:pStyle w:val="FreeForm"/>
        <w:numPr>
          <w:ilvl w:val="1"/>
          <w:numId w:val="71"/>
        </w:numPr>
        <w:tabs>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09"/>
        <w:rPr>
          <w:rFonts w:ascii="Arial" w:eastAsia="Arial" w:hAnsi="Arial" w:cs="Arial"/>
          <w:position w:val="-2"/>
        </w:rPr>
      </w:pPr>
      <w:r w:rsidRPr="00CC7E17">
        <w:rPr>
          <w:rFonts w:ascii="Arial" w:hAnsi="Arial" w:cs="Arial"/>
        </w:rPr>
        <w:t xml:space="preserve"> POP ID (based on previous reference to indexing sheet) and make a note at the bottom regarding pop ID number </w:t>
      </w:r>
    </w:p>
    <w:p w14:paraId="7B5693E7" w14:textId="77777777" w:rsidR="000A29F5" w:rsidRPr="00CC7E17" w:rsidRDefault="000A29F5" w:rsidP="0009624B">
      <w:pPr>
        <w:pStyle w:val="FreeForm"/>
        <w:numPr>
          <w:ilvl w:val="1"/>
          <w:numId w:val="72"/>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09"/>
        <w:rPr>
          <w:rFonts w:ascii="Arial" w:eastAsia="Arial" w:hAnsi="Arial" w:cs="Arial"/>
          <w:position w:val="-2"/>
        </w:rPr>
      </w:pPr>
      <w:r w:rsidRPr="00CC7E17">
        <w:rPr>
          <w:rFonts w:ascii="Arial" w:hAnsi="Arial" w:cs="Arial"/>
        </w:rPr>
        <w:t>Population Total</w:t>
      </w:r>
    </w:p>
    <w:p w14:paraId="437507BE" w14:textId="77777777" w:rsidR="000A29F5" w:rsidRPr="00CC7E17" w:rsidRDefault="000A29F5" w:rsidP="0009624B">
      <w:pPr>
        <w:pStyle w:val="FreeForm"/>
        <w:numPr>
          <w:ilvl w:val="1"/>
          <w:numId w:val="73"/>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09"/>
        <w:rPr>
          <w:rFonts w:ascii="Arial" w:eastAsia="Arial" w:hAnsi="Arial" w:cs="Arial"/>
          <w:position w:val="-2"/>
        </w:rPr>
      </w:pPr>
      <w:r w:rsidRPr="00CC7E17">
        <w:rPr>
          <w:rFonts w:ascii="Arial" w:hAnsi="Arial" w:cs="Arial"/>
        </w:rPr>
        <w:t xml:space="preserve">Age of Cohort (mean or range) </w:t>
      </w:r>
    </w:p>
    <w:p w14:paraId="7BB6E38E" w14:textId="77777777" w:rsidR="000A29F5" w:rsidRPr="00CC7E17" w:rsidRDefault="000A29F5" w:rsidP="0009624B">
      <w:pPr>
        <w:pStyle w:val="FreeForm"/>
        <w:numPr>
          <w:ilvl w:val="1"/>
          <w:numId w:val="74"/>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09"/>
        <w:rPr>
          <w:rFonts w:ascii="Arial" w:eastAsia="Arial" w:hAnsi="Arial" w:cs="Arial"/>
          <w:position w:val="-2"/>
        </w:rPr>
      </w:pPr>
      <w:r w:rsidRPr="00CC7E17">
        <w:rPr>
          <w:rFonts w:ascii="Arial" w:hAnsi="Arial" w:cs="Arial"/>
        </w:rPr>
        <w:t xml:space="preserve">Basic Characteristics: Key factors distinguishing the cohort (pre-existing conditions, cohort location and type, etc. </w:t>
      </w:r>
    </w:p>
    <w:p w14:paraId="3244AF21" w14:textId="77777777" w:rsidR="000A29F5" w:rsidRPr="00CC7E17" w:rsidRDefault="000A29F5" w:rsidP="0009624B">
      <w:pPr>
        <w:pStyle w:val="FreeForm"/>
        <w:numPr>
          <w:ilvl w:val="1"/>
          <w:numId w:val="75"/>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09"/>
        <w:rPr>
          <w:rFonts w:ascii="Arial" w:eastAsia="Arial" w:hAnsi="Arial" w:cs="Arial"/>
          <w:position w:val="-2"/>
        </w:rPr>
      </w:pPr>
      <w:r w:rsidRPr="00CC7E17">
        <w:rPr>
          <w:rFonts w:ascii="Arial" w:hAnsi="Arial" w:cs="Arial"/>
        </w:rPr>
        <w:t xml:space="preserve">Sub-Group within the cohort </w:t>
      </w:r>
    </w:p>
    <w:p w14:paraId="0FFF583D"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Read Results to understand baseline risk information pertaining to article </w:t>
      </w:r>
    </w:p>
    <w:p w14:paraId="51E8C811"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Search Indexing sheet for Outcomes to see if a new entry needs to be made </w:t>
      </w:r>
    </w:p>
    <w:p w14:paraId="6A501EF2" w14:textId="77777777" w:rsidR="000A29F5" w:rsidRPr="00CC7E17" w:rsidRDefault="000A29F5" w:rsidP="0009624B">
      <w:pPr>
        <w:pStyle w:val="FreeForm"/>
        <w:numPr>
          <w:ilvl w:val="1"/>
          <w:numId w:val="76"/>
        </w:numPr>
        <w:tabs>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09"/>
        <w:rPr>
          <w:rFonts w:ascii="Arial" w:eastAsia="Arial" w:hAnsi="Arial" w:cs="Arial"/>
          <w:position w:val="-2"/>
        </w:rPr>
      </w:pPr>
      <w:r w:rsidRPr="00CC7E17">
        <w:rPr>
          <w:rFonts w:ascii="Arial" w:hAnsi="Arial" w:cs="Arial"/>
        </w:rPr>
        <w:t>If no similar outcomes can be found to match, make entry to index</w:t>
      </w:r>
    </w:p>
    <w:p w14:paraId="1EC023E6"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Enter pertinent outcome along with population ID into second table</w:t>
      </w:r>
    </w:p>
    <w:p w14:paraId="4C2DFD4E" w14:textId="77777777" w:rsidR="000A29F5" w:rsidRPr="00CC7E17" w:rsidRDefault="000A29F5" w:rsidP="0009624B">
      <w:pPr>
        <w:pStyle w:val="FreeForm"/>
        <w:numPr>
          <w:ilvl w:val="1"/>
          <w:numId w:val="77"/>
        </w:numPr>
        <w:tabs>
          <w:tab w:val="left" w:pos="851"/>
          <w:tab w:val="left" w:pos="2240"/>
          <w:tab w:val="left" w:pos="2800"/>
          <w:tab w:val="left" w:pos="3360"/>
          <w:tab w:val="left" w:pos="3920"/>
          <w:tab w:val="left" w:pos="4480"/>
          <w:tab w:val="left" w:pos="5040"/>
          <w:tab w:val="left" w:pos="5600"/>
          <w:tab w:val="left" w:pos="6160"/>
          <w:tab w:val="left" w:pos="6720"/>
        </w:tabs>
        <w:spacing w:line="360" w:lineRule="auto"/>
        <w:ind w:left="709"/>
        <w:rPr>
          <w:rFonts w:ascii="Arial" w:eastAsia="Arial" w:hAnsi="Arial" w:cs="Arial"/>
          <w:position w:val="-2"/>
        </w:rPr>
      </w:pPr>
      <w:r w:rsidRPr="00CC7E17">
        <w:rPr>
          <w:rFonts w:ascii="Arial" w:hAnsi="Arial" w:cs="Arial"/>
        </w:rPr>
        <w:t xml:space="preserve">Make note at bottom of sheet labeling the index number entered for later reference </w:t>
      </w:r>
    </w:p>
    <w:p w14:paraId="1B5B6F82"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Enter outcome Total and population total into table</w:t>
      </w:r>
    </w:p>
    <w:p w14:paraId="1DD17D5C"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Enter Relative risk information (RR/OR/HR) if necessary </w:t>
      </w:r>
    </w:p>
    <w:p w14:paraId="08C2EF91"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Make note at bottom of sheet of text excerpt that represents baseline risk information </w:t>
      </w:r>
    </w:p>
    <w:p w14:paraId="396D498B"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Search for information regarding follow up and enter near top of sheet </w:t>
      </w:r>
    </w:p>
    <w:p w14:paraId="30AB385B" w14:textId="77777777" w:rsidR="000A29F5" w:rsidRPr="00CC7E17" w:rsidRDefault="000A29F5" w:rsidP="0009624B">
      <w:pPr>
        <w:pStyle w:val="FreeForm"/>
        <w:numPr>
          <w:ilvl w:val="0"/>
          <w:numId w:val="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CC7E17">
        <w:rPr>
          <w:rFonts w:ascii="Arial" w:hAnsi="Arial" w:cs="Arial"/>
        </w:rPr>
        <w:t xml:space="preserve">Enter all index numbers from the sheet into INDEX IDs near top of sheet </w:t>
      </w:r>
    </w:p>
    <w:p w14:paraId="339DD340" w14:textId="77777777" w:rsidR="000A29F5" w:rsidRPr="00CC7E17" w:rsidRDefault="000A29F5" w:rsidP="0009624B">
      <w:pPr>
        <w:pStyle w:val="Body"/>
        <w:spacing w:line="360" w:lineRule="auto"/>
        <w:rPr>
          <w:rFonts w:ascii="Arial" w:eastAsia="Arial" w:hAnsi="Arial" w:cs="Arial"/>
        </w:rPr>
      </w:pPr>
    </w:p>
    <w:p w14:paraId="48BE1012" w14:textId="5694055B" w:rsidR="000A29F5" w:rsidRPr="00CC7E17" w:rsidRDefault="000A29F5"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Below is an example of a manual extraction sheet that was filled out: </w:t>
      </w:r>
    </w:p>
    <w:p w14:paraId="3E7B69DE" w14:textId="77777777" w:rsidR="000A29F5" w:rsidRPr="00CC7E17" w:rsidRDefault="000A29F5" w:rsidP="0009624B">
      <w:pPr>
        <w:pStyle w:val="Body"/>
        <w:spacing w:line="360" w:lineRule="auto"/>
        <w:rPr>
          <w:rFonts w:ascii="Arial" w:eastAsia="Arial" w:hAnsi="Arial" w:cs="Arial"/>
        </w:rPr>
      </w:pPr>
    </w:p>
    <w:p w14:paraId="1F992FA2" w14:textId="77777777" w:rsidR="000A29F5" w:rsidRPr="00CC7E17" w:rsidRDefault="000A29F5" w:rsidP="0009624B">
      <w:pPr>
        <w:pStyle w:val="Body"/>
        <w:spacing w:line="360" w:lineRule="auto"/>
        <w:rPr>
          <w:rFonts w:ascii="Arial" w:eastAsia="Arial" w:hAnsi="Arial" w:cs="Arial"/>
        </w:rPr>
      </w:pPr>
    </w:p>
    <w:p w14:paraId="52C5265A" w14:textId="77777777" w:rsidR="000A29F5" w:rsidRPr="00CC7E17" w:rsidRDefault="000A29F5" w:rsidP="0009624B">
      <w:pPr>
        <w:pStyle w:val="Body"/>
        <w:spacing w:line="360" w:lineRule="auto"/>
        <w:rPr>
          <w:rFonts w:ascii="Arial" w:eastAsia="Arial" w:hAnsi="Arial" w:cs="Arial"/>
        </w:rPr>
      </w:pPr>
    </w:p>
    <w:p w14:paraId="705D35FD" w14:textId="77777777" w:rsidR="000A29F5" w:rsidRPr="00CC7E17" w:rsidRDefault="000A29F5" w:rsidP="0009624B">
      <w:pPr>
        <w:pStyle w:val="Body"/>
        <w:spacing w:line="360" w:lineRule="auto"/>
        <w:rPr>
          <w:rFonts w:ascii="Arial" w:eastAsia="Arial" w:hAnsi="Arial" w:cs="Arial"/>
        </w:rPr>
      </w:pPr>
    </w:p>
    <w:p w14:paraId="42ED2F4F" w14:textId="77777777" w:rsidR="000A29F5" w:rsidRPr="00CC7E17" w:rsidRDefault="000A29F5" w:rsidP="0009624B">
      <w:pPr>
        <w:pStyle w:val="Body"/>
        <w:spacing w:line="360" w:lineRule="auto"/>
        <w:rPr>
          <w:rFonts w:ascii="Arial" w:eastAsia="Arial" w:hAnsi="Arial" w:cs="Arial"/>
        </w:rPr>
      </w:pPr>
    </w:p>
    <w:p w14:paraId="203CC20B" w14:textId="77777777" w:rsidR="000A29F5" w:rsidRPr="00CC7E17" w:rsidRDefault="000A29F5" w:rsidP="0009624B">
      <w:pPr>
        <w:pStyle w:val="Body"/>
        <w:spacing w:line="360" w:lineRule="auto"/>
        <w:rPr>
          <w:rFonts w:ascii="Arial" w:eastAsia="Arial" w:hAnsi="Arial" w:cs="Arial"/>
        </w:rPr>
      </w:pPr>
    </w:p>
    <w:p w14:paraId="55ECD964" w14:textId="77777777" w:rsidR="000A29F5" w:rsidRPr="00CC7E17" w:rsidRDefault="000A29F5" w:rsidP="0009624B">
      <w:pPr>
        <w:pStyle w:val="Body"/>
        <w:spacing w:line="360" w:lineRule="auto"/>
        <w:rPr>
          <w:rFonts w:ascii="Arial" w:eastAsia="Arial" w:hAnsi="Arial" w:cs="Arial"/>
        </w:rPr>
      </w:pPr>
    </w:p>
    <w:p w14:paraId="7A5CB069" w14:textId="77777777" w:rsidR="000A29F5" w:rsidRPr="00CC7E17" w:rsidRDefault="000A29F5" w:rsidP="0009624B">
      <w:pPr>
        <w:pStyle w:val="Body"/>
        <w:spacing w:line="360" w:lineRule="auto"/>
        <w:rPr>
          <w:rFonts w:ascii="Arial" w:eastAsia="Arial" w:hAnsi="Arial" w:cs="Arial"/>
        </w:rPr>
      </w:pPr>
    </w:p>
    <w:p w14:paraId="50E8993D" w14:textId="77777777" w:rsidR="000A29F5" w:rsidRPr="00CC7E17" w:rsidRDefault="000A29F5" w:rsidP="0009624B">
      <w:pPr>
        <w:pStyle w:val="Body"/>
        <w:spacing w:line="360" w:lineRule="auto"/>
        <w:rPr>
          <w:rFonts w:ascii="Arial" w:eastAsia="Arial" w:hAnsi="Arial" w:cs="Arial"/>
        </w:rPr>
      </w:pPr>
    </w:p>
    <w:p w14:paraId="064BA4FC" w14:textId="77777777" w:rsidR="000A29F5" w:rsidRPr="00CC7E17" w:rsidRDefault="000A29F5" w:rsidP="0009624B">
      <w:pPr>
        <w:pStyle w:val="Body"/>
        <w:spacing w:line="360" w:lineRule="auto"/>
        <w:rPr>
          <w:rFonts w:ascii="Arial" w:eastAsia="Arial" w:hAnsi="Arial" w:cs="Arial"/>
        </w:rPr>
      </w:pPr>
    </w:p>
    <w:p w14:paraId="1F0519A3" w14:textId="77777777" w:rsidR="000A29F5" w:rsidRPr="00CC7E17" w:rsidRDefault="000A29F5" w:rsidP="0009624B">
      <w:pPr>
        <w:pStyle w:val="Body"/>
        <w:spacing w:line="360" w:lineRule="auto"/>
        <w:rPr>
          <w:rFonts w:ascii="Arial" w:eastAsia="Arial" w:hAnsi="Arial" w:cs="Arial"/>
        </w:rPr>
      </w:pPr>
    </w:p>
    <w:p w14:paraId="21B53DA3" w14:textId="77777777" w:rsidR="000A29F5" w:rsidRPr="00CC7E17" w:rsidRDefault="000A29F5" w:rsidP="0009624B">
      <w:pPr>
        <w:pStyle w:val="Body"/>
        <w:spacing w:line="360" w:lineRule="auto"/>
        <w:rPr>
          <w:rFonts w:ascii="Arial" w:eastAsia="Arial" w:hAnsi="Arial" w:cs="Arial"/>
        </w:rPr>
      </w:pPr>
    </w:p>
    <w:p w14:paraId="410A4B44" w14:textId="77777777" w:rsidR="000A29F5" w:rsidRPr="00CC7E17" w:rsidRDefault="000A29F5" w:rsidP="0009624B">
      <w:pPr>
        <w:pStyle w:val="Body"/>
        <w:spacing w:line="360" w:lineRule="auto"/>
        <w:rPr>
          <w:rFonts w:ascii="Arial" w:eastAsia="Arial" w:hAnsi="Arial" w:cs="Arial"/>
        </w:rPr>
      </w:pPr>
    </w:p>
    <w:p w14:paraId="42F63A42" w14:textId="77777777" w:rsidR="000A29F5" w:rsidRPr="00CC7E17" w:rsidRDefault="000A29F5" w:rsidP="0009624B">
      <w:pPr>
        <w:pStyle w:val="Body"/>
        <w:spacing w:line="360" w:lineRule="auto"/>
        <w:rPr>
          <w:rFonts w:ascii="Arial" w:eastAsia="Arial" w:hAnsi="Arial" w:cs="Arial"/>
        </w:rPr>
      </w:pPr>
    </w:p>
    <w:p w14:paraId="7B25C58C" w14:textId="77777777" w:rsidR="000A29F5" w:rsidRPr="00CC7E17" w:rsidRDefault="000A29F5" w:rsidP="0009624B">
      <w:pPr>
        <w:pStyle w:val="Body"/>
        <w:spacing w:line="360" w:lineRule="auto"/>
        <w:rPr>
          <w:rFonts w:ascii="Arial" w:eastAsia="Arial" w:hAnsi="Arial" w:cs="Arial"/>
        </w:rPr>
      </w:pPr>
    </w:p>
    <w:p w14:paraId="73188850" w14:textId="38E5F939" w:rsidR="000A29F5" w:rsidRPr="00CC7E17" w:rsidRDefault="000A29F5" w:rsidP="0009624B">
      <w:pPr>
        <w:pStyle w:val="Body"/>
        <w:spacing w:line="360" w:lineRule="auto"/>
        <w:rPr>
          <w:rFonts w:ascii="Arial" w:eastAsia="Arial" w:hAnsi="Arial" w:cs="Arial"/>
        </w:rPr>
      </w:pPr>
    </w:p>
    <w:p w14:paraId="0F325A07" w14:textId="77777777" w:rsidR="000A29F5" w:rsidRPr="00CC7E17" w:rsidRDefault="000A29F5" w:rsidP="0009624B">
      <w:pPr>
        <w:pStyle w:val="Body"/>
        <w:spacing w:line="360" w:lineRule="auto"/>
        <w:rPr>
          <w:rFonts w:ascii="Arial" w:eastAsia="Arial" w:hAnsi="Arial" w:cs="Arial"/>
        </w:rPr>
      </w:pPr>
    </w:p>
    <w:p w14:paraId="19B486DA" w14:textId="77777777" w:rsidR="000A29F5" w:rsidRPr="00CC7E17" w:rsidRDefault="000A29F5" w:rsidP="0009624B">
      <w:pPr>
        <w:pStyle w:val="Body"/>
        <w:spacing w:line="360" w:lineRule="auto"/>
        <w:rPr>
          <w:rFonts w:ascii="Arial" w:eastAsia="Arial" w:hAnsi="Arial" w:cs="Arial"/>
        </w:rPr>
      </w:pPr>
    </w:p>
    <w:p w14:paraId="3DA61789" w14:textId="6996C8D6" w:rsidR="000A29F5" w:rsidRPr="00CC7E17" w:rsidRDefault="000A29F5" w:rsidP="0009624B">
      <w:pPr>
        <w:pStyle w:val="Body"/>
        <w:spacing w:line="360" w:lineRule="auto"/>
        <w:rPr>
          <w:rFonts w:ascii="Arial" w:eastAsia="Arial" w:hAnsi="Arial" w:cs="Arial"/>
        </w:rPr>
      </w:pPr>
      <w:r w:rsidRPr="009E57CF">
        <w:rPr>
          <w:rFonts w:ascii="Arial" w:eastAsia="Arial" w:hAnsi="Arial" w:cs="Arial"/>
          <w:noProof/>
          <w:sz w:val="24"/>
          <w:szCs w:val="24"/>
          <w:lang w:val="en-US"/>
        </w:rPr>
        <w:drawing>
          <wp:inline distT="0" distB="0" distL="0" distR="0" wp14:anchorId="59CDEA51" wp14:editId="4FC34430">
            <wp:extent cx="4686300" cy="6223000"/>
            <wp:effectExtent l="0" t="0" r="12700" b="0"/>
            <wp:docPr id="1073741830" name="Picture 1073741830"/>
            <wp:cNvGraphicFramePr/>
            <a:graphic xmlns:a="http://schemas.openxmlformats.org/drawingml/2006/main">
              <a:graphicData uri="http://schemas.openxmlformats.org/drawingml/2006/picture">
                <pic:pic xmlns:pic="http://schemas.openxmlformats.org/drawingml/2006/picture">
                  <pic:nvPicPr>
                    <pic:cNvPr id="1073741830" name="Screen Shot 2014-09-01 at 8.35.53 AM.png"/>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4686300" cy="6223000"/>
                    </a:xfrm>
                    <a:prstGeom prst="rect">
                      <a:avLst/>
                    </a:prstGeom>
                    <a:ln w="12700" cap="flat">
                      <a:noFill/>
                      <a:miter lim="400000"/>
                    </a:ln>
                    <a:effectLst/>
                    <a:extLst>
                      <a:ext uri="{FAA26D3D-D897-4be2-8F04-BA451C77F1D7}">
                        <ma14:placeholderFlag xmlns:ma14="http://schemas.microsoft.com/office/mac/drawingml/2011/main"/>
                      </a:ext>
                    </a:extLst>
                  </pic:spPr>
                </pic:pic>
              </a:graphicData>
            </a:graphic>
          </wp:inline>
        </w:drawing>
      </w:r>
    </w:p>
    <w:p w14:paraId="27E1C168" w14:textId="10EE1560" w:rsidR="000A29F5" w:rsidRPr="00CC7E17" w:rsidRDefault="000A29F5" w:rsidP="0009624B">
      <w:pPr>
        <w:pStyle w:val="Body"/>
        <w:spacing w:line="360" w:lineRule="auto"/>
        <w:rPr>
          <w:rFonts w:ascii="Arial" w:eastAsia="Arial" w:hAnsi="Arial" w:cs="Arial"/>
        </w:rPr>
      </w:pPr>
    </w:p>
    <w:p w14:paraId="35D8FF59" w14:textId="77777777" w:rsidR="00504A23" w:rsidRPr="00CC7E17" w:rsidRDefault="00504A23" w:rsidP="0009624B">
      <w:pPr>
        <w:spacing w:line="360" w:lineRule="auto"/>
        <w:rPr>
          <w:rFonts w:ascii="Arial" w:hAnsi="Arial" w:cs="Arial"/>
        </w:rPr>
      </w:pPr>
    </w:p>
    <w:p w14:paraId="60C8BA25" w14:textId="77777777" w:rsidR="00504A23" w:rsidRPr="00CC7E17" w:rsidRDefault="00504A23" w:rsidP="0009624B">
      <w:pPr>
        <w:spacing w:line="360" w:lineRule="auto"/>
        <w:rPr>
          <w:rFonts w:ascii="Arial" w:hAnsi="Arial" w:cs="Arial"/>
        </w:rPr>
      </w:pPr>
    </w:p>
    <w:p w14:paraId="394B34A9" w14:textId="2297FE1F" w:rsidR="000A29F5" w:rsidRPr="00CC7E17" w:rsidRDefault="000A29F5" w:rsidP="0009624B">
      <w:pPr>
        <w:pStyle w:val="Caption"/>
        <w:spacing w:line="360" w:lineRule="auto"/>
        <w:rPr>
          <w:rFonts w:ascii="Arial" w:hAnsi="Arial" w:cs="Arial"/>
        </w:rPr>
      </w:pPr>
      <w:bookmarkStart w:id="71" w:name="_Toc271786698"/>
      <w:r w:rsidRPr="00CC7E17">
        <w:rPr>
          <w:rFonts w:ascii="Arial" w:hAnsi="Arial" w:cs="Arial"/>
        </w:rPr>
        <w:t xml:space="preserve">APPENDIX 2 FIGURE </w:t>
      </w:r>
      <w:r w:rsidRPr="009E57CF">
        <w:rPr>
          <w:rFonts w:ascii="Arial" w:hAnsi="Arial" w:cs="Arial"/>
        </w:rPr>
        <w:fldChar w:fldCharType="begin"/>
      </w:r>
      <w:r w:rsidRPr="00CC7E17">
        <w:rPr>
          <w:rFonts w:ascii="Arial" w:hAnsi="Arial" w:cs="Arial"/>
        </w:rPr>
        <w:instrText xml:space="preserve"> SEQ APPENDIX_2_FIGURE \* ARABIC </w:instrText>
      </w:r>
      <w:r w:rsidRPr="009E57CF">
        <w:rPr>
          <w:rFonts w:ascii="Arial" w:hAnsi="Arial" w:cs="Arial"/>
        </w:rPr>
        <w:fldChar w:fldCharType="separate"/>
      </w:r>
      <w:r w:rsidRPr="00CC7E17">
        <w:rPr>
          <w:rFonts w:ascii="Arial" w:hAnsi="Arial" w:cs="Arial"/>
          <w:noProof/>
        </w:rPr>
        <w:t>2</w:t>
      </w:r>
      <w:r w:rsidRPr="009E57CF">
        <w:rPr>
          <w:rFonts w:ascii="Arial" w:hAnsi="Arial" w:cs="Arial"/>
        </w:rPr>
        <w:fldChar w:fldCharType="end"/>
      </w:r>
      <w:r w:rsidR="003859DA" w:rsidRPr="00CC7E17">
        <w:rPr>
          <w:rFonts w:ascii="Arial" w:hAnsi="Arial" w:cs="Arial"/>
        </w:rPr>
        <w:t>: An example of an extraction form filled out for an article comprising the feasibility set</w:t>
      </w:r>
      <w:bookmarkStart w:id="72" w:name="_Ref271784360"/>
      <w:bookmarkEnd w:id="71"/>
    </w:p>
    <w:p w14:paraId="33B48709" w14:textId="68D5B118" w:rsidR="00504A23" w:rsidRPr="00CC7E17" w:rsidRDefault="00504A23" w:rsidP="0009624B">
      <w:pPr>
        <w:pStyle w:val="Heading1"/>
        <w:spacing w:line="360" w:lineRule="auto"/>
        <w:rPr>
          <w:rFonts w:ascii="Arial" w:hAnsi="Arial" w:cs="Arial"/>
        </w:rPr>
      </w:pPr>
      <w:bookmarkStart w:id="73" w:name="_Toc286437146"/>
      <w:r w:rsidRPr="00CC7E17">
        <w:rPr>
          <w:rFonts w:ascii="Arial" w:hAnsi="Arial" w:cs="Arial"/>
        </w:rPr>
        <w:t>Appendix 3</w:t>
      </w:r>
      <w:bookmarkEnd w:id="72"/>
      <w:bookmarkEnd w:id="73"/>
    </w:p>
    <w:p w14:paraId="665D3672" w14:textId="6269522B" w:rsidR="008619B1" w:rsidRPr="00CC7E17" w:rsidRDefault="008619B1" w:rsidP="0009624B">
      <w:pPr>
        <w:pStyle w:val="Heading3"/>
        <w:spacing w:line="360" w:lineRule="auto"/>
        <w:rPr>
          <w:rFonts w:ascii="Arial" w:hAnsi="Arial" w:cs="Arial"/>
        </w:rPr>
      </w:pPr>
      <w:bookmarkStart w:id="74" w:name="_Toc286437147"/>
      <w:r w:rsidRPr="00CC7E17">
        <w:rPr>
          <w:rFonts w:ascii="Arial" w:hAnsi="Arial" w:cs="Arial"/>
        </w:rPr>
        <w:t>Field Descriptions for Feasibility Study</w:t>
      </w:r>
      <w:bookmarkEnd w:id="74"/>
    </w:p>
    <w:p w14:paraId="2FAD2130" w14:textId="77777777" w:rsidR="00504A23" w:rsidRPr="00CC7E17" w:rsidRDefault="00504A23" w:rsidP="0009624B">
      <w:pPr>
        <w:spacing w:line="360" w:lineRule="auto"/>
        <w:rPr>
          <w:rFonts w:ascii="Arial" w:hAnsi="Arial" w:cs="Arial"/>
        </w:rPr>
      </w:pPr>
    </w:p>
    <w:p w14:paraId="69ABB9DC" w14:textId="77777777" w:rsidR="008619B1" w:rsidRPr="00CC7E17" w:rsidRDefault="008619B1" w:rsidP="0009624B">
      <w:pPr>
        <w:pStyle w:val="Heading4"/>
        <w:spacing w:line="360" w:lineRule="auto"/>
        <w:rPr>
          <w:rFonts w:ascii="Arial" w:eastAsia="Arial" w:hAnsi="Arial" w:cs="Arial"/>
        </w:rPr>
      </w:pPr>
      <w:bookmarkStart w:id="75" w:name="_Toc271280682"/>
      <w:r w:rsidRPr="00CC7E17">
        <w:rPr>
          <w:rFonts w:ascii="Arial" w:hAnsi="Arial" w:cs="Arial"/>
        </w:rPr>
        <w:t>Table Definitions</w:t>
      </w:r>
      <w:bookmarkEnd w:id="75"/>
      <w:r w:rsidRPr="00CC7E17">
        <w:rPr>
          <w:rFonts w:ascii="Arial" w:hAnsi="Arial" w:cs="Arial"/>
        </w:rPr>
        <w:t xml:space="preserve"> </w:t>
      </w:r>
    </w:p>
    <w:p w14:paraId="7C062BC6" w14:textId="77777777" w:rsidR="008619B1" w:rsidRPr="00CC7E17" w:rsidRDefault="008619B1"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The tables in the first iteration of the database Schema are described below: </w:t>
      </w:r>
    </w:p>
    <w:p w14:paraId="13CA38A1" w14:textId="77777777" w:rsidR="008619B1" w:rsidRPr="00CC7E17" w:rsidRDefault="008619B1" w:rsidP="0009624B">
      <w:pPr>
        <w:pStyle w:val="Body"/>
        <w:numPr>
          <w:ilvl w:val="0"/>
          <w:numId w:val="26"/>
        </w:numPr>
        <w:spacing w:line="360" w:lineRule="auto"/>
        <w:ind w:left="180" w:hanging="180"/>
        <w:rPr>
          <w:rFonts w:ascii="Arial" w:eastAsia="Arial" w:hAnsi="Arial" w:cs="Arial"/>
          <w:position w:val="-2"/>
          <w:sz w:val="24"/>
          <w:szCs w:val="24"/>
        </w:rPr>
      </w:pPr>
      <w:r w:rsidRPr="00CC7E17">
        <w:rPr>
          <w:rFonts w:ascii="Arial" w:hAnsi="Arial" w:cs="Arial"/>
          <w:b/>
          <w:bCs/>
          <w:sz w:val="24"/>
          <w:szCs w:val="24"/>
          <w:lang w:val="en-US"/>
        </w:rPr>
        <w:t>Main: t</w:t>
      </w:r>
      <w:r w:rsidRPr="00CC7E17">
        <w:rPr>
          <w:rFonts w:ascii="Arial" w:hAnsi="Arial" w:cs="Arial"/>
          <w:sz w:val="24"/>
          <w:szCs w:val="24"/>
          <w:lang w:val="en-US"/>
        </w:rPr>
        <w:t>his table contains all bibliographic for the article in question.</w:t>
      </w:r>
    </w:p>
    <w:p w14:paraId="4FEB28F7" w14:textId="77777777" w:rsidR="008619B1" w:rsidRPr="00CC7E17" w:rsidRDefault="008619B1" w:rsidP="0009624B">
      <w:pPr>
        <w:pStyle w:val="Body"/>
        <w:numPr>
          <w:ilvl w:val="0"/>
          <w:numId w:val="27"/>
        </w:numPr>
        <w:spacing w:line="360" w:lineRule="auto"/>
        <w:ind w:left="180" w:hanging="180"/>
        <w:rPr>
          <w:rFonts w:ascii="Arial" w:eastAsia="Arial" w:hAnsi="Arial" w:cs="Arial"/>
          <w:position w:val="-2"/>
          <w:sz w:val="24"/>
          <w:szCs w:val="24"/>
        </w:rPr>
      </w:pPr>
      <w:r w:rsidRPr="00CC7E17">
        <w:rPr>
          <w:rFonts w:ascii="Arial" w:hAnsi="Arial" w:cs="Arial"/>
          <w:b/>
          <w:bCs/>
          <w:sz w:val="24"/>
          <w:szCs w:val="24"/>
          <w:lang w:val="en-US"/>
        </w:rPr>
        <w:t>Population Definition:</w:t>
      </w:r>
      <w:r w:rsidRPr="00CC7E17">
        <w:rPr>
          <w:rFonts w:ascii="Arial" w:hAnsi="Arial" w:cs="Arial"/>
          <w:sz w:val="24"/>
          <w:szCs w:val="24"/>
          <w:lang w:val="en-US"/>
        </w:rPr>
        <w:t xml:space="preserve"> This table is categorized based on a population ID. This ID describes a unique population with characteristics based on pre-existing condition, basic characteristics, population, etc. This table also contains a notes field, which allows for a text excerpt describing the population from the article. </w:t>
      </w:r>
    </w:p>
    <w:p w14:paraId="0B8F7994" w14:textId="77777777" w:rsidR="008619B1" w:rsidRPr="00CC7E17" w:rsidRDefault="008619B1" w:rsidP="0009624B">
      <w:pPr>
        <w:pStyle w:val="Body"/>
        <w:numPr>
          <w:ilvl w:val="0"/>
          <w:numId w:val="28"/>
        </w:numPr>
        <w:spacing w:line="360" w:lineRule="auto"/>
        <w:ind w:left="180" w:hanging="180"/>
        <w:rPr>
          <w:rFonts w:ascii="Arial" w:eastAsia="Arial" w:hAnsi="Arial" w:cs="Arial"/>
          <w:position w:val="-2"/>
          <w:sz w:val="24"/>
          <w:szCs w:val="24"/>
        </w:rPr>
      </w:pPr>
      <w:r w:rsidRPr="00CC7E17">
        <w:rPr>
          <w:rFonts w:ascii="Arial" w:hAnsi="Arial" w:cs="Arial"/>
          <w:b/>
          <w:bCs/>
          <w:sz w:val="24"/>
          <w:szCs w:val="24"/>
          <w:lang w:val="en-US"/>
        </w:rPr>
        <w:t xml:space="preserve">Baseline Risk: </w:t>
      </w:r>
      <w:r w:rsidRPr="00CC7E17">
        <w:rPr>
          <w:rFonts w:ascii="Arial" w:hAnsi="Arial" w:cs="Arial"/>
          <w:sz w:val="24"/>
          <w:szCs w:val="24"/>
          <w:lang w:val="en-US"/>
        </w:rPr>
        <w:t xml:space="preserve">This table contains all information based on baseline risk. This includes an identifier for the risk line (RISK ID) as well as a link back to the article identifier (PUBMED ID.) A series of other fields combine to give a definition of each piece of risk information. It is also accompanied by a notes field similar to the population definition table to allow for an excerpt describing the baseline risk from the article. </w:t>
      </w:r>
    </w:p>
    <w:p w14:paraId="1A37E12F" w14:textId="77777777" w:rsidR="008619B1" w:rsidRPr="00CC7E17" w:rsidRDefault="008619B1" w:rsidP="0009624B">
      <w:pPr>
        <w:pStyle w:val="Body"/>
        <w:numPr>
          <w:ilvl w:val="0"/>
          <w:numId w:val="29"/>
        </w:numPr>
        <w:spacing w:line="360" w:lineRule="auto"/>
        <w:ind w:left="180" w:hanging="180"/>
        <w:rPr>
          <w:rFonts w:ascii="Arial" w:eastAsia="Arial" w:hAnsi="Arial" w:cs="Arial"/>
          <w:position w:val="-2"/>
          <w:sz w:val="24"/>
          <w:szCs w:val="24"/>
        </w:rPr>
      </w:pPr>
      <w:r w:rsidRPr="00CC7E17">
        <w:rPr>
          <w:rFonts w:ascii="Arial" w:hAnsi="Arial" w:cs="Arial"/>
          <w:b/>
          <w:bCs/>
          <w:sz w:val="24"/>
          <w:szCs w:val="24"/>
          <w:lang w:val="en-US"/>
        </w:rPr>
        <w:t>Disease Label:</w:t>
      </w:r>
      <w:r w:rsidRPr="00CC7E17">
        <w:rPr>
          <w:rFonts w:ascii="Arial" w:hAnsi="Arial" w:cs="Arial"/>
          <w:sz w:val="24"/>
          <w:szCs w:val="24"/>
          <w:lang w:val="en-US"/>
        </w:rPr>
        <w:t xml:space="preserve"> This table simply allows for a unique key to align with each disease name to allow for users of the full system to be able to search for a disease and link back to the population definition. The disease label table is linked to the population definition table via the disease id. </w:t>
      </w:r>
    </w:p>
    <w:p w14:paraId="6CC68750" w14:textId="77777777" w:rsidR="008619B1" w:rsidRPr="00CC7E17" w:rsidRDefault="008619B1" w:rsidP="0009624B">
      <w:pPr>
        <w:pStyle w:val="Body"/>
        <w:numPr>
          <w:ilvl w:val="0"/>
          <w:numId w:val="30"/>
        </w:numPr>
        <w:spacing w:line="360" w:lineRule="auto"/>
        <w:ind w:left="180" w:hanging="180"/>
        <w:rPr>
          <w:rFonts w:ascii="Arial" w:eastAsia="Arial" w:hAnsi="Arial" w:cs="Arial"/>
          <w:position w:val="-2"/>
          <w:sz w:val="24"/>
          <w:szCs w:val="24"/>
        </w:rPr>
      </w:pPr>
      <w:r w:rsidRPr="00CC7E17">
        <w:rPr>
          <w:rFonts w:ascii="Arial" w:hAnsi="Arial" w:cs="Arial"/>
          <w:b/>
          <w:bCs/>
          <w:sz w:val="24"/>
          <w:szCs w:val="24"/>
          <w:lang w:val="en-US"/>
        </w:rPr>
        <w:t>Outcome Labels:</w:t>
      </w:r>
      <w:r w:rsidRPr="00CC7E17">
        <w:rPr>
          <w:rFonts w:ascii="Arial" w:hAnsi="Arial" w:cs="Arial"/>
          <w:sz w:val="24"/>
          <w:szCs w:val="24"/>
          <w:lang w:val="en-US"/>
        </w:rPr>
        <w:t xml:space="preserve"> This table allows for a unique key to be associated with each outcome to allow users of the full system to be able to search for an outcome and link back to the risk table. The outcome label table is linked to the baseline risk table via the outcome ID field. </w:t>
      </w:r>
    </w:p>
    <w:p w14:paraId="1741ED98" w14:textId="77777777" w:rsidR="008619B1" w:rsidRPr="00CC7E17" w:rsidRDefault="008619B1" w:rsidP="0009624B">
      <w:pPr>
        <w:pStyle w:val="Body"/>
        <w:spacing w:line="360" w:lineRule="auto"/>
        <w:rPr>
          <w:rFonts w:ascii="Arial" w:eastAsia="Arial" w:hAnsi="Arial" w:cs="Arial"/>
        </w:rPr>
      </w:pPr>
    </w:p>
    <w:p w14:paraId="5744987D" w14:textId="77777777" w:rsidR="008619B1" w:rsidRPr="00CC7E17" w:rsidRDefault="008619B1" w:rsidP="0009624B">
      <w:pPr>
        <w:pStyle w:val="Heading4"/>
        <w:spacing w:line="360" w:lineRule="auto"/>
        <w:rPr>
          <w:rFonts w:ascii="Arial" w:eastAsia="Arial" w:hAnsi="Arial" w:cs="Arial"/>
        </w:rPr>
      </w:pPr>
      <w:bookmarkStart w:id="76" w:name="_Toc271280683"/>
      <w:r w:rsidRPr="00CC7E17">
        <w:rPr>
          <w:rFonts w:ascii="Arial" w:hAnsi="Arial" w:cs="Arial"/>
        </w:rPr>
        <w:t>Field Definitions</w:t>
      </w:r>
      <w:bookmarkEnd w:id="76"/>
    </w:p>
    <w:p w14:paraId="7D9ADD0E" w14:textId="77777777" w:rsidR="008619B1" w:rsidRPr="00CC7E17" w:rsidRDefault="008619B1" w:rsidP="0009624B">
      <w:pPr>
        <w:pStyle w:val="Body"/>
        <w:spacing w:line="360" w:lineRule="auto"/>
        <w:rPr>
          <w:rFonts w:ascii="Arial" w:eastAsia="Arial" w:hAnsi="Arial" w:cs="Arial"/>
        </w:rPr>
      </w:pPr>
      <w:r w:rsidRPr="00CC7E17">
        <w:rPr>
          <w:rFonts w:ascii="Arial" w:hAnsi="Arial" w:cs="Arial"/>
          <w:lang w:val="en-US"/>
        </w:rPr>
        <w:t xml:space="preserve">The fields for the first iteration of the database Schema are described below: </w:t>
      </w:r>
    </w:p>
    <w:p w14:paraId="391F66A3" w14:textId="0C75D6FD" w:rsidR="008619B1" w:rsidRPr="00CC7E17" w:rsidRDefault="008619B1" w:rsidP="0009624B">
      <w:pPr>
        <w:pStyle w:val="Default"/>
        <w:numPr>
          <w:ilvl w:val="0"/>
          <w:numId w:val="3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da-DK"/>
        </w:rPr>
        <w:t xml:space="preserve">Pubmed ID: </w:t>
      </w:r>
      <w:r w:rsidRPr="00CC7E17">
        <w:rPr>
          <w:rFonts w:ascii="Arial" w:hAnsi="Arial" w:cs="Arial"/>
          <w:sz w:val="24"/>
          <w:szCs w:val="24"/>
          <w:lang w:val="en-US"/>
        </w:rPr>
        <w:t>Based on Identifiers from the Pubmed website (</w:t>
      </w:r>
      <w:hyperlink r:id="rId24" w:history="1">
        <w:r w:rsidRPr="00CC7E17">
          <w:rPr>
            <w:rStyle w:val="Hyperlink0"/>
            <w:rFonts w:ascii="Arial" w:hAnsi="Arial" w:cs="Arial"/>
            <w:sz w:val="24"/>
            <w:szCs w:val="24"/>
          </w:rPr>
          <w:t>http://www.ncbi.nlm.nih.gov/pubmed</w:t>
        </w:r>
      </w:hyperlink>
      <w:r w:rsidRPr="00CC7E17">
        <w:rPr>
          <w:rFonts w:ascii="Arial" w:hAnsi="Arial" w:cs="Arial"/>
          <w:sz w:val="24"/>
          <w:szCs w:val="24"/>
          <w:lang w:val="en-US"/>
        </w:rPr>
        <w:t>) This is a primary identifier for data that is accepted into the database.</w:t>
      </w:r>
      <w:r w:rsidR="00A50237">
        <w:rPr>
          <w:rFonts w:ascii="Arial" w:hAnsi="Arial" w:cs="Arial"/>
          <w:sz w:val="24"/>
          <w:szCs w:val="24"/>
          <w:lang w:val="en-US"/>
        </w:rPr>
        <w:t xml:space="preserve"> </w:t>
      </w:r>
      <w:r w:rsidRPr="00CC7E17">
        <w:rPr>
          <w:rFonts w:ascii="Arial" w:hAnsi="Arial" w:cs="Arial"/>
          <w:sz w:val="24"/>
          <w:szCs w:val="24"/>
          <w:lang w:val="en-US"/>
        </w:rPr>
        <w:t xml:space="preserve">This is a unique identifier placed in a numeric field. </w:t>
      </w:r>
    </w:p>
    <w:p w14:paraId="04B13B22" w14:textId="77777777" w:rsidR="008619B1" w:rsidRPr="00CC7E17" w:rsidRDefault="008619B1" w:rsidP="0009624B">
      <w:pPr>
        <w:pStyle w:val="Default"/>
        <w:numPr>
          <w:ilvl w:val="0"/>
          <w:numId w:val="3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rPr>
        <w:t xml:space="preserve">CAP ID: </w:t>
      </w:r>
      <w:r w:rsidRPr="00CC7E17">
        <w:rPr>
          <w:rFonts w:ascii="Arial" w:hAnsi="Arial" w:cs="Arial"/>
          <w:sz w:val="24"/>
          <w:szCs w:val="24"/>
          <w:lang w:val="en-US"/>
        </w:rPr>
        <w:t xml:space="preserve">based on identifiers from McMasters Critical Appraisal Process. This is a unique identifier placed in a numeric field. </w:t>
      </w:r>
    </w:p>
    <w:p w14:paraId="1E363882" w14:textId="77777777" w:rsidR="008619B1" w:rsidRPr="00CC7E17" w:rsidRDefault="008619B1" w:rsidP="0009624B">
      <w:pPr>
        <w:pStyle w:val="Default"/>
        <w:numPr>
          <w:ilvl w:val="0"/>
          <w:numId w:val="3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rPr>
        <w:t>MORE ID:</w:t>
      </w:r>
      <w:r w:rsidRPr="00CC7E17">
        <w:rPr>
          <w:rFonts w:ascii="Arial" w:hAnsi="Arial" w:cs="Arial"/>
          <w:sz w:val="24"/>
          <w:szCs w:val="24"/>
          <w:lang w:val="en-US"/>
        </w:rPr>
        <w:t xml:space="preserve"> another identifier based on the PLUS appraisal process. This is a numeric field. </w:t>
      </w:r>
    </w:p>
    <w:p w14:paraId="21228CB3" w14:textId="1FC55193" w:rsidR="008619B1" w:rsidRPr="00CC7E17" w:rsidRDefault="008619B1" w:rsidP="0009624B">
      <w:pPr>
        <w:pStyle w:val="Default"/>
        <w:numPr>
          <w:ilvl w:val="0"/>
          <w:numId w:val="3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rPr>
        <w:t>Study Type</w:t>
      </w:r>
      <w:r w:rsidRPr="00CC7E17">
        <w:rPr>
          <w:rFonts w:ascii="Arial" w:hAnsi="Arial" w:cs="Arial"/>
          <w:sz w:val="24"/>
          <w:szCs w:val="24"/>
          <w:lang w:val="en-US"/>
        </w:rPr>
        <w:t>:</w:t>
      </w:r>
      <w:r w:rsidR="00A50237">
        <w:rPr>
          <w:rFonts w:ascii="Arial" w:hAnsi="Arial" w:cs="Arial"/>
          <w:sz w:val="24"/>
          <w:szCs w:val="24"/>
          <w:lang w:val="en-US"/>
        </w:rPr>
        <w:t xml:space="preserve"> </w:t>
      </w:r>
      <w:r w:rsidRPr="00CC7E17">
        <w:rPr>
          <w:rFonts w:ascii="Arial" w:hAnsi="Arial" w:cs="Arial"/>
          <w:sz w:val="24"/>
          <w:szCs w:val="24"/>
          <w:lang w:val="en-US"/>
        </w:rPr>
        <w:t>An ID that refers to the Type of article, whether prognosis or CPG. For the pilot, we will only be dealing with Prognosis articles, but expanded functionality will also include Clinical Practice Guidelines. These are numeric fields (categorized by either 4 or 7 which denote prognosis or CPG articles respectively).</w:t>
      </w:r>
    </w:p>
    <w:p w14:paraId="457C6EB7" w14:textId="77777777" w:rsidR="008619B1" w:rsidRPr="00CC7E17" w:rsidRDefault="008619B1" w:rsidP="0009624B">
      <w:pPr>
        <w:pStyle w:val="Default"/>
        <w:numPr>
          <w:ilvl w:val="0"/>
          <w:numId w:val="3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en-US"/>
        </w:rPr>
        <w:t xml:space="preserve">Population ID: </w:t>
      </w:r>
      <w:r w:rsidRPr="00CC7E17">
        <w:rPr>
          <w:rFonts w:ascii="Arial" w:hAnsi="Arial" w:cs="Arial"/>
          <w:sz w:val="24"/>
          <w:szCs w:val="24"/>
          <w:lang w:val="en-US"/>
        </w:rPr>
        <w:t xml:space="preserve">A unique identifier for each population that accurately describes the population related to it. This is a numeric field. </w:t>
      </w:r>
    </w:p>
    <w:p w14:paraId="51B04B74" w14:textId="77777777" w:rsidR="008619B1" w:rsidRPr="00CC7E17" w:rsidRDefault="008619B1" w:rsidP="0009624B">
      <w:pPr>
        <w:pStyle w:val="Default"/>
        <w:numPr>
          <w:ilvl w:val="0"/>
          <w:numId w:val="3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en-US"/>
        </w:rPr>
        <w:t>Disease ID</w:t>
      </w:r>
      <w:r w:rsidRPr="00CC7E17">
        <w:rPr>
          <w:rFonts w:ascii="Arial" w:hAnsi="Arial" w:cs="Arial"/>
          <w:sz w:val="24"/>
          <w:szCs w:val="24"/>
          <w:lang w:val="en-US"/>
        </w:rPr>
        <w:t xml:space="preserve">: A unique identifier for each pre existing condition related to populations. This is a numeric field. </w:t>
      </w:r>
    </w:p>
    <w:p w14:paraId="734B8D56" w14:textId="77777777" w:rsidR="008619B1" w:rsidRPr="00CC7E17" w:rsidRDefault="008619B1" w:rsidP="0009624B">
      <w:pPr>
        <w:pStyle w:val="Default"/>
        <w:numPr>
          <w:ilvl w:val="0"/>
          <w:numId w:val="3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en-US"/>
        </w:rPr>
        <w:t>Basic Characteristics</w:t>
      </w:r>
      <w:r w:rsidRPr="00CC7E17">
        <w:rPr>
          <w:rFonts w:ascii="Arial" w:hAnsi="Arial" w:cs="Arial"/>
          <w:sz w:val="24"/>
          <w:szCs w:val="24"/>
          <w:lang w:val="en-US"/>
        </w:rPr>
        <w:t>: Characteristics that define the population in question. This may be information based on the type of cohort that is being described, further information on pre-existing conditions or how data was collected (national registry, etc.) This is a text field.</w:t>
      </w:r>
    </w:p>
    <w:p w14:paraId="347A012C" w14:textId="77777777" w:rsidR="008619B1" w:rsidRPr="00CC7E17" w:rsidRDefault="008619B1" w:rsidP="0009624B">
      <w:pPr>
        <w:pStyle w:val="Default"/>
        <w:numPr>
          <w:ilvl w:val="0"/>
          <w:numId w:val="38"/>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en-US"/>
        </w:rPr>
        <w:t>Population Subset:</w:t>
      </w:r>
      <w:r w:rsidRPr="00CC7E17">
        <w:rPr>
          <w:rFonts w:ascii="Arial" w:hAnsi="Arial" w:cs="Arial"/>
          <w:sz w:val="24"/>
          <w:szCs w:val="24"/>
          <w:lang w:val="en-US"/>
        </w:rPr>
        <w:t xml:space="preserve"> If the cohort is subdivided (control vs. treatment cohort) this field is to make the distinction clear. This is a text field. </w:t>
      </w:r>
    </w:p>
    <w:p w14:paraId="478BC23C" w14:textId="77777777" w:rsidR="008619B1" w:rsidRPr="00CC7E17" w:rsidRDefault="008619B1" w:rsidP="0009624B">
      <w:pPr>
        <w:pStyle w:val="Default"/>
        <w:numPr>
          <w:ilvl w:val="0"/>
          <w:numId w:val="39"/>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en-US"/>
        </w:rPr>
        <w:t xml:space="preserve">Follow-up: </w:t>
      </w:r>
      <w:r w:rsidRPr="00CC7E17">
        <w:rPr>
          <w:rFonts w:ascii="Arial" w:hAnsi="Arial" w:cs="Arial"/>
          <w:sz w:val="24"/>
          <w:szCs w:val="24"/>
          <w:lang w:val="en-US"/>
        </w:rPr>
        <w:t xml:space="preserve">Information on the follow-up period for subjects of the study This may be in the form of a period, range or mean. This is an alphanumeric field. </w:t>
      </w:r>
    </w:p>
    <w:p w14:paraId="57A75C0D" w14:textId="77777777" w:rsidR="008619B1" w:rsidRPr="00CC7E17" w:rsidRDefault="008619B1" w:rsidP="0009624B">
      <w:pPr>
        <w:pStyle w:val="Default"/>
        <w:numPr>
          <w:ilvl w:val="0"/>
          <w:numId w:val="40"/>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rPr>
        <w:t xml:space="preserve">Age: </w:t>
      </w:r>
      <w:r w:rsidRPr="00CC7E17">
        <w:rPr>
          <w:rFonts w:ascii="Arial" w:hAnsi="Arial" w:cs="Arial"/>
          <w:sz w:val="24"/>
          <w:szCs w:val="24"/>
          <w:lang w:val="en-US"/>
        </w:rPr>
        <w:t xml:space="preserve">Manually inputted age as found in the article (can be a range or mean) this is an alphanumeric field. </w:t>
      </w:r>
    </w:p>
    <w:p w14:paraId="4A8339E9" w14:textId="77777777" w:rsidR="008619B1" w:rsidRPr="00CC7E17" w:rsidRDefault="008619B1" w:rsidP="0009624B">
      <w:pPr>
        <w:pStyle w:val="Default"/>
        <w:numPr>
          <w:ilvl w:val="0"/>
          <w:numId w:val="4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rPr>
        <w:t>Notes:</w:t>
      </w:r>
      <w:r w:rsidRPr="00CC7E17">
        <w:rPr>
          <w:rFonts w:ascii="Arial" w:hAnsi="Arial" w:cs="Arial"/>
          <w:sz w:val="24"/>
          <w:szCs w:val="24"/>
          <w:lang w:val="en-US"/>
        </w:rPr>
        <w:t xml:space="preserve"> A text excerpt that describes the population of interest. This is an alphanumeric field </w:t>
      </w:r>
    </w:p>
    <w:p w14:paraId="27517BA9" w14:textId="77777777" w:rsidR="008619B1" w:rsidRPr="00CC7E17" w:rsidRDefault="008619B1" w:rsidP="0009624B">
      <w:pPr>
        <w:pStyle w:val="Default"/>
        <w:numPr>
          <w:ilvl w:val="0"/>
          <w:numId w:val="4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da-DK"/>
        </w:rPr>
        <w:t>Risk ID</w:t>
      </w:r>
      <w:r w:rsidRPr="00CC7E17">
        <w:rPr>
          <w:rFonts w:ascii="Arial" w:hAnsi="Arial" w:cs="Arial"/>
          <w:sz w:val="24"/>
          <w:szCs w:val="24"/>
          <w:lang w:val="en-US"/>
        </w:rPr>
        <w:t xml:space="preserve">: This is a unique ID that describes each line of baseline risk information, This is a numeric field. </w:t>
      </w:r>
    </w:p>
    <w:p w14:paraId="7C01B7F7" w14:textId="77777777" w:rsidR="008619B1" w:rsidRPr="00CC7E17" w:rsidRDefault="008619B1" w:rsidP="0009624B">
      <w:pPr>
        <w:pStyle w:val="Default"/>
        <w:numPr>
          <w:ilvl w:val="0"/>
          <w:numId w:val="4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es-ES_tradnl"/>
        </w:rPr>
        <w:t>Validation cohort:</w:t>
      </w:r>
      <w:r w:rsidRPr="00CC7E17">
        <w:rPr>
          <w:rFonts w:ascii="Arial" w:hAnsi="Arial" w:cs="Arial"/>
          <w:sz w:val="24"/>
          <w:szCs w:val="24"/>
          <w:lang w:val="en-US"/>
        </w:rPr>
        <w:t xml:space="preserve"> This is a yes/no field </w:t>
      </w:r>
    </w:p>
    <w:p w14:paraId="68FB7A0F" w14:textId="77777777" w:rsidR="008619B1" w:rsidRPr="00CC7E17" w:rsidRDefault="008619B1" w:rsidP="0009624B">
      <w:pPr>
        <w:pStyle w:val="Default"/>
        <w:numPr>
          <w:ilvl w:val="0"/>
          <w:numId w:val="4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it-IT"/>
        </w:rPr>
        <w:t>Outcome ID</w:t>
      </w:r>
      <w:r w:rsidRPr="00CC7E17">
        <w:rPr>
          <w:rFonts w:ascii="Arial" w:hAnsi="Arial" w:cs="Arial"/>
          <w:sz w:val="24"/>
          <w:szCs w:val="24"/>
          <w:lang w:val="en-US"/>
        </w:rPr>
        <w:t xml:space="preserve">: This is a unique ID that describes each Outcome. </w:t>
      </w:r>
    </w:p>
    <w:p w14:paraId="1286910E" w14:textId="77777777" w:rsidR="008619B1" w:rsidRPr="00CC7E17" w:rsidRDefault="008619B1" w:rsidP="0009624B">
      <w:pPr>
        <w:pStyle w:val="Default"/>
        <w:numPr>
          <w:ilvl w:val="0"/>
          <w:numId w:val="4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en-US"/>
        </w:rPr>
        <w:t xml:space="preserve">Total Population: </w:t>
      </w:r>
      <w:r w:rsidRPr="00CC7E17">
        <w:rPr>
          <w:rFonts w:ascii="Arial" w:hAnsi="Arial" w:cs="Arial"/>
          <w:sz w:val="24"/>
          <w:szCs w:val="24"/>
          <w:lang w:val="en-US"/>
        </w:rPr>
        <w:t xml:space="preserve">The total number of individuals studied in the article. This is a numeric field. </w:t>
      </w:r>
    </w:p>
    <w:p w14:paraId="4F778660" w14:textId="77777777" w:rsidR="008619B1" w:rsidRPr="00CC7E17" w:rsidRDefault="008619B1" w:rsidP="0009624B">
      <w:pPr>
        <w:pStyle w:val="Default"/>
        <w:numPr>
          <w:ilvl w:val="0"/>
          <w:numId w:val="46"/>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left="593" w:hanging="480"/>
        <w:rPr>
          <w:rFonts w:ascii="Arial" w:eastAsia="Arial" w:hAnsi="Arial" w:cs="Arial"/>
          <w:position w:val="-2"/>
          <w:sz w:val="24"/>
          <w:szCs w:val="24"/>
        </w:rPr>
      </w:pPr>
      <w:r w:rsidRPr="00CC7E17">
        <w:rPr>
          <w:rFonts w:ascii="Arial" w:hAnsi="Arial" w:cs="Arial"/>
          <w:b/>
          <w:bCs/>
          <w:sz w:val="24"/>
          <w:szCs w:val="24"/>
          <w:lang w:val="en-US"/>
        </w:rPr>
        <w:t>Outcome Events</w:t>
      </w:r>
      <w:r w:rsidRPr="00CC7E17">
        <w:rPr>
          <w:rFonts w:ascii="Arial" w:hAnsi="Arial" w:cs="Arial"/>
          <w:sz w:val="24"/>
          <w:szCs w:val="24"/>
          <w:lang w:val="en-US"/>
        </w:rPr>
        <w:t xml:space="preserve">: The total number in the population who have the disease in question (e.g.. Diabetes, etc.) This is a numeric field. </w:t>
      </w:r>
    </w:p>
    <w:p w14:paraId="1FDEFBC4" w14:textId="77777777" w:rsidR="00504A23" w:rsidRPr="00CC7E17" w:rsidRDefault="00504A23" w:rsidP="0009624B">
      <w:pPr>
        <w:spacing w:line="360" w:lineRule="auto"/>
        <w:rPr>
          <w:rFonts w:ascii="Arial" w:hAnsi="Arial" w:cs="Arial"/>
        </w:rPr>
      </w:pPr>
    </w:p>
    <w:p w14:paraId="23F24E25" w14:textId="77777777" w:rsidR="007C6394" w:rsidRPr="00CC7E17" w:rsidRDefault="007C6394" w:rsidP="0009624B">
      <w:pPr>
        <w:spacing w:line="360" w:lineRule="auto"/>
        <w:rPr>
          <w:rFonts w:ascii="Arial" w:hAnsi="Arial" w:cs="Arial"/>
        </w:rPr>
      </w:pPr>
    </w:p>
    <w:p w14:paraId="21ACA9E6" w14:textId="77777777" w:rsidR="007C6394" w:rsidRPr="00CC7E17" w:rsidRDefault="007C6394" w:rsidP="0009624B">
      <w:pPr>
        <w:spacing w:line="360" w:lineRule="auto"/>
        <w:rPr>
          <w:rFonts w:ascii="Arial" w:hAnsi="Arial" w:cs="Arial"/>
        </w:rPr>
      </w:pPr>
    </w:p>
    <w:p w14:paraId="77FEA8D4" w14:textId="77777777" w:rsidR="007C6394" w:rsidRPr="00CC7E17" w:rsidRDefault="007C6394" w:rsidP="0009624B">
      <w:pPr>
        <w:spacing w:line="360" w:lineRule="auto"/>
        <w:rPr>
          <w:rFonts w:ascii="Arial" w:hAnsi="Arial" w:cs="Arial"/>
        </w:rPr>
      </w:pPr>
    </w:p>
    <w:p w14:paraId="7F9FC9C5" w14:textId="77777777" w:rsidR="007C6394" w:rsidRPr="00CC7E17" w:rsidRDefault="007C6394" w:rsidP="0009624B">
      <w:pPr>
        <w:spacing w:line="360" w:lineRule="auto"/>
        <w:rPr>
          <w:rFonts w:ascii="Arial" w:hAnsi="Arial" w:cs="Arial"/>
        </w:rPr>
      </w:pPr>
    </w:p>
    <w:p w14:paraId="300C750A" w14:textId="77777777" w:rsidR="007C6394" w:rsidRPr="00CC7E17" w:rsidRDefault="007C6394" w:rsidP="0009624B">
      <w:pPr>
        <w:spacing w:line="360" w:lineRule="auto"/>
        <w:rPr>
          <w:rFonts w:ascii="Arial" w:hAnsi="Arial" w:cs="Arial"/>
        </w:rPr>
      </w:pPr>
    </w:p>
    <w:p w14:paraId="68F2DED1" w14:textId="77777777" w:rsidR="007C6394" w:rsidRPr="00CC7E17" w:rsidRDefault="007C6394" w:rsidP="0009624B">
      <w:pPr>
        <w:spacing w:line="360" w:lineRule="auto"/>
        <w:rPr>
          <w:rFonts w:ascii="Arial" w:hAnsi="Arial" w:cs="Arial"/>
        </w:rPr>
      </w:pPr>
    </w:p>
    <w:p w14:paraId="485ADE21" w14:textId="77777777" w:rsidR="007C6394" w:rsidRPr="00CC7E17" w:rsidRDefault="007C6394" w:rsidP="0009624B">
      <w:pPr>
        <w:spacing w:line="360" w:lineRule="auto"/>
        <w:rPr>
          <w:rFonts w:ascii="Arial" w:hAnsi="Arial" w:cs="Arial"/>
        </w:rPr>
      </w:pPr>
    </w:p>
    <w:p w14:paraId="61086889" w14:textId="77777777" w:rsidR="007C6394" w:rsidRPr="00CC7E17" w:rsidRDefault="007C6394" w:rsidP="0009624B">
      <w:pPr>
        <w:spacing w:line="360" w:lineRule="auto"/>
        <w:rPr>
          <w:rFonts w:ascii="Arial" w:hAnsi="Arial" w:cs="Arial"/>
        </w:rPr>
      </w:pPr>
    </w:p>
    <w:p w14:paraId="1A9F33BA" w14:textId="77777777" w:rsidR="007C6394" w:rsidRPr="00CC7E17" w:rsidRDefault="007C6394" w:rsidP="0009624B">
      <w:pPr>
        <w:spacing w:line="360" w:lineRule="auto"/>
        <w:rPr>
          <w:rFonts w:ascii="Arial" w:hAnsi="Arial" w:cs="Arial"/>
        </w:rPr>
      </w:pPr>
    </w:p>
    <w:p w14:paraId="689025E2" w14:textId="77777777" w:rsidR="007C6394" w:rsidRPr="00CC7E17" w:rsidRDefault="007C6394" w:rsidP="0009624B">
      <w:pPr>
        <w:spacing w:line="360" w:lineRule="auto"/>
        <w:rPr>
          <w:rFonts w:ascii="Arial" w:hAnsi="Arial" w:cs="Arial"/>
        </w:rPr>
      </w:pPr>
    </w:p>
    <w:p w14:paraId="7D0A3B98" w14:textId="77777777" w:rsidR="007C6394" w:rsidRPr="00CC7E17" w:rsidRDefault="007C6394" w:rsidP="0009624B">
      <w:pPr>
        <w:spacing w:line="360" w:lineRule="auto"/>
        <w:rPr>
          <w:rFonts w:ascii="Arial" w:hAnsi="Arial" w:cs="Arial"/>
        </w:rPr>
      </w:pPr>
    </w:p>
    <w:p w14:paraId="0C9D3706" w14:textId="77777777" w:rsidR="007C6394" w:rsidRPr="00CC7E17" w:rsidRDefault="007C6394" w:rsidP="0009624B">
      <w:pPr>
        <w:spacing w:line="360" w:lineRule="auto"/>
        <w:rPr>
          <w:rFonts w:ascii="Arial" w:hAnsi="Arial" w:cs="Arial"/>
        </w:rPr>
      </w:pPr>
    </w:p>
    <w:p w14:paraId="06549DF3" w14:textId="77777777" w:rsidR="007C6394" w:rsidRPr="00CC7E17" w:rsidRDefault="007C6394" w:rsidP="0009624B">
      <w:pPr>
        <w:spacing w:line="360" w:lineRule="auto"/>
        <w:rPr>
          <w:rFonts w:ascii="Arial" w:hAnsi="Arial" w:cs="Arial"/>
        </w:rPr>
      </w:pPr>
    </w:p>
    <w:p w14:paraId="773C32AA" w14:textId="77777777" w:rsidR="007C6394" w:rsidRPr="00CC7E17" w:rsidRDefault="007C6394" w:rsidP="0009624B">
      <w:pPr>
        <w:spacing w:line="360" w:lineRule="auto"/>
        <w:rPr>
          <w:rFonts w:ascii="Arial" w:hAnsi="Arial" w:cs="Arial"/>
        </w:rPr>
      </w:pPr>
    </w:p>
    <w:p w14:paraId="5B709739" w14:textId="77777777" w:rsidR="007C6394" w:rsidRPr="00CC7E17" w:rsidRDefault="007C6394" w:rsidP="0009624B">
      <w:pPr>
        <w:spacing w:line="360" w:lineRule="auto"/>
        <w:rPr>
          <w:rFonts w:ascii="Arial" w:hAnsi="Arial" w:cs="Arial"/>
        </w:rPr>
      </w:pPr>
    </w:p>
    <w:p w14:paraId="09663C1A" w14:textId="77777777" w:rsidR="007C6394" w:rsidRPr="00CC7E17" w:rsidRDefault="007C6394" w:rsidP="0009624B">
      <w:pPr>
        <w:spacing w:line="360" w:lineRule="auto"/>
        <w:rPr>
          <w:rFonts w:ascii="Arial" w:hAnsi="Arial" w:cs="Arial"/>
        </w:rPr>
      </w:pPr>
    </w:p>
    <w:p w14:paraId="321C757B" w14:textId="77777777" w:rsidR="007C6394" w:rsidRPr="00CC7E17" w:rsidRDefault="007C6394" w:rsidP="0009624B">
      <w:pPr>
        <w:spacing w:line="360" w:lineRule="auto"/>
        <w:rPr>
          <w:rFonts w:ascii="Arial" w:hAnsi="Arial" w:cs="Arial"/>
        </w:rPr>
      </w:pPr>
    </w:p>
    <w:p w14:paraId="12AD35E8" w14:textId="19F9BCA8" w:rsidR="00087217" w:rsidRPr="00CC7E17" w:rsidRDefault="00087217" w:rsidP="0009624B">
      <w:pPr>
        <w:pStyle w:val="Heading1"/>
        <w:spacing w:line="360" w:lineRule="auto"/>
        <w:rPr>
          <w:rFonts w:ascii="Arial" w:hAnsi="Arial" w:cs="Arial"/>
        </w:rPr>
      </w:pPr>
      <w:bookmarkStart w:id="77" w:name="_Toc286437148"/>
      <w:bookmarkStart w:id="78" w:name="_Toc271280694"/>
      <w:r w:rsidRPr="00CC7E17">
        <w:rPr>
          <w:rFonts w:ascii="Arial" w:hAnsi="Arial" w:cs="Arial"/>
        </w:rPr>
        <w:t>Appendix 4</w:t>
      </w:r>
      <w:bookmarkEnd w:id="77"/>
    </w:p>
    <w:p w14:paraId="207275D1" w14:textId="376AE4DF" w:rsidR="007C6394" w:rsidRPr="00CC7E17" w:rsidRDefault="007C6394" w:rsidP="0009624B">
      <w:pPr>
        <w:pStyle w:val="Heading3"/>
        <w:spacing w:line="360" w:lineRule="auto"/>
        <w:rPr>
          <w:rFonts w:ascii="Arial" w:eastAsia="Arial" w:hAnsi="Arial" w:cs="Arial"/>
        </w:rPr>
      </w:pPr>
      <w:bookmarkStart w:id="79" w:name="_Toc286437149"/>
      <w:r w:rsidRPr="00CC7E17">
        <w:rPr>
          <w:rFonts w:ascii="Arial" w:hAnsi="Arial" w:cs="Arial"/>
        </w:rPr>
        <w:t>Sample Extraction</w:t>
      </w:r>
      <w:bookmarkEnd w:id="78"/>
      <w:r w:rsidR="008619B1" w:rsidRPr="00CC7E17">
        <w:rPr>
          <w:rFonts w:ascii="Arial" w:hAnsi="Arial" w:cs="Arial"/>
        </w:rPr>
        <w:t xml:space="preserve"> using MacPrognosis</w:t>
      </w:r>
      <w:bookmarkEnd w:id="79"/>
    </w:p>
    <w:p w14:paraId="621E856D" w14:textId="3572274D" w:rsidR="007C6394" w:rsidRPr="00CC7E17" w:rsidRDefault="00EF12B7"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For the purposes of the current </w:t>
      </w:r>
      <w:r w:rsidR="007C6394" w:rsidRPr="00CC7E17">
        <w:rPr>
          <w:rFonts w:ascii="Arial" w:hAnsi="Arial" w:cs="Arial"/>
          <w:sz w:val="24"/>
          <w:szCs w:val="24"/>
          <w:lang w:val="en-US"/>
        </w:rPr>
        <w:t xml:space="preserve">study, over 600 studies comprised the article set. In order to understand the differences between extracting information on MacPrognosis rather than Paper Based. </w:t>
      </w:r>
    </w:p>
    <w:p w14:paraId="47F190C5" w14:textId="77777777" w:rsidR="007C6394" w:rsidRPr="00CC7E17" w:rsidRDefault="007C6394" w:rsidP="0009624B">
      <w:pPr>
        <w:pStyle w:val="Body"/>
        <w:spacing w:line="360" w:lineRule="auto"/>
        <w:rPr>
          <w:rFonts w:ascii="Arial" w:eastAsia="Arial" w:hAnsi="Arial" w:cs="Arial"/>
          <w:sz w:val="24"/>
          <w:szCs w:val="24"/>
        </w:rPr>
      </w:pPr>
    </w:p>
    <w:p w14:paraId="194BBE2B"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The article chosen for this purpose was: </w:t>
      </w:r>
      <w:hyperlink r:id="rId25" w:history="1">
        <w:r w:rsidRPr="00CC7E17">
          <w:rPr>
            <w:rStyle w:val="Hyperlink2"/>
            <w:rFonts w:ascii="Arial" w:hAnsi="Arial" w:cs="Arial"/>
            <w:sz w:val="24"/>
            <w:szCs w:val="24"/>
            <w:lang w:val="en-US"/>
          </w:rPr>
          <w:t>Perioperative atrial fibrillation and the long-term risk of ischemic stroke.</w:t>
        </w:r>
      </w:hyperlink>
      <w:r w:rsidRPr="00CC7E17">
        <w:rPr>
          <w:rFonts w:ascii="Arial" w:hAnsi="Arial" w:cs="Arial"/>
          <w:sz w:val="24"/>
          <w:szCs w:val="24"/>
          <w:lang w:val="en-US"/>
        </w:rPr>
        <w:t xml:space="preserve"> Below is a step-by-step walkthrough of the steps taken to extract information from the article: </w:t>
      </w:r>
    </w:p>
    <w:p w14:paraId="09CB40FB" w14:textId="77777777" w:rsidR="007C6394" w:rsidRPr="00CC7E17" w:rsidRDefault="007C6394" w:rsidP="0009624B">
      <w:pPr>
        <w:pStyle w:val="Body"/>
        <w:numPr>
          <w:ilvl w:val="0"/>
          <w:numId w:val="10"/>
        </w:numPr>
        <w:spacing w:line="360" w:lineRule="auto"/>
        <w:rPr>
          <w:rFonts w:ascii="Arial" w:eastAsia="Arial" w:hAnsi="Arial" w:cs="Arial"/>
          <w:sz w:val="24"/>
          <w:szCs w:val="24"/>
        </w:rPr>
      </w:pPr>
      <w:r w:rsidRPr="00CC7E17">
        <w:rPr>
          <w:rFonts w:ascii="Arial" w:hAnsi="Arial" w:cs="Arial"/>
          <w:sz w:val="24"/>
          <w:szCs w:val="24"/>
          <w:lang w:val="en-US"/>
        </w:rPr>
        <w:t xml:space="preserve">Log into MacPrognosis </w:t>
      </w:r>
    </w:p>
    <w:p w14:paraId="558889FD" w14:textId="77777777" w:rsidR="007C6394" w:rsidRPr="00CC7E17" w:rsidRDefault="007C6394" w:rsidP="0009624B">
      <w:pPr>
        <w:pStyle w:val="Body"/>
        <w:numPr>
          <w:ilvl w:val="0"/>
          <w:numId w:val="10"/>
        </w:numPr>
        <w:spacing w:line="360" w:lineRule="auto"/>
        <w:rPr>
          <w:rFonts w:ascii="Arial" w:eastAsia="Arial" w:hAnsi="Arial" w:cs="Arial"/>
          <w:sz w:val="24"/>
          <w:szCs w:val="24"/>
        </w:rPr>
      </w:pPr>
      <w:r w:rsidRPr="00CC7E17">
        <w:rPr>
          <w:rFonts w:ascii="Arial" w:hAnsi="Arial" w:cs="Arial"/>
          <w:sz w:val="24"/>
          <w:szCs w:val="24"/>
          <w:lang w:val="en-US"/>
        </w:rPr>
        <w:t xml:space="preserve">Select the Article by title on the home Page </w:t>
      </w:r>
    </w:p>
    <w:p w14:paraId="7222A093" w14:textId="77777777" w:rsidR="007C6394" w:rsidRPr="00CC7E17" w:rsidRDefault="007C6394" w:rsidP="0009624B">
      <w:pPr>
        <w:pStyle w:val="Body"/>
        <w:numPr>
          <w:ilvl w:val="0"/>
          <w:numId w:val="10"/>
        </w:numPr>
        <w:spacing w:line="360" w:lineRule="auto"/>
        <w:rPr>
          <w:rFonts w:ascii="Arial" w:eastAsia="Arial" w:hAnsi="Arial" w:cs="Arial"/>
          <w:sz w:val="24"/>
          <w:szCs w:val="24"/>
        </w:rPr>
      </w:pPr>
      <w:r w:rsidRPr="00CC7E17">
        <w:rPr>
          <w:rFonts w:ascii="Arial" w:hAnsi="Arial" w:cs="Arial"/>
          <w:sz w:val="24"/>
          <w:szCs w:val="24"/>
          <w:lang w:val="en-US"/>
        </w:rPr>
        <w:t xml:space="preserve">Click the link for Full Text </w:t>
      </w:r>
    </w:p>
    <w:p w14:paraId="3577164C" w14:textId="77777777" w:rsidR="007C6394" w:rsidRPr="00CC7E17" w:rsidRDefault="007C6394" w:rsidP="0009624B">
      <w:pPr>
        <w:pStyle w:val="Body"/>
        <w:numPr>
          <w:ilvl w:val="0"/>
          <w:numId w:val="10"/>
        </w:numPr>
        <w:spacing w:line="360" w:lineRule="auto"/>
        <w:rPr>
          <w:rFonts w:ascii="Arial" w:eastAsia="Arial" w:hAnsi="Arial" w:cs="Arial"/>
          <w:sz w:val="24"/>
          <w:szCs w:val="24"/>
        </w:rPr>
      </w:pPr>
      <w:r w:rsidRPr="00CC7E17">
        <w:rPr>
          <w:rFonts w:ascii="Arial" w:hAnsi="Arial" w:cs="Arial"/>
          <w:sz w:val="24"/>
          <w:szCs w:val="24"/>
          <w:lang w:val="en-US"/>
        </w:rPr>
        <w:t>Select File from Downloads</w:t>
      </w:r>
    </w:p>
    <w:p w14:paraId="349F34DB" w14:textId="4797E81D" w:rsidR="007C6394" w:rsidRPr="00CC7E17" w:rsidRDefault="007C6394" w:rsidP="0009624B">
      <w:pPr>
        <w:pStyle w:val="Body"/>
        <w:numPr>
          <w:ilvl w:val="0"/>
          <w:numId w:val="10"/>
        </w:numPr>
        <w:spacing w:line="360" w:lineRule="auto"/>
        <w:rPr>
          <w:rFonts w:ascii="Arial" w:eastAsia="Arial" w:hAnsi="Arial" w:cs="Arial"/>
          <w:sz w:val="24"/>
          <w:szCs w:val="24"/>
        </w:rPr>
      </w:pPr>
      <w:r w:rsidRPr="00CC7E17">
        <w:rPr>
          <w:rFonts w:ascii="Arial" w:hAnsi="Arial" w:cs="Arial"/>
          <w:sz w:val="24"/>
          <w:szCs w:val="24"/>
          <w:lang w:val="en-US"/>
        </w:rPr>
        <w:t xml:space="preserve">Read Introductory Paragraph to get a sense of the Background information of the article and begin to look for information about the population involved, Condition </w:t>
      </w:r>
      <w:r w:rsidR="00FF09EA" w:rsidRPr="00CC7E17">
        <w:rPr>
          <w:rFonts w:ascii="Arial" w:hAnsi="Arial" w:cs="Arial"/>
          <w:sz w:val="24"/>
          <w:szCs w:val="24"/>
          <w:lang w:val="en-US"/>
        </w:rPr>
        <w:t>Sub condition</w:t>
      </w:r>
      <w:r w:rsidRPr="00CC7E17">
        <w:rPr>
          <w:rFonts w:ascii="Arial" w:hAnsi="Arial" w:cs="Arial"/>
          <w:sz w:val="24"/>
          <w:szCs w:val="24"/>
          <w:lang w:val="en-US"/>
        </w:rPr>
        <w:t xml:space="preserve"> and Outcome </w:t>
      </w:r>
    </w:p>
    <w:p w14:paraId="5ABB87D4" w14:textId="77777777" w:rsidR="007C6394" w:rsidRPr="00CC7E17" w:rsidRDefault="007C6394" w:rsidP="0009624B">
      <w:pPr>
        <w:pStyle w:val="Body"/>
        <w:numPr>
          <w:ilvl w:val="1"/>
          <w:numId w:val="11"/>
        </w:numPr>
        <w:spacing w:line="360" w:lineRule="auto"/>
        <w:rPr>
          <w:rFonts w:ascii="Arial" w:eastAsia="Arial" w:hAnsi="Arial" w:cs="Arial"/>
          <w:position w:val="-2"/>
          <w:sz w:val="24"/>
          <w:szCs w:val="24"/>
        </w:rPr>
      </w:pPr>
      <w:r w:rsidRPr="00CC7E17">
        <w:rPr>
          <w:rFonts w:ascii="Arial" w:hAnsi="Arial" w:cs="Arial"/>
          <w:sz w:val="24"/>
          <w:szCs w:val="24"/>
          <w:lang w:val="en-US"/>
        </w:rPr>
        <w:t>This particular article is about Perioperative Atrial fibrillation and subsequent Ischemic Stroke risk</w:t>
      </w:r>
    </w:p>
    <w:p w14:paraId="6756BAC9" w14:textId="77777777" w:rsidR="007C6394" w:rsidRPr="00CC7E17" w:rsidRDefault="007C6394" w:rsidP="0009624B">
      <w:pPr>
        <w:pStyle w:val="Body"/>
        <w:numPr>
          <w:ilvl w:val="1"/>
          <w:numId w:val="12"/>
        </w:numPr>
        <w:spacing w:line="360" w:lineRule="auto"/>
        <w:rPr>
          <w:rFonts w:ascii="Arial" w:eastAsia="Arial" w:hAnsi="Arial" w:cs="Arial"/>
          <w:position w:val="-2"/>
          <w:sz w:val="24"/>
          <w:szCs w:val="24"/>
        </w:rPr>
      </w:pPr>
      <w:r w:rsidRPr="00CC7E17">
        <w:rPr>
          <w:rFonts w:ascii="Arial" w:hAnsi="Arial" w:cs="Arial"/>
          <w:sz w:val="24"/>
          <w:szCs w:val="24"/>
          <w:lang w:val="en-US"/>
        </w:rPr>
        <w:t xml:space="preserve">The study is a retrospective short study </w:t>
      </w:r>
    </w:p>
    <w:p w14:paraId="0548AB02" w14:textId="77777777" w:rsidR="007C6394" w:rsidRPr="00CC7E17" w:rsidRDefault="007C6394" w:rsidP="0009624B">
      <w:pPr>
        <w:pStyle w:val="Body"/>
        <w:numPr>
          <w:ilvl w:val="1"/>
          <w:numId w:val="13"/>
        </w:numPr>
        <w:spacing w:line="360" w:lineRule="auto"/>
        <w:rPr>
          <w:rFonts w:ascii="Arial" w:eastAsia="Arial" w:hAnsi="Arial" w:cs="Arial"/>
          <w:position w:val="-2"/>
          <w:sz w:val="24"/>
          <w:szCs w:val="24"/>
        </w:rPr>
      </w:pPr>
      <w:r w:rsidRPr="00CC7E17">
        <w:rPr>
          <w:rFonts w:ascii="Arial" w:hAnsi="Arial" w:cs="Arial"/>
          <w:sz w:val="24"/>
          <w:szCs w:val="24"/>
          <w:lang w:val="en-US"/>
        </w:rPr>
        <w:t xml:space="preserve">Data was taken from non-federal California Acute Care Hospitals between 2007 and 2011 </w:t>
      </w:r>
    </w:p>
    <w:p w14:paraId="4FD5141D" w14:textId="77777777" w:rsidR="007C6394" w:rsidRPr="00CC7E17" w:rsidRDefault="007C6394" w:rsidP="0009624B">
      <w:pPr>
        <w:pStyle w:val="Body"/>
        <w:numPr>
          <w:ilvl w:val="1"/>
          <w:numId w:val="14"/>
        </w:numPr>
        <w:spacing w:line="360" w:lineRule="auto"/>
        <w:rPr>
          <w:rFonts w:ascii="Arial" w:eastAsia="Arial" w:hAnsi="Arial" w:cs="Arial"/>
          <w:position w:val="-2"/>
          <w:sz w:val="24"/>
          <w:szCs w:val="24"/>
        </w:rPr>
      </w:pPr>
      <w:r w:rsidRPr="00CC7E17">
        <w:rPr>
          <w:rFonts w:ascii="Arial" w:hAnsi="Arial" w:cs="Arial"/>
          <w:sz w:val="24"/>
          <w:szCs w:val="24"/>
          <w:lang w:val="en-US"/>
        </w:rPr>
        <w:t xml:space="preserve">Study utilized validated diagnosis codes to identify strokes in the preoperative period </w:t>
      </w:r>
    </w:p>
    <w:p w14:paraId="3C7172B4" w14:textId="77777777" w:rsidR="007C6394" w:rsidRPr="00CC7E17" w:rsidRDefault="007C6394" w:rsidP="0009624B">
      <w:pPr>
        <w:pStyle w:val="Body"/>
        <w:numPr>
          <w:ilvl w:val="1"/>
          <w:numId w:val="15"/>
        </w:numPr>
        <w:spacing w:line="360" w:lineRule="auto"/>
        <w:rPr>
          <w:rFonts w:ascii="Arial" w:eastAsia="Arial" w:hAnsi="Arial" w:cs="Arial"/>
          <w:position w:val="-2"/>
          <w:sz w:val="24"/>
          <w:szCs w:val="24"/>
        </w:rPr>
      </w:pPr>
      <w:r w:rsidRPr="00CC7E17">
        <w:rPr>
          <w:rFonts w:ascii="Arial" w:hAnsi="Arial" w:cs="Arial"/>
          <w:sz w:val="24"/>
          <w:szCs w:val="24"/>
          <w:lang w:val="en-US"/>
        </w:rPr>
        <w:t>Condition: Perioperative Atrial Fibrillation</w:t>
      </w:r>
    </w:p>
    <w:p w14:paraId="674A38E2" w14:textId="77777777" w:rsidR="007C6394" w:rsidRPr="00CC7E17" w:rsidRDefault="007C6394" w:rsidP="0009624B">
      <w:pPr>
        <w:pStyle w:val="Body"/>
        <w:numPr>
          <w:ilvl w:val="1"/>
          <w:numId w:val="16"/>
        </w:numPr>
        <w:spacing w:line="360" w:lineRule="auto"/>
        <w:rPr>
          <w:rFonts w:ascii="Arial" w:eastAsia="Arial" w:hAnsi="Arial" w:cs="Arial"/>
          <w:position w:val="-2"/>
          <w:sz w:val="24"/>
          <w:szCs w:val="24"/>
        </w:rPr>
      </w:pPr>
      <w:r w:rsidRPr="00CC7E17">
        <w:rPr>
          <w:rFonts w:ascii="Arial" w:hAnsi="Arial" w:cs="Arial"/>
          <w:sz w:val="24"/>
          <w:szCs w:val="24"/>
          <w:lang w:val="en-US"/>
        </w:rPr>
        <w:t xml:space="preserve">Outcome: Ischemic Stroke </w:t>
      </w:r>
    </w:p>
    <w:p w14:paraId="2575199C" w14:textId="5617A3FC" w:rsidR="007C6394" w:rsidRPr="00CC7E17" w:rsidRDefault="00FF09EA" w:rsidP="0009624B">
      <w:pPr>
        <w:pStyle w:val="Body"/>
        <w:numPr>
          <w:ilvl w:val="1"/>
          <w:numId w:val="17"/>
        </w:numPr>
        <w:spacing w:line="360" w:lineRule="auto"/>
        <w:rPr>
          <w:rFonts w:ascii="Arial" w:eastAsia="Arial" w:hAnsi="Arial" w:cs="Arial"/>
          <w:position w:val="-2"/>
          <w:sz w:val="24"/>
          <w:szCs w:val="24"/>
        </w:rPr>
      </w:pPr>
      <w:r w:rsidRPr="00CC7E17">
        <w:rPr>
          <w:rFonts w:ascii="Arial" w:hAnsi="Arial" w:cs="Arial"/>
          <w:sz w:val="24"/>
          <w:szCs w:val="24"/>
          <w:lang w:val="en-US"/>
        </w:rPr>
        <w:t>Sub condition</w:t>
      </w:r>
      <w:r w:rsidR="007C6394" w:rsidRPr="00CC7E17">
        <w:rPr>
          <w:rFonts w:ascii="Arial" w:hAnsi="Arial" w:cs="Arial"/>
          <w:sz w:val="24"/>
          <w:szCs w:val="24"/>
          <w:lang w:val="en-US"/>
        </w:rPr>
        <w:t xml:space="preserve">: Hospitalized for surgery </w:t>
      </w:r>
    </w:p>
    <w:p w14:paraId="1864318B" w14:textId="77777777" w:rsidR="007C6394" w:rsidRPr="00CC7E17" w:rsidRDefault="007C6394" w:rsidP="0009624B">
      <w:pPr>
        <w:pStyle w:val="Body"/>
        <w:numPr>
          <w:ilvl w:val="0"/>
          <w:numId w:val="10"/>
        </w:numPr>
        <w:spacing w:line="360" w:lineRule="auto"/>
        <w:rPr>
          <w:rFonts w:ascii="Arial" w:eastAsia="Arial" w:hAnsi="Arial" w:cs="Arial"/>
          <w:sz w:val="24"/>
          <w:szCs w:val="24"/>
        </w:rPr>
      </w:pPr>
      <w:r w:rsidRPr="00CC7E17">
        <w:rPr>
          <w:rFonts w:ascii="Arial" w:hAnsi="Arial" w:cs="Arial"/>
          <w:sz w:val="24"/>
          <w:szCs w:val="24"/>
          <w:lang w:val="en-US"/>
        </w:rPr>
        <w:t xml:space="preserve">Screen paper’s results section for details about inception cohort Population Total (or if not available Person Years of follow up), Outcome Total </w:t>
      </w:r>
    </w:p>
    <w:p w14:paraId="56CD59FE" w14:textId="77777777" w:rsidR="007C6394" w:rsidRPr="00CC7E17" w:rsidRDefault="007C6394" w:rsidP="0009624B">
      <w:pPr>
        <w:pStyle w:val="Body"/>
        <w:numPr>
          <w:ilvl w:val="1"/>
          <w:numId w:val="18"/>
        </w:numPr>
        <w:spacing w:line="360" w:lineRule="auto"/>
        <w:rPr>
          <w:rFonts w:ascii="Arial" w:eastAsia="Arial" w:hAnsi="Arial" w:cs="Arial"/>
          <w:position w:val="-2"/>
          <w:sz w:val="24"/>
          <w:szCs w:val="24"/>
        </w:rPr>
      </w:pPr>
      <w:r w:rsidRPr="00CC7E17">
        <w:rPr>
          <w:rFonts w:ascii="Arial" w:hAnsi="Arial" w:cs="Arial"/>
          <w:sz w:val="24"/>
          <w:szCs w:val="24"/>
          <w:lang w:val="en-US"/>
        </w:rPr>
        <w:t>Total Cohort: 1 729 360</w:t>
      </w:r>
    </w:p>
    <w:p w14:paraId="1F023D77" w14:textId="77777777" w:rsidR="007C6394" w:rsidRPr="00CC7E17" w:rsidRDefault="007C6394" w:rsidP="0009624B">
      <w:pPr>
        <w:pStyle w:val="Body"/>
        <w:numPr>
          <w:ilvl w:val="1"/>
          <w:numId w:val="19"/>
        </w:numPr>
        <w:spacing w:line="360" w:lineRule="auto"/>
        <w:rPr>
          <w:rFonts w:ascii="Arial" w:eastAsia="Arial" w:hAnsi="Arial" w:cs="Arial"/>
          <w:position w:val="-2"/>
          <w:sz w:val="24"/>
          <w:szCs w:val="24"/>
        </w:rPr>
      </w:pPr>
      <w:r w:rsidRPr="00CC7E17">
        <w:rPr>
          <w:rFonts w:ascii="Arial" w:hAnsi="Arial" w:cs="Arial"/>
          <w:sz w:val="24"/>
          <w:szCs w:val="24"/>
          <w:lang w:val="en-US"/>
        </w:rPr>
        <w:t xml:space="preserve">Total Population who met inclusion Criteria: 24 711 had new onset preoperative atrial fibrillation </w:t>
      </w:r>
    </w:p>
    <w:p w14:paraId="33FCD00E" w14:textId="77777777" w:rsidR="007C6394" w:rsidRPr="00CC7E17" w:rsidRDefault="007C6394" w:rsidP="0009624B">
      <w:pPr>
        <w:pStyle w:val="Body"/>
        <w:numPr>
          <w:ilvl w:val="1"/>
          <w:numId w:val="20"/>
        </w:numPr>
        <w:spacing w:line="360" w:lineRule="auto"/>
        <w:rPr>
          <w:rFonts w:ascii="Arial" w:eastAsia="Arial" w:hAnsi="Arial" w:cs="Arial"/>
          <w:position w:val="-2"/>
          <w:sz w:val="24"/>
          <w:szCs w:val="24"/>
        </w:rPr>
      </w:pPr>
      <w:r w:rsidRPr="00CC7E17">
        <w:rPr>
          <w:rFonts w:ascii="Arial" w:hAnsi="Arial" w:cs="Arial"/>
          <w:sz w:val="24"/>
          <w:szCs w:val="24"/>
          <w:lang w:val="en-US"/>
        </w:rPr>
        <w:t xml:space="preserve">Outcome Total: 13 952 </w:t>
      </w:r>
    </w:p>
    <w:p w14:paraId="04C66A0D" w14:textId="77777777" w:rsidR="007C6394" w:rsidRPr="00CC7E17" w:rsidRDefault="007C6394" w:rsidP="0009624B">
      <w:pPr>
        <w:pStyle w:val="Body"/>
        <w:spacing w:line="360" w:lineRule="auto"/>
        <w:ind w:left="680"/>
        <w:rPr>
          <w:rFonts w:ascii="Arial" w:eastAsia="Arial" w:hAnsi="Arial" w:cs="Arial"/>
          <w:sz w:val="24"/>
          <w:szCs w:val="24"/>
        </w:rPr>
      </w:pPr>
      <w:r w:rsidRPr="00CC7E17">
        <w:rPr>
          <w:rFonts w:ascii="Arial" w:hAnsi="Arial" w:cs="Arial"/>
          <w:sz w:val="24"/>
          <w:szCs w:val="24"/>
          <w:lang w:val="en-US"/>
        </w:rPr>
        <w:t>The information above encapsulates the main baseline risk information pertaining to the objective of the article, however it is useful to peruse the article for more information pertaining to risk</w:t>
      </w:r>
    </w:p>
    <w:p w14:paraId="4ADF3AB5" w14:textId="77777777" w:rsidR="007C6394" w:rsidRPr="00CC7E17" w:rsidRDefault="007C6394" w:rsidP="0009624B">
      <w:pPr>
        <w:pStyle w:val="Body"/>
        <w:spacing w:line="360" w:lineRule="auto"/>
        <w:ind w:left="680" w:hanging="283"/>
        <w:rPr>
          <w:rFonts w:ascii="Arial" w:eastAsia="Arial" w:hAnsi="Arial" w:cs="Arial"/>
          <w:sz w:val="24"/>
          <w:szCs w:val="24"/>
        </w:rPr>
      </w:pPr>
      <w:r w:rsidRPr="00CC7E17">
        <w:rPr>
          <w:rFonts w:ascii="Arial" w:hAnsi="Arial" w:cs="Arial"/>
          <w:sz w:val="24"/>
          <w:szCs w:val="24"/>
          <w:lang w:val="en-US"/>
        </w:rPr>
        <w:t>7) After finding information pertaining to risk, a text excerpt that accurately sums up the risk statement must be included, for this particular piece of information the following includes information regarding the risk statement, inclusion criteria and follow up:</w:t>
      </w:r>
    </w:p>
    <w:p w14:paraId="70DBFE41" w14:textId="77777777" w:rsidR="007C6394" w:rsidRPr="00CC7E17" w:rsidRDefault="007C6394" w:rsidP="0009624B">
      <w:pPr>
        <w:pStyle w:val="Body"/>
        <w:spacing w:line="360" w:lineRule="auto"/>
        <w:ind w:left="1531"/>
        <w:rPr>
          <w:rFonts w:ascii="Arial" w:eastAsia="Arial" w:hAnsi="Arial" w:cs="Arial"/>
          <w:i/>
          <w:iCs/>
          <w:sz w:val="20"/>
          <w:szCs w:val="20"/>
        </w:rPr>
      </w:pPr>
      <w:r w:rsidRPr="00CC7E17">
        <w:rPr>
          <w:rFonts w:ascii="Arial" w:hAnsi="Arial" w:cs="Arial"/>
          <w:i/>
          <w:iCs/>
          <w:sz w:val="20"/>
          <w:szCs w:val="20"/>
          <w:lang w:val="en-US"/>
        </w:rPr>
        <w:t>We included 1 729 360 eligible patients with a mean follow-up time of 2.1 years (SD, 1.3 years). Among these patients, perioperative AF was documented in 24 711 cases (1.43%; 95% CI, 1.41%-1.45%…After discharge from the index hospitalization for surgery, 13 952 patients (crude rate, 0.81%; 95% CI, 0.79%-0.82%) went on to experience an ischemic stroke.</w:t>
      </w:r>
    </w:p>
    <w:p w14:paraId="42B5EEE9" w14:textId="77777777" w:rsidR="007C6394" w:rsidRPr="00CC7E17" w:rsidRDefault="007C6394" w:rsidP="0009624B">
      <w:pPr>
        <w:pStyle w:val="Default"/>
        <w:spacing w:after="240" w:line="360" w:lineRule="auto"/>
        <w:rPr>
          <w:rFonts w:ascii="Arial" w:eastAsia="Arial" w:hAnsi="Arial" w:cs="Arial"/>
          <w:color w:val="19171B"/>
          <w:sz w:val="24"/>
          <w:szCs w:val="24"/>
          <w:shd w:val="clear" w:color="auto" w:fill="F4F3ED"/>
        </w:rPr>
      </w:pPr>
    </w:p>
    <w:p w14:paraId="589B3EAE"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Given the preceding information, the following would be entered into the MacPrognosis interface: </w:t>
      </w:r>
    </w:p>
    <w:p w14:paraId="56C0717A"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b/>
          <w:bCs/>
          <w:sz w:val="24"/>
          <w:szCs w:val="24"/>
          <w:lang w:val="en-US"/>
        </w:rPr>
        <w:t xml:space="preserve">Condition: </w:t>
      </w:r>
      <w:r w:rsidRPr="00CC7E17">
        <w:rPr>
          <w:rFonts w:ascii="Arial" w:hAnsi="Arial" w:cs="Arial"/>
          <w:sz w:val="24"/>
          <w:szCs w:val="24"/>
          <w:lang w:val="en-US"/>
        </w:rPr>
        <w:t xml:space="preserve">Perioperative AF </w:t>
      </w:r>
    </w:p>
    <w:p w14:paraId="2FCE2E1D" w14:textId="2925A6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00FF09EA" w:rsidRPr="00CC7E17">
        <w:rPr>
          <w:rFonts w:ascii="Arial" w:hAnsi="Arial" w:cs="Arial"/>
          <w:b/>
          <w:bCs/>
          <w:sz w:val="24"/>
          <w:szCs w:val="24"/>
          <w:lang w:val="en-US"/>
        </w:rPr>
        <w:t>Sub condition</w:t>
      </w:r>
      <w:r w:rsidRPr="00CC7E17">
        <w:rPr>
          <w:rFonts w:ascii="Arial" w:hAnsi="Arial" w:cs="Arial"/>
          <w:b/>
          <w:bCs/>
          <w:sz w:val="24"/>
          <w:szCs w:val="24"/>
          <w:lang w:val="en-US"/>
        </w:rPr>
        <w:t>:</w:t>
      </w:r>
      <w:r w:rsidRPr="00CC7E17">
        <w:rPr>
          <w:rFonts w:ascii="Arial" w:hAnsi="Arial" w:cs="Arial"/>
          <w:sz w:val="24"/>
          <w:szCs w:val="24"/>
          <w:lang w:val="en-US"/>
        </w:rPr>
        <w:t xml:space="preserve"> Hospitalized for Surgery </w:t>
      </w:r>
      <w:r w:rsidRPr="00CC7E17">
        <w:rPr>
          <w:rFonts w:ascii="Arial" w:hAnsi="Arial" w:cs="Arial"/>
          <w:sz w:val="24"/>
          <w:szCs w:val="24"/>
          <w:lang w:val="en-US"/>
        </w:rPr>
        <w:tab/>
      </w:r>
    </w:p>
    <w:p w14:paraId="13CBCB61"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b/>
          <w:bCs/>
          <w:sz w:val="24"/>
          <w:szCs w:val="24"/>
          <w:lang w:val="en-US"/>
        </w:rPr>
        <w:t>Outcome:</w:t>
      </w:r>
      <w:r w:rsidRPr="00CC7E17">
        <w:rPr>
          <w:rFonts w:ascii="Arial" w:hAnsi="Arial" w:cs="Arial"/>
          <w:sz w:val="24"/>
          <w:szCs w:val="24"/>
          <w:lang w:val="en-US"/>
        </w:rPr>
        <w:t xml:space="preserve"> Ischemic Stroke </w:t>
      </w:r>
    </w:p>
    <w:p w14:paraId="0C460E99"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b/>
          <w:bCs/>
          <w:sz w:val="24"/>
          <w:szCs w:val="24"/>
          <w:lang w:val="en-US"/>
        </w:rPr>
        <w:tab/>
        <w:t>Outcome Lay Label:</w:t>
      </w:r>
      <w:r w:rsidRPr="00CC7E17">
        <w:rPr>
          <w:rFonts w:ascii="Arial" w:hAnsi="Arial" w:cs="Arial"/>
          <w:sz w:val="24"/>
          <w:szCs w:val="24"/>
          <w:lang w:val="en-US"/>
        </w:rPr>
        <w:t xml:space="preserve"> N/A</w:t>
      </w:r>
    </w:p>
    <w:p w14:paraId="76AACC8F"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b/>
          <w:bCs/>
          <w:sz w:val="24"/>
          <w:szCs w:val="24"/>
          <w:lang w:val="en-US"/>
        </w:rPr>
        <w:t xml:space="preserve">Outcome Total: </w:t>
      </w:r>
      <w:r w:rsidRPr="00CC7E17">
        <w:rPr>
          <w:rFonts w:ascii="Arial" w:hAnsi="Arial" w:cs="Arial"/>
          <w:sz w:val="24"/>
          <w:szCs w:val="24"/>
          <w:lang w:val="en-US"/>
        </w:rPr>
        <w:t xml:space="preserve">13952 </w:t>
      </w:r>
    </w:p>
    <w:p w14:paraId="11768702"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b/>
          <w:bCs/>
          <w:sz w:val="24"/>
          <w:szCs w:val="24"/>
          <w:lang w:val="en-US"/>
        </w:rPr>
        <w:t xml:space="preserve">Population Total: </w:t>
      </w:r>
      <w:r w:rsidRPr="00CC7E17">
        <w:rPr>
          <w:rFonts w:ascii="Arial" w:hAnsi="Arial" w:cs="Arial"/>
          <w:sz w:val="24"/>
          <w:szCs w:val="24"/>
          <w:lang w:val="en-US"/>
        </w:rPr>
        <w:t xml:space="preserve">24711 </w:t>
      </w:r>
    </w:p>
    <w:p w14:paraId="0B26115A"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b/>
          <w:bCs/>
          <w:sz w:val="24"/>
          <w:szCs w:val="24"/>
          <w:lang w:val="en-US"/>
        </w:rPr>
        <w:tab/>
        <w:t xml:space="preserve">Person Years: </w:t>
      </w:r>
      <w:r w:rsidRPr="00CC7E17">
        <w:rPr>
          <w:rFonts w:ascii="Arial" w:hAnsi="Arial" w:cs="Arial"/>
          <w:sz w:val="24"/>
          <w:szCs w:val="24"/>
          <w:lang w:val="en-US"/>
        </w:rPr>
        <w:t>N/A</w:t>
      </w:r>
    </w:p>
    <w:p w14:paraId="4E7450F5"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b/>
          <w:bCs/>
          <w:sz w:val="24"/>
          <w:szCs w:val="24"/>
          <w:lang w:val="en-US"/>
        </w:rPr>
        <w:tab/>
        <w:t>RR/ HR/ OR:</w:t>
      </w:r>
      <w:r w:rsidRPr="00CC7E17">
        <w:rPr>
          <w:rFonts w:ascii="Arial" w:hAnsi="Arial" w:cs="Arial"/>
          <w:sz w:val="24"/>
          <w:szCs w:val="24"/>
          <w:lang w:val="en-US"/>
        </w:rPr>
        <w:t xml:space="preserve"> N/A</w:t>
      </w:r>
    </w:p>
    <w:p w14:paraId="5F52A7BC"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b/>
          <w:bCs/>
          <w:sz w:val="24"/>
          <w:szCs w:val="24"/>
          <w:lang w:val="en-US"/>
        </w:rPr>
        <w:tab/>
        <w:t xml:space="preserve">LB/ UP CI: </w:t>
      </w:r>
      <w:r w:rsidRPr="00CC7E17">
        <w:rPr>
          <w:rFonts w:ascii="Arial" w:hAnsi="Arial" w:cs="Arial"/>
          <w:sz w:val="24"/>
          <w:szCs w:val="24"/>
          <w:lang w:val="en-US"/>
        </w:rPr>
        <w:t>N/A</w:t>
      </w:r>
    </w:p>
    <w:p w14:paraId="00F9C43F"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hAnsi="Arial" w:cs="Arial"/>
          <w:b/>
          <w:bCs/>
          <w:sz w:val="24"/>
          <w:szCs w:val="24"/>
          <w:lang w:val="en-US"/>
        </w:rPr>
        <w:t xml:space="preserve">Text Excerpt Risk: </w:t>
      </w:r>
      <w:r w:rsidRPr="00CC7E17">
        <w:rPr>
          <w:rFonts w:ascii="Arial" w:hAnsi="Arial" w:cs="Arial"/>
          <w:b/>
          <w:bCs/>
          <w:sz w:val="24"/>
          <w:szCs w:val="24"/>
          <w:lang w:val="en-US"/>
        </w:rPr>
        <w:tab/>
      </w:r>
      <w:r w:rsidRPr="00CC7E17">
        <w:rPr>
          <w:rFonts w:ascii="Arial" w:hAnsi="Arial" w:cs="Arial"/>
          <w:sz w:val="24"/>
          <w:szCs w:val="24"/>
          <w:lang w:val="en-US"/>
        </w:rPr>
        <w:t>We included 1 729 360 eligible patients with a mean follow-up time of 2.1 years (SD, 1.3 years). Among these patients, perioperative AF was documented in 24 711 cases (1.43%; 95% CI, 1.41%-1.45%…After discharge from the index hospitalization for surgery, 13 952 patients (crude rate, 0.81%; 95% CI, 0.79%-0.82%) went on to experience an ischemic stroke.</w:t>
      </w:r>
    </w:p>
    <w:p w14:paraId="08EA5C6A"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hAnsi="Arial" w:cs="Arial"/>
          <w:sz w:val="24"/>
          <w:szCs w:val="24"/>
          <w:lang w:val="en-US"/>
        </w:rPr>
        <w:t xml:space="preserve">The last thing to do is to ensure that whatever can pass through the SNOMED tool, does. The extraction interface had already pre-populated the following possible information into the Condition column: </w:t>
      </w:r>
    </w:p>
    <w:p w14:paraId="21E7F27A"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lang w:val="en-US"/>
        </w:rPr>
        <w:t>Atrial fibrillation (acute onset) (49436004x373933003)</w:t>
      </w:r>
    </w:p>
    <w:p w14:paraId="5A4DF87D"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lang w:val="en-US"/>
        </w:rPr>
        <w:t>Percutaneous coronary intervention (415070008)</w:t>
      </w:r>
    </w:p>
    <w:p w14:paraId="7C42C483" w14:textId="6FD72793"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lang w:val="en-US"/>
        </w:rPr>
        <w:t>Coronary artery bypass grafting</w:t>
      </w:r>
      <w:r w:rsidR="00A50237">
        <w:rPr>
          <w:rFonts w:ascii="Arial" w:hAnsi="Arial" w:cs="Arial"/>
          <w:sz w:val="24"/>
          <w:szCs w:val="24"/>
          <w:lang w:val="en-US"/>
        </w:rPr>
        <w:t xml:space="preserve"> </w:t>
      </w:r>
      <w:r w:rsidRPr="00CC7E17">
        <w:rPr>
          <w:rFonts w:ascii="Arial" w:hAnsi="Arial" w:cs="Arial"/>
          <w:sz w:val="24"/>
          <w:szCs w:val="24"/>
          <w:lang w:val="en-US"/>
        </w:rPr>
        <w:t>(232717009)</w:t>
      </w:r>
    </w:p>
    <w:p w14:paraId="2879C9BB"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rPr>
        <w:t>Prognosis (170967006)</w:t>
      </w:r>
    </w:p>
    <w:p w14:paraId="633CD363" w14:textId="2C1634EE"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rPr>
        <w:t>Adult</w:t>
      </w:r>
      <w:r w:rsidR="00A50237">
        <w:rPr>
          <w:rFonts w:ascii="Arial" w:hAnsi="Arial" w:cs="Arial"/>
          <w:sz w:val="24"/>
          <w:szCs w:val="24"/>
        </w:rPr>
        <w:t xml:space="preserve"> </w:t>
      </w:r>
      <w:r w:rsidRPr="00CC7E17">
        <w:rPr>
          <w:rFonts w:ascii="Arial" w:hAnsi="Arial" w:cs="Arial"/>
          <w:sz w:val="24"/>
          <w:szCs w:val="24"/>
        </w:rPr>
        <w:t>(133936004)</w:t>
      </w:r>
    </w:p>
    <w:p w14:paraId="2F866F9B" w14:textId="6AF9521E"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rPr>
        <w:t>Postoperative care</w:t>
      </w:r>
      <w:r w:rsidR="00A50237">
        <w:rPr>
          <w:rFonts w:ascii="Arial" w:hAnsi="Arial" w:cs="Arial"/>
          <w:sz w:val="24"/>
          <w:szCs w:val="24"/>
        </w:rPr>
        <w:t xml:space="preserve"> </w:t>
      </w:r>
      <w:r w:rsidRPr="00CC7E17">
        <w:rPr>
          <w:rFonts w:ascii="Arial" w:hAnsi="Arial" w:cs="Arial"/>
          <w:sz w:val="24"/>
          <w:szCs w:val="24"/>
        </w:rPr>
        <w:t>(133899007)</w:t>
      </w:r>
    </w:p>
    <w:p w14:paraId="537463B3" w14:textId="79D049EC"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lang w:val="en-US"/>
        </w:rPr>
        <w:t>Elderly person</w:t>
      </w:r>
      <w:r w:rsidR="00A50237">
        <w:rPr>
          <w:rFonts w:ascii="Arial" w:hAnsi="Arial" w:cs="Arial"/>
          <w:sz w:val="24"/>
          <w:szCs w:val="24"/>
          <w:lang w:val="en-US"/>
        </w:rPr>
        <w:t xml:space="preserve"> </w:t>
      </w:r>
      <w:r w:rsidRPr="00CC7E17">
        <w:rPr>
          <w:rFonts w:ascii="Arial" w:hAnsi="Arial" w:cs="Arial"/>
          <w:sz w:val="24"/>
          <w:szCs w:val="24"/>
          <w:lang w:val="en-US"/>
        </w:rPr>
        <w:t>(105436006)</w:t>
      </w:r>
    </w:p>
    <w:p w14:paraId="3321B46D" w14:textId="77777777" w:rsidR="007C6394" w:rsidRPr="00CC7E17" w:rsidRDefault="007C6394" w:rsidP="0009624B">
      <w:pPr>
        <w:pStyle w:val="Body"/>
        <w:spacing w:line="360" w:lineRule="auto"/>
        <w:rPr>
          <w:rFonts w:ascii="Arial" w:eastAsia="Arial" w:hAnsi="Arial" w:cs="Arial"/>
          <w:sz w:val="24"/>
          <w:szCs w:val="24"/>
        </w:rPr>
      </w:pPr>
      <w:r w:rsidRPr="00CC7E17">
        <w:rPr>
          <w:rFonts w:ascii="Arial" w:eastAsia="Arial" w:hAnsi="Arial" w:cs="Arial"/>
          <w:sz w:val="24"/>
          <w:szCs w:val="24"/>
        </w:rPr>
        <w:tab/>
      </w:r>
      <w:r w:rsidRPr="00CC7E17">
        <w:rPr>
          <w:rFonts w:ascii="Arial" w:hAnsi="Arial" w:cs="Arial"/>
          <w:sz w:val="24"/>
          <w:szCs w:val="24"/>
          <w:lang w:val="en-US"/>
        </w:rPr>
        <w:t>Non-drug therapy/prevention (1006)</w:t>
      </w:r>
    </w:p>
    <w:p w14:paraId="2F1390BE" w14:textId="77777777" w:rsidR="007C6394" w:rsidRPr="00CC7E17" w:rsidRDefault="007C6394" w:rsidP="0009624B">
      <w:pPr>
        <w:pStyle w:val="Body"/>
        <w:spacing w:line="360" w:lineRule="auto"/>
        <w:rPr>
          <w:rFonts w:ascii="Arial" w:hAnsi="Arial" w:cs="Arial"/>
        </w:rPr>
      </w:pPr>
    </w:p>
    <w:p w14:paraId="1CA48604" w14:textId="77777777" w:rsidR="007C6394" w:rsidRPr="00CC7E17" w:rsidRDefault="007C6394" w:rsidP="0009624B">
      <w:pPr>
        <w:pStyle w:val="Body"/>
        <w:spacing w:line="360" w:lineRule="auto"/>
        <w:rPr>
          <w:rFonts w:ascii="Arial" w:hAnsi="Arial" w:cs="Arial"/>
        </w:rPr>
      </w:pPr>
      <w:r w:rsidRPr="00CC7E17">
        <w:rPr>
          <w:rFonts w:ascii="Arial" w:hAnsi="Arial" w:cs="Arial"/>
          <w:sz w:val="24"/>
          <w:szCs w:val="24"/>
          <w:lang w:val="en-US"/>
        </w:rPr>
        <w:t>Of the information provided above, only “atrial fibrillation (acute onset) (49436004x373933003)” is appropriate. Due to this, all other rows will be deleted by clicking the (x) button. In order to accurately convey the fact that this time period and sub</w:t>
      </w:r>
      <w:r w:rsidRPr="00CC7E17">
        <w:rPr>
          <w:rFonts w:ascii="Arial" w:eastAsia="Arial Unicode MS" w:hAnsi="Arial" w:cs="Arial"/>
          <w:lang w:val="en-US"/>
        </w:rPr>
        <w:t xml:space="preserve"> condition pertains to the preoperative period, I used the SNOMED search tool and searched for the term “perioperative” the following branch was provided for me:</w:t>
      </w:r>
    </w:p>
    <w:p w14:paraId="6EB61BBF" w14:textId="77777777" w:rsidR="007C6394" w:rsidRPr="00CC7E17" w:rsidRDefault="007C6394" w:rsidP="0009624B">
      <w:pPr>
        <w:pStyle w:val="Body"/>
        <w:spacing w:line="360" w:lineRule="auto"/>
        <w:rPr>
          <w:rFonts w:ascii="Arial" w:hAnsi="Arial" w:cs="Arial"/>
        </w:rPr>
      </w:pPr>
    </w:p>
    <w:p w14:paraId="5B53557D" w14:textId="77777777" w:rsidR="007C6394" w:rsidRPr="00CC7E17" w:rsidRDefault="007C6394" w:rsidP="0009624B">
      <w:pPr>
        <w:pStyle w:val="Body"/>
        <w:spacing w:line="360" w:lineRule="auto"/>
        <w:rPr>
          <w:rFonts w:ascii="Arial" w:hAnsi="Arial" w:cs="Arial"/>
        </w:rPr>
      </w:pPr>
    </w:p>
    <w:p w14:paraId="270373DA" w14:textId="77777777" w:rsidR="007C6394" w:rsidRPr="00CC7E17" w:rsidRDefault="007C6394" w:rsidP="0009624B">
      <w:pPr>
        <w:pStyle w:val="Body"/>
        <w:spacing w:line="360" w:lineRule="auto"/>
        <w:rPr>
          <w:rFonts w:ascii="Arial" w:hAnsi="Arial" w:cs="Arial"/>
        </w:rPr>
      </w:pPr>
    </w:p>
    <w:p w14:paraId="4A804B0F" w14:textId="77777777" w:rsidR="007C6394" w:rsidRPr="00CC7E17" w:rsidRDefault="007C6394" w:rsidP="0009624B">
      <w:pPr>
        <w:pStyle w:val="Body"/>
        <w:spacing w:line="360" w:lineRule="auto"/>
        <w:rPr>
          <w:rFonts w:ascii="Arial" w:hAnsi="Arial" w:cs="Arial"/>
        </w:rPr>
      </w:pPr>
    </w:p>
    <w:p w14:paraId="36CC68A0" w14:textId="77777777" w:rsidR="007C6394" w:rsidRPr="00CC7E17" w:rsidRDefault="007C6394" w:rsidP="0009624B">
      <w:pPr>
        <w:pStyle w:val="Body"/>
        <w:spacing w:line="360" w:lineRule="auto"/>
        <w:rPr>
          <w:rFonts w:ascii="Arial" w:hAnsi="Arial" w:cs="Arial"/>
        </w:rPr>
      </w:pPr>
    </w:p>
    <w:p w14:paraId="5AD6845C" w14:textId="77777777" w:rsidR="007C6394" w:rsidRPr="00CC7E17" w:rsidRDefault="007C6394" w:rsidP="0009624B">
      <w:pPr>
        <w:pStyle w:val="Body"/>
        <w:spacing w:line="360" w:lineRule="auto"/>
        <w:rPr>
          <w:rFonts w:ascii="Arial" w:hAnsi="Arial" w:cs="Arial"/>
        </w:rPr>
      </w:pPr>
    </w:p>
    <w:p w14:paraId="72A0AD23" w14:textId="77777777" w:rsidR="007C6394" w:rsidRPr="00CC7E17" w:rsidRDefault="007C6394" w:rsidP="0009624B">
      <w:pPr>
        <w:pStyle w:val="Body"/>
        <w:spacing w:line="360" w:lineRule="auto"/>
        <w:rPr>
          <w:rFonts w:ascii="Arial" w:hAnsi="Arial" w:cs="Arial"/>
        </w:rPr>
      </w:pPr>
    </w:p>
    <w:p w14:paraId="191F1140" w14:textId="77777777" w:rsidR="007C6394" w:rsidRPr="00CC7E17" w:rsidRDefault="007C6394" w:rsidP="0009624B">
      <w:pPr>
        <w:pStyle w:val="Body"/>
        <w:spacing w:line="360" w:lineRule="auto"/>
        <w:rPr>
          <w:rFonts w:ascii="Arial" w:hAnsi="Arial" w:cs="Arial"/>
        </w:rPr>
      </w:pPr>
    </w:p>
    <w:p w14:paraId="57E58FB4" w14:textId="77777777" w:rsidR="007C6394" w:rsidRPr="00CC7E17" w:rsidRDefault="007C6394" w:rsidP="0009624B">
      <w:pPr>
        <w:pStyle w:val="Body"/>
        <w:spacing w:line="360" w:lineRule="auto"/>
        <w:rPr>
          <w:rFonts w:ascii="Arial" w:hAnsi="Arial" w:cs="Arial"/>
        </w:rPr>
      </w:pPr>
    </w:p>
    <w:p w14:paraId="1CC6C2DC" w14:textId="77777777" w:rsidR="007C6394" w:rsidRPr="00CC7E17" w:rsidRDefault="007C6394" w:rsidP="0009624B">
      <w:pPr>
        <w:pStyle w:val="Body"/>
        <w:spacing w:line="360" w:lineRule="auto"/>
        <w:rPr>
          <w:rFonts w:ascii="Arial" w:hAnsi="Arial" w:cs="Arial"/>
        </w:rPr>
      </w:pPr>
    </w:p>
    <w:p w14:paraId="102E3CEE" w14:textId="77777777" w:rsidR="007C6394" w:rsidRPr="00CC7E17" w:rsidRDefault="007C6394" w:rsidP="0009624B">
      <w:pPr>
        <w:pStyle w:val="Body"/>
        <w:spacing w:line="360" w:lineRule="auto"/>
        <w:rPr>
          <w:rFonts w:ascii="Arial" w:hAnsi="Arial" w:cs="Arial"/>
        </w:rPr>
      </w:pPr>
    </w:p>
    <w:p w14:paraId="58E4231E" w14:textId="77777777" w:rsidR="007C6394" w:rsidRPr="00CC7E17" w:rsidRDefault="007C6394" w:rsidP="0009624B">
      <w:pPr>
        <w:pStyle w:val="Body"/>
        <w:spacing w:line="360" w:lineRule="auto"/>
        <w:rPr>
          <w:rFonts w:ascii="Arial" w:hAnsi="Arial" w:cs="Arial"/>
        </w:rPr>
      </w:pPr>
    </w:p>
    <w:p w14:paraId="432419A1" w14:textId="77777777" w:rsidR="007C6394" w:rsidRPr="00CC7E17" w:rsidRDefault="007C6394" w:rsidP="0009624B">
      <w:pPr>
        <w:pStyle w:val="Body"/>
        <w:spacing w:line="360" w:lineRule="auto"/>
        <w:rPr>
          <w:rFonts w:ascii="Arial" w:hAnsi="Arial" w:cs="Arial"/>
        </w:rPr>
      </w:pPr>
    </w:p>
    <w:p w14:paraId="5AF80642" w14:textId="77777777" w:rsidR="007C6394" w:rsidRPr="00CC7E17" w:rsidRDefault="007C6394" w:rsidP="0009624B">
      <w:pPr>
        <w:pStyle w:val="Body"/>
        <w:spacing w:line="360" w:lineRule="auto"/>
        <w:rPr>
          <w:rFonts w:ascii="Arial" w:hAnsi="Arial" w:cs="Arial"/>
        </w:rPr>
      </w:pPr>
    </w:p>
    <w:p w14:paraId="78150AD5" w14:textId="77777777" w:rsidR="007C6394" w:rsidRPr="00CC7E17" w:rsidRDefault="007C6394" w:rsidP="0009624B">
      <w:pPr>
        <w:pStyle w:val="Body"/>
        <w:spacing w:line="360" w:lineRule="auto"/>
        <w:rPr>
          <w:rFonts w:ascii="Arial" w:hAnsi="Arial" w:cs="Arial"/>
        </w:rPr>
      </w:pPr>
    </w:p>
    <w:p w14:paraId="5A4D8D0E" w14:textId="77777777" w:rsidR="007C6394" w:rsidRPr="00CC7E17" w:rsidRDefault="007C6394" w:rsidP="0009624B">
      <w:pPr>
        <w:pStyle w:val="Body"/>
        <w:spacing w:line="360" w:lineRule="auto"/>
        <w:rPr>
          <w:rFonts w:ascii="Arial" w:hAnsi="Arial" w:cs="Arial"/>
        </w:rPr>
      </w:pPr>
    </w:p>
    <w:p w14:paraId="6C293FB4" w14:textId="592D9BF9" w:rsidR="007C6394" w:rsidRPr="00CC7E17" w:rsidRDefault="007C6394" w:rsidP="0009624B">
      <w:pPr>
        <w:pStyle w:val="Body"/>
        <w:spacing w:line="360" w:lineRule="auto"/>
        <w:rPr>
          <w:rFonts w:ascii="Arial" w:hAnsi="Arial" w:cs="Arial"/>
        </w:rPr>
      </w:pPr>
      <w:r w:rsidRPr="009E57CF">
        <w:rPr>
          <w:rFonts w:ascii="Arial" w:hAnsi="Arial" w:cs="Arial"/>
          <w:noProof/>
          <w:lang w:val="en-US"/>
        </w:rPr>
        <w:drawing>
          <wp:anchor distT="152400" distB="152400" distL="152400" distR="152400" simplePos="0" relativeHeight="251701248" behindDoc="0" locked="0" layoutInCell="1" allowOverlap="1" wp14:anchorId="79B2ADFB" wp14:editId="43B14B72">
            <wp:simplePos x="0" y="0"/>
            <wp:positionH relativeFrom="margin">
              <wp:align>left</wp:align>
            </wp:positionH>
            <wp:positionV relativeFrom="margin">
              <wp:align>top</wp:align>
            </wp:positionV>
            <wp:extent cx="4932680" cy="1880870"/>
            <wp:effectExtent l="0" t="0" r="0" b="0"/>
            <wp:wrapSquare wrapText="bothSides"/>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reen Shot 2014-08-31 at 2.18.17 PM.png"/>
                    <pic:cNvPicPr/>
                  </pic:nvPicPr>
                  <pic:blipFill>
                    <a:blip r:embed="rId26" cstate="email">
                      <a:extLst>
                        <a:ext uri="{28A0092B-C50C-407E-A947-70E740481C1C}">
                          <a14:useLocalDpi xmlns:a14="http://schemas.microsoft.com/office/drawing/2010/main"/>
                        </a:ext>
                      </a:extLst>
                    </a:blip>
                    <a:stretch>
                      <a:fillRect/>
                    </a:stretch>
                  </pic:blipFill>
                  <pic:spPr>
                    <a:xfrm>
                      <a:off x="0" y="0"/>
                      <a:ext cx="4932680" cy="18808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57DD2A2" w14:textId="77777777" w:rsidR="007C6394" w:rsidRPr="00CC7E17" w:rsidRDefault="007C6394" w:rsidP="0009624B">
      <w:pPr>
        <w:pStyle w:val="Body"/>
        <w:spacing w:line="360" w:lineRule="auto"/>
        <w:rPr>
          <w:rFonts w:ascii="Arial" w:hAnsi="Arial" w:cs="Arial"/>
        </w:rPr>
      </w:pPr>
    </w:p>
    <w:p w14:paraId="4706363E" w14:textId="77777777" w:rsidR="007C6394" w:rsidRPr="00CC7E17" w:rsidRDefault="007C6394" w:rsidP="0009624B">
      <w:pPr>
        <w:pStyle w:val="Body"/>
        <w:spacing w:line="360" w:lineRule="auto"/>
        <w:rPr>
          <w:rFonts w:ascii="Arial" w:hAnsi="Arial" w:cs="Arial"/>
        </w:rPr>
      </w:pPr>
    </w:p>
    <w:p w14:paraId="545BB480" w14:textId="77777777" w:rsidR="007C6394" w:rsidRPr="00CC7E17" w:rsidRDefault="007C6394" w:rsidP="0009624B">
      <w:pPr>
        <w:pStyle w:val="Body"/>
        <w:spacing w:line="360" w:lineRule="auto"/>
        <w:rPr>
          <w:rFonts w:ascii="Arial" w:hAnsi="Arial" w:cs="Arial"/>
        </w:rPr>
      </w:pPr>
    </w:p>
    <w:p w14:paraId="5D287361" w14:textId="77777777" w:rsidR="007C6394" w:rsidRPr="00CC7E17" w:rsidRDefault="007C6394" w:rsidP="0009624B">
      <w:pPr>
        <w:pStyle w:val="Body"/>
        <w:spacing w:line="360" w:lineRule="auto"/>
        <w:rPr>
          <w:rFonts w:ascii="Arial" w:hAnsi="Arial" w:cs="Arial"/>
        </w:rPr>
      </w:pPr>
    </w:p>
    <w:p w14:paraId="73DF4B1E" w14:textId="77777777" w:rsidR="007C6394" w:rsidRPr="00CC7E17" w:rsidRDefault="007C6394" w:rsidP="0009624B">
      <w:pPr>
        <w:pStyle w:val="Body"/>
        <w:spacing w:line="360" w:lineRule="auto"/>
        <w:rPr>
          <w:rFonts w:ascii="Arial" w:hAnsi="Arial" w:cs="Arial"/>
        </w:rPr>
      </w:pPr>
    </w:p>
    <w:p w14:paraId="5851B9E7" w14:textId="01420621" w:rsidR="007C6394" w:rsidRPr="00CC7E17" w:rsidRDefault="007C6394" w:rsidP="0009624B">
      <w:pPr>
        <w:pStyle w:val="Body"/>
        <w:spacing w:line="360" w:lineRule="auto"/>
        <w:rPr>
          <w:rFonts w:ascii="Arial" w:hAnsi="Arial" w:cs="Arial"/>
        </w:rPr>
      </w:pPr>
    </w:p>
    <w:p w14:paraId="5255C46F" w14:textId="77777777" w:rsidR="007C6394" w:rsidRPr="00CC7E17" w:rsidRDefault="007C6394" w:rsidP="0009624B">
      <w:pPr>
        <w:pStyle w:val="Body"/>
        <w:spacing w:line="360" w:lineRule="auto"/>
        <w:rPr>
          <w:rFonts w:ascii="Arial" w:hAnsi="Arial" w:cs="Arial"/>
        </w:rPr>
      </w:pPr>
    </w:p>
    <w:p w14:paraId="3F5DB748" w14:textId="77777777" w:rsidR="007C6394" w:rsidRPr="00CC7E17" w:rsidRDefault="007C6394" w:rsidP="0009624B">
      <w:pPr>
        <w:pStyle w:val="Body"/>
        <w:spacing w:line="360" w:lineRule="auto"/>
        <w:rPr>
          <w:rFonts w:ascii="Arial" w:hAnsi="Arial" w:cs="Arial"/>
        </w:rPr>
      </w:pPr>
    </w:p>
    <w:p w14:paraId="094D20A6" w14:textId="77777777" w:rsidR="007C6394" w:rsidRPr="00CC7E17" w:rsidRDefault="007C6394" w:rsidP="0009624B">
      <w:pPr>
        <w:pStyle w:val="Body"/>
        <w:spacing w:line="360" w:lineRule="auto"/>
        <w:rPr>
          <w:rFonts w:ascii="Arial" w:hAnsi="Arial" w:cs="Arial"/>
        </w:rPr>
      </w:pPr>
    </w:p>
    <w:p w14:paraId="65C12842" w14:textId="77777777" w:rsidR="00423183" w:rsidRPr="00CC7E17" w:rsidRDefault="00423183" w:rsidP="0009624B">
      <w:pPr>
        <w:pStyle w:val="Body"/>
        <w:spacing w:line="360" w:lineRule="auto"/>
        <w:rPr>
          <w:rFonts w:ascii="Arial" w:hAnsi="Arial" w:cs="Arial"/>
        </w:rPr>
      </w:pPr>
    </w:p>
    <w:p w14:paraId="5CF1D423" w14:textId="77777777" w:rsidR="00423183" w:rsidRPr="00CC7E17" w:rsidRDefault="00423183" w:rsidP="0009624B">
      <w:pPr>
        <w:pStyle w:val="Caption"/>
        <w:spacing w:line="360" w:lineRule="auto"/>
        <w:rPr>
          <w:rFonts w:ascii="Arial" w:hAnsi="Arial" w:cs="Arial"/>
        </w:rPr>
      </w:pPr>
    </w:p>
    <w:p w14:paraId="44642CBD" w14:textId="77777777" w:rsidR="00423183" w:rsidRPr="00CC7E17" w:rsidRDefault="00423183" w:rsidP="0009624B">
      <w:pPr>
        <w:pStyle w:val="Caption"/>
        <w:spacing w:line="360" w:lineRule="auto"/>
        <w:rPr>
          <w:rFonts w:ascii="Arial" w:hAnsi="Arial" w:cs="Arial"/>
        </w:rPr>
      </w:pPr>
    </w:p>
    <w:p w14:paraId="3E32576D" w14:textId="049C7505" w:rsidR="00423183" w:rsidRPr="00CC7E17" w:rsidRDefault="00423183" w:rsidP="0009624B">
      <w:pPr>
        <w:pStyle w:val="Caption"/>
        <w:spacing w:line="360" w:lineRule="auto"/>
        <w:rPr>
          <w:rFonts w:ascii="Arial" w:hAnsi="Arial" w:cs="Arial"/>
        </w:rPr>
      </w:pPr>
      <w:bookmarkStart w:id="80" w:name="_Toc271786927"/>
      <w:r w:rsidRPr="00CC7E17">
        <w:rPr>
          <w:rFonts w:ascii="Arial" w:hAnsi="Arial" w:cs="Arial"/>
        </w:rPr>
        <w:t xml:space="preserve">APPENDIX 4 FIGURE </w:t>
      </w:r>
      <w:r w:rsidRPr="009E57CF">
        <w:rPr>
          <w:rFonts w:ascii="Arial" w:hAnsi="Arial" w:cs="Arial"/>
        </w:rPr>
        <w:fldChar w:fldCharType="begin"/>
      </w:r>
      <w:r w:rsidRPr="00CC7E17">
        <w:rPr>
          <w:rFonts w:ascii="Arial" w:hAnsi="Arial" w:cs="Arial"/>
        </w:rPr>
        <w:instrText xml:space="preserve"> SEQ APPENDIX_4_FIGURE \* ARABIC </w:instrText>
      </w:r>
      <w:r w:rsidRPr="009E57CF">
        <w:rPr>
          <w:rFonts w:ascii="Arial" w:hAnsi="Arial" w:cs="Arial"/>
        </w:rPr>
        <w:fldChar w:fldCharType="separate"/>
      </w:r>
      <w:r w:rsidRPr="00CC7E17">
        <w:rPr>
          <w:rFonts w:ascii="Arial" w:hAnsi="Arial" w:cs="Arial"/>
          <w:noProof/>
        </w:rPr>
        <w:t>1</w:t>
      </w:r>
      <w:r w:rsidRPr="009E57CF">
        <w:rPr>
          <w:rFonts w:ascii="Arial" w:hAnsi="Arial" w:cs="Arial"/>
        </w:rPr>
        <w:fldChar w:fldCharType="end"/>
      </w:r>
      <w:r w:rsidRPr="00CC7E17">
        <w:rPr>
          <w:rFonts w:ascii="Arial" w:hAnsi="Arial" w:cs="Arial"/>
        </w:rPr>
        <w:t>: SNOMED TOOL PERIOPERATIVE BRANCH</w:t>
      </w:r>
      <w:bookmarkEnd w:id="80"/>
    </w:p>
    <w:p w14:paraId="6EEA2B76" w14:textId="77777777" w:rsidR="007C6394" w:rsidRPr="00CC7E17" w:rsidRDefault="007C6394" w:rsidP="0009624B">
      <w:pPr>
        <w:pStyle w:val="Body"/>
        <w:spacing w:line="360" w:lineRule="auto"/>
        <w:rPr>
          <w:rFonts w:ascii="Arial" w:hAnsi="Arial" w:cs="Arial"/>
        </w:rPr>
      </w:pPr>
      <w:r w:rsidRPr="00CC7E17">
        <w:rPr>
          <w:rFonts w:ascii="Arial" w:eastAsia="Arial Unicode MS" w:hAnsi="Arial" w:cs="Arial"/>
          <w:lang w:val="en-US"/>
        </w:rPr>
        <w:t xml:space="preserve"> </w:t>
      </w:r>
    </w:p>
    <w:p w14:paraId="28923FAF" w14:textId="56C7613F" w:rsidR="007C6394" w:rsidRPr="00CC7E17" w:rsidRDefault="007C6394" w:rsidP="0009624B">
      <w:pPr>
        <w:pStyle w:val="Body"/>
        <w:spacing w:line="360" w:lineRule="auto"/>
        <w:rPr>
          <w:rFonts w:ascii="Arial" w:eastAsia="Arial" w:hAnsi="Arial" w:cs="Arial"/>
          <w:sz w:val="24"/>
          <w:szCs w:val="24"/>
        </w:rPr>
      </w:pPr>
    </w:p>
    <w:p w14:paraId="0DA1F31F" w14:textId="46B0DAD8" w:rsidR="007C6394" w:rsidRPr="00CC7E17" w:rsidRDefault="007C6394" w:rsidP="0009624B">
      <w:pPr>
        <w:pStyle w:val="Body"/>
        <w:spacing w:line="360" w:lineRule="auto"/>
        <w:rPr>
          <w:rFonts w:ascii="Arial" w:eastAsia="Arial" w:hAnsi="Arial" w:cs="Arial"/>
          <w:sz w:val="24"/>
          <w:szCs w:val="24"/>
        </w:rPr>
      </w:pPr>
      <w:r w:rsidRPr="00CC7E17">
        <w:rPr>
          <w:rFonts w:ascii="Arial" w:hAnsi="Arial" w:cs="Arial"/>
          <w:sz w:val="24"/>
          <w:szCs w:val="24"/>
          <w:lang w:val="en-US"/>
        </w:rPr>
        <w:t>Of the options shown in the figure above, preoperative care appeared to be the best descriptor of the cohort. This was selected and added to the sub condition box. Although condition always describes the main inclusion criteria for the inception cohort, the sub condition field has evolved to become more of a population descriptor rather than strictly describing another condition. Lastly, “Ischemic stroke” was searched in the SNOMED tool and</w:t>
      </w:r>
      <w:r w:rsidR="00A50237">
        <w:rPr>
          <w:rFonts w:ascii="Arial" w:hAnsi="Arial" w:cs="Arial"/>
          <w:sz w:val="24"/>
          <w:szCs w:val="24"/>
          <w:lang w:val="en-US"/>
        </w:rPr>
        <w:t xml:space="preserve"> </w:t>
      </w:r>
      <w:r w:rsidRPr="00CC7E17">
        <w:rPr>
          <w:rFonts w:ascii="Arial" w:hAnsi="Arial" w:cs="Arial"/>
          <w:sz w:val="24"/>
          <w:szCs w:val="24"/>
          <w:lang w:val="en-US"/>
        </w:rPr>
        <w:t xml:space="preserve">once the appropriate term was selected from the branch, it was added to the Outcome Column. </w:t>
      </w:r>
    </w:p>
    <w:p w14:paraId="18F897DF" w14:textId="77777777" w:rsidR="007C6394" w:rsidRPr="00CC7E17" w:rsidRDefault="007C6394" w:rsidP="0009624B">
      <w:pPr>
        <w:pStyle w:val="Body"/>
        <w:spacing w:line="360" w:lineRule="auto"/>
        <w:rPr>
          <w:rFonts w:ascii="Arial" w:eastAsia="Arial" w:hAnsi="Arial" w:cs="Arial"/>
          <w:sz w:val="24"/>
          <w:szCs w:val="24"/>
        </w:rPr>
      </w:pPr>
    </w:p>
    <w:p w14:paraId="13E714EA" w14:textId="13C03F05" w:rsidR="007C6394" w:rsidRPr="00CC7E17" w:rsidRDefault="007C6394" w:rsidP="0009624B">
      <w:pPr>
        <w:pStyle w:val="Body"/>
        <w:spacing w:line="360" w:lineRule="auto"/>
        <w:rPr>
          <w:rFonts w:ascii="Arial" w:eastAsia="Arial" w:hAnsi="Arial" w:cs="Arial"/>
          <w:sz w:val="24"/>
          <w:szCs w:val="24"/>
        </w:rPr>
      </w:pPr>
      <w:r w:rsidRPr="00CC7E17">
        <w:rPr>
          <w:rFonts w:ascii="Arial" w:hAnsi="Arial" w:cs="Arial"/>
          <w:sz w:val="24"/>
          <w:szCs w:val="24"/>
          <w:lang w:val="en-US"/>
        </w:rPr>
        <w:t>In the end the full baseline risk row looks as follows after the data has been extracted:</w:t>
      </w:r>
    </w:p>
    <w:p w14:paraId="66DA0DCD" w14:textId="77777777" w:rsidR="00423183" w:rsidRPr="00CC7E17" w:rsidRDefault="00423183" w:rsidP="0009624B">
      <w:pPr>
        <w:pStyle w:val="Body"/>
        <w:spacing w:line="360" w:lineRule="auto"/>
        <w:rPr>
          <w:rFonts w:ascii="Arial" w:hAnsi="Arial" w:cs="Arial"/>
        </w:rPr>
      </w:pPr>
    </w:p>
    <w:p w14:paraId="01B65493" w14:textId="77777777" w:rsidR="00423183" w:rsidRPr="00CC7E17" w:rsidRDefault="00423183" w:rsidP="0009624B">
      <w:pPr>
        <w:pStyle w:val="Caption"/>
        <w:spacing w:line="360" w:lineRule="auto"/>
        <w:rPr>
          <w:rFonts w:ascii="Arial" w:hAnsi="Arial" w:cs="Arial"/>
        </w:rPr>
      </w:pPr>
      <w:bookmarkStart w:id="81" w:name="_Toc271786928"/>
      <w:r w:rsidRPr="00CC7E17">
        <w:rPr>
          <w:rFonts w:ascii="Arial" w:hAnsi="Arial" w:cs="Arial"/>
        </w:rPr>
        <w:t xml:space="preserve">APPENDIX 4 FIGURE </w:t>
      </w:r>
      <w:r w:rsidRPr="009E57CF">
        <w:rPr>
          <w:rFonts w:ascii="Arial" w:hAnsi="Arial" w:cs="Arial"/>
        </w:rPr>
        <w:fldChar w:fldCharType="begin"/>
      </w:r>
      <w:r w:rsidRPr="00CC7E17">
        <w:rPr>
          <w:rFonts w:ascii="Arial" w:hAnsi="Arial" w:cs="Arial"/>
        </w:rPr>
        <w:instrText xml:space="preserve"> SEQ APPENDIX_4_FIGURE \* ARABIC </w:instrText>
      </w:r>
      <w:r w:rsidRPr="009E57CF">
        <w:rPr>
          <w:rFonts w:ascii="Arial" w:hAnsi="Arial" w:cs="Arial"/>
        </w:rPr>
        <w:fldChar w:fldCharType="separate"/>
      </w:r>
      <w:r w:rsidRPr="00CC7E17">
        <w:rPr>
          <w:rFonts w:ascii="Arial" w:hAnsi="Arial" w:cs="Arial"/>
          <w:noProof/>
        </w:rPr>
        <w:t>2</w:t>
      </w:r>
      <w:r w:rsidRPr="009E57CF">
        <w:rPr>
          <w:rFonts w:ascii="Arial" w:hAnsi="Arial" w:cs="Arial"/>
        </w:rPr>
        <w:fldChar w:fldCharType="end"/>
      </w:r>
      <w:r w:rsidR="007C6394" w:rsidRPr="009E57CF">
        <w:rPr>
          <w:rFonts w:ascii="Arial" w:eastAsia="Arial" w:hAnsi="Arial" w:cs="Arial"/>
          <w:noProof/>
          <w:sz w:val="24"/>
          <w:szCs w:val="24"/>
        </w:rPr>
        <w:drawing>
          <wp:anchor distT="152400" distB="152400" distL="152400" distR="152400" simplePos="0" relativeHeight="251703296" behindDoc="0" locked="0" layoutInCell="1" allowOverlap="1" wp14:anchorId="6E66D458" wp14:editId="79ED2D93">
            <wp:simplePos x="0" y="0"/>
            <wp:positionH relativeFrom="margin">
              <wp:posOffset>-114300</wp:posOffset>
            </wp:positionH>
            <wp:positionV relativeFrom="line">
              <wp:posOffset>209550</wp:posOffset>
            </wp:positionV>
            <wp:extent cx="5504180" cy="1448435"/>
            <wp:effectExtent l="0" t="0" r="7620"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Screen Shot 2014-08-31 at 2.26.51 PM.png"/>
                    <pic:cNvPicPr/>
                  </pic:nvPicPr>
                  <pic:blipFill>
                    <a:blip r:embed="rId27" cstate="email">
                      <a:extLst>
                        <a:ext uri="{28A0092B-C50C-407E-A947-70E740481C1C}">
                          <a14:useLocalDpi xmlns:a14="http://schemas.microsoft.com/office/drawing/2010/main"/>
                        </a:ext>
                      </a:extLst>
                    </a:blip>
                    <a:stretch>
                      <a:fillRect/>
                    </a:stretch>
                  </pic:blipFill>
                  <pic:spPr>
                    <a:xfrm>
                      <a:off x="0" y="0"/>
                      <a:ext cx="5504180" cy="1448435"/>
                    </a:xfrm>
                    <a:prstGeom prst="rect">
                      <a:avLst/>
                    </a:prstGeom>
                    <a:ln w="12700" cap="flat">
                      <a:noFill/>
                      <a:miter lim="400000"/>
                    </a:ln>
                    <a:effectLst/>
                  </pic:spPr>
                </pic:pic>
              </a:graphicData>
            </a:graphic>
          </wp:anchor>
        </w:drawing>
      </w:r>
      <w:r w:rsidRPr="00CC7E17">
        <w:rPr>
          <w:rFonts w:ascii="Arial" w:hAnsi="Arial" w:cs="Arial"/>
        </w:rPr>
        <w:t>: Extractor interface following input of one line of data</w:t>
      </w:r>
      <w:bookmarkEnd w:id="81"/>
    </w:p>
    <w:p w14:paraId="3A4E1D00" w14:textId="042BCE14" w:rsidR="007C6394" w:rsidRPr="00CC7E17" w:rsidRDefault="007C6394" w:rsidP="0009624B">
      <w:pPr>
        <w:pStyle w:val="Caption"/>
        <w:spacing w:line="360" w:lineRule="auto"/>
        <w:rPr>
          <w:rFonts w:ascii="Arial" w:hAnsi="Arial" w:cs="Arial"/>
        </w:rPr>
      </w:pPr>
      <w:r w:rsidRPr="00CC7E17">
        <w:rPr>
          <w:rFonts w:ascii="Arial" w:hAnsi="Arial" w:cs="Arial"/>
        </w:rPr>
        <w:t xml:space="preserve"> </w:t>
      </w:r>
    </w:p>
    <w:p w14:paraId="61BB6D41" w14:textId="1F8D7962" w:rsidR="007C6394" w:rsidRPr="00CC7E17" w:rsidRDefault="00423183" w:rsidP="0009624B">
      <w:pPr>
        <w:pStyle w:val="Body"/>
        <w:spacing w:line="360" w:lineRule="auto"/>
        <w:rPr>
          <w:rFonts w:ascii="Arial" w:hAnsi="Arial" w:cs="Arial"/>
        </w:rPr>
      </w:pPr>
      <w:r w:rsidRPr="009E57CF">
        <w:rPr>
          <w:rFonts w:ascii="Arial" w:eastAsia="Arial" w:hAnsi="Arial" w:cs="Arial"/>
          <w:noProof/>
          <w:sz w:val="24"/>
          <w:szCs w:val="24"/>
          <w:lang w:val="en-US"/>
        </w:rPr>
        <w:drawing>
          <wp:anchor distT="152400" distB="152400" distL="152400" distR="152400" simplePos="0" relativeHeight="251702272" behindDoc="0" locked="0" layoutInCell="1" allowOverlap="1" wp14:anchorId="1AFA591D" wp14:editId="11766D36">
            <wp:simplePos x="0" y="0"/>
            <wp:positionH relativeFrom="margin">
              <wp:posOffset>0</wp:posOffset>
            </wp:positionH>
            <wp:positionV relativeFrom="line">
              <wp:posOffset>535940</wp:posOffset>
            </wp:positionV>
            <wp:extent cx="5504180" cy="483235"/>
            <wp:effectExtent l="0" t="0" r="7620" b="0"/>
            <wp:wrapTopAndBottom distT="152400" distB="15240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Screen Shot 2014-08-31 at 2.27.21 PM.png"/>
                    <pic:cNvPicPr/>
                  </pic:nvPicPr>
                  <pic:blipFill>
                    <a:blip r:embed="rId28" cstate="email">
                      <a:extLst>
                        <a:ext uri="{28A0092B-C50C-407E-A947-70E740481C1C}">
                          <a14:useLocalDpi xmlns:a14="http://schemas.microsoft.com/office/drawing/2010/main"/>
                        </a:ext>
                      </a:extLst>
                    </a:blip>
                    <a:stretch>
                      <a:fillRect/>
                    </a:stretch>
                  </pic:blipFill>
                  <pic:spPr>
                    <a:xfrm>
                      <a:off x="0" y="0"/>
                      <a:ext cx="5504180" cy="483235"/>
                    </a:xfrm>
                    <a:prstGeom prst="rect">
                      <a:avLst/>
                    </a:prstGeom>
                    <a:ln w="12700" cap="flat">
                      <a:noFill/>
                      <a:miter lim="400000"/>
                    </a:ln>
                    <a:effectLst/>
                  </pic:spPr>
                </pic:pic>
              </a:graphicData>
            </a:graphic>
          </wp:anchor>
        </w:drawing>
      </w:r>
      <w:r w:rsidR="007C6394" w:rsidRPr="00CC7E17">
        <w:rPr>
          <w:rFonts w:ascii="Arial" w:hAnsi="Arial" w:cs="Arial"/>
          <w:sz w:val="24"/>
          <w:szCs w:val="24"/>
          <w:lang w:val="en-US"/>
        </w:rPr>
        <w:t>And once the data has been inputted, it is represented in the view articles page as follows:</w:t>
      </w:r>
      <w:r w:rsidR="007C6394" w:rsidRPr="00CC7E17">
        <w:rPr>
          <w:rFonts w:ascii="Arial" w:eastAsia="Arial Unicode MS" w:hAnsi="Arial" w:cs="Arial"/>
          <w:lang w:val="en-US"/>
        </w:rPr>
        <w:t xml:space="preserve"> </w:t>
      </w:r>
    </w:p>
    <w:p w14:paraId="6E5B31CC" w14:textId="1B51C80A" w:rsidR="007C6394" w:rsidRPr="00CC7E17" w:rsidRDefault="00423183" w:rsidP="0009624B">
      <w:pPr>
        <w:pStyle w:val="Caption"/>
        <w:spacing w:line="360" w:lineRule="auto"/>
        <w:rPr>
          <w:rFonts w:ascii="Arial" w:eastAsia="Arial" w:hAnsi="Arial" w:cs="Arial"/>
          <w:sz w:val="24"/>
          <w:szCs w:val="24"/>
          <w:shd w:val="clear" w:color="auto" w:fill="F4F3ED"/>
        </w:rPr>
      </w:pPr>
      <w:bookmarkStart w:id="82" w:name="_Toc271786929"/>
      <w:r w:rsidRPr="00CC7E17">
        <w:rPr>
          <w:rFonts w:ascii="Arial" w:hAnsi="Arial" w:cs="Arial"/>
        </w:rPr>
        <w:t xml:space="preserve">APPENDIX 4 FIGURE </w:t>
      </w:r>
      <w:r w:rsidRPr="009E57CF">
        <w:rPr>
          <w:rFonts w:ascii="Arial" w:hAnsi="Arial" w:cs="Arial"/>
        </w:rPr>
        <w:fldChar w:fldCharType="begin"/>
      </w:r>
      <w:r w:rsidRPr="00CC7E17">
        <w:rPr>
          <w:rFonts w:ascii="Arial" w:hAnsi="Arial" w:cs="Arial"/>
        </w:rPr>
        <w:instrText xml:space="preserve"> SEQ APPENDIX_4_FIGURE \* ARABIC </w:instrText>
      </w:r>
      <w:r w:rsidRPr="009E57CF">
        <w:rPr>
          <w:rFonts w:ascii="Arial" w:hAnsi="Arial" w:cs="Arial"/>
        </w:rPr>
        <w:fldChar w:fldCharType="separate"/>
      </w:r>
      <w:r w:rsidRPr="00CC7E17">
        <w:rPr>
          <w:rFonts w:ascii="Arial" w:hAnsi="Arial" w:cs="Arial"/>
          <w:noProof/>
        </w:rPr>
        <w:t>3</w:t>
      </w:r>
      <w:r w:rsidRPr="009E57CF">
        <w:rPr>
          <w:rFonts w:ascii="Arial" w:hAnsi="Arial" w:cs="Arial"/>
        </w:rPr>
        <w:fldChar w:fldCharType="end"/>
      </w:r>
      <w:r w:rsidRPr="00CC7E17">
        <w:rPr>
          <w:rFonts w:ascii="Arial" w:hAnsi="Arial" w:cs="Arial"/>
        </w:rPr>
        <w:t>: View articles page following input of one line of data</w:t>
      </w:r>
      <w:bookmarkEnd w:id="82"/>
    </w:p>
    <w:p w14:paraId="3B92617C" w14:textId="77777777" w:rsidR="007C6394" w:rsidRPr="00CC7E17" w:rsidRDefault="007C6394" w:rsidP="0009624B">
      <w:pPr>
        <w:pStyle w:val="Heading2"/>
        <w:spacing w:line="360" w:lineRule="auto"/>
        <w:rPr>
          <w:rFonts w:ascii="Arial" w:hAnsi="Arial" w:cs="Arial"/>
        </w:rPr>
      </w:pPr>
      <w:r w:rsidRPr="00CC7E17">
        <w:rPr>
          <w:rFonts w:ascii="Arial" w:eastAsia="Arial Unicode MS" w:hAnsi="Arial" w:cs="Arial"/>
          <w:lang w:val="en-US"/>
        </w:rPr>
        <w:t xml:space="preserve"> </w:t>
      </w:r>
    </w:p>
    <w:p w14:paraId="08D3C6D4" w14:textId="77777777" w:rsidR="007C6394" w:rsidRPr="00CC7E17" w:rsidRDefault="007C6394" w:rsidP="0009624B">
      <w:pPr>
        <w:spacing w:line="360" w:lineRule="auto"/>
        <w:rPr>
          <w:rFonts w:ascii="Arial" w:hAnsi="Arial" w:cs="Arial"/>
        </w:rPr>
      </w:pPr>
    </w:p>
    <w:p w14:paraId="1CC7356D" w14:textId="67FAA07E" w:rsidR="00087217" w:rsidRPr="00CC7E17" w:rsidRDefault="00087217" w:rsidP="0009624B">
      <w:pPr>
        <w:spacing w:line="360" w:lineRule="auto"/>
        <w:rPr>
          <w:rFonts w:ascii="Arial" w:hAnsi="Arial" w:cs="Arial"/>
        </w:rPr>
      </w:pPr>
    </w:p>
    <w:p w14:paraId="21595983" w14:textId="77777777" w:rsidR="00087217" w:rsidRPr="00CC7E17" w:rsidRDefault="00087217" w:rsidP="0009624B">
      <w:pPr>
        <w:spacing w:line="360" w:lineRule="auto"/>
        <w:rPr>
          <w:rFonts w:ascii="Arial" w:hAnsi="Arial" w:cs="Arial"/>
        </w:rPr>
      </w:pPr>
    </w:p>
    <w:p w14:paraId="7BCBB1EE" w14:textId="77777777" w:rsidR="00087217" w:rsidRPr="00CC7E17" w:rsidRDefault="00087217" w:rsidP="0009624B">
      <w:pPr>
        <w:spacing w:line="360" w:lineRule="auto"/>
        <w:rPr>
          <w:rFonts w:ascii="Arial" w:hAnsi="Arial" w:cs="Arial"/>
        </w:rPr>
      </w:pPr>
    </w:p>
    <w:p w14:paraId="5075F245" w14:textId="77777777" w:rsidR="00087217" w:rsidRPr="00CC7E17" w:rsidRDefault="00087217" w:rsidP="0009624B">
      <w:pPr>
        <w:spacing w:line="360" w:lineRule="auto"/>
        <w:rPr>
          <w:rFonts w:ascii="Arial" w:hAnsi="Arial" w:cs="Arial"/>
        </w:rPr>
      </w:pPr>
    </w:p>
    <w:p w14:paraId="57DC0FD1" w14:textId="77777777" w:rsidR="00087217" w:rsidRPr="00CC7E17" w:rsidRDefault="00087217" w:rsidP="0009624B">
      <w:pPr>
        <w:spacing w:line="360" w:lineRule="auto"/>
        <w:rPr>
          <w:rFonts w:ascii="Arial" w:hAnsi="Arial" w:cs="Arial"/>
        </w:rPr>
      </w:pPr>
    </w:p>
    <w:p w14:paraId="30579B18" w14:textId="77777777" w:rsidR="00087217" w:rsidRPr="00CC7E17" w:rsidRDefault="00087217" w:rsidP="0009624B">
      <w:pPr>
        <w:spacing w:line="360" w:lineRule="auto"/>
        <w:rPr>
          <w:rFonts w:ascii="Arial" w:hAnsi="Arial" w:cs="Arial"/>
        </w:rPr>
      </w:pPr>
    </w:p>
    <w:p w14:paraId="2BE5BD37" w14:textId="77777777" w:rsidR="00087217" w:rsidRPr="00CC7E17" w:rsidRDefault="00087217" w:rsidP="0009624B">
      <w:pPr>
        <w:spacing w:line="360" w:lineRule="auto"/>
        <w:rPr>
          <w:rFonts w:ascii="Arial" w:hAnsi="Arial" w:cs="Arial"/>
        </w:rPr>
      </w:pPr>
    </w:p>
    <w:p w14:paraId="2798A420" w14:textId="77777777" w:rsidR="00087217" w:rsidRPr="00CC7E17" w:rsidRDefault="00087217" w:rsidP="0009624B">
      <w:pPr>
        <w:spacing w:line="360" w:lineRule="auto"/>
        <w:rPr>
          <w:rFonts w:ascii="Arial" w:hAnsi="Arial" w:cs="Arial"/>
        </w:rPr>
      </w:pPr>
    </w:p>
    <w:p w14:paraId="25DD1B7F" w14:textId="77777777" w:rsidR="00087217" w:rsidRPr="00CC7E17" w:rsidRDefault="00087217" w:rsidP="0009624B">
      <w:pPr>
        <w:spacing w:line="360" w:lineRule="auto"/>
        <w:rPr>
          <w:rFonts w:ascii="Arial" w:hAnsi="Arial" w:cs="Arial"/>
        </w:rPr>
      </w:pPr>
    </w:p>
    <w:p w14:paraId="2E748FA2" w14:textId="77777777" w:rsidR="00087217" w:rsidRPr="00CC7E17" w:rsidRDefault="00087217" w:rsidP="0009624B">
      <w:pPr>
        <w:spacing w:line="360" w:lineRule="auto"/>
        <w:rPr>
          <w:rFonts w:ascii="Arial" w:hAnsi="Arial" w:cs="Arial"/>
        </w:rPr>
      </w:pPr>
    </w:p>
    <w:p w14:paraId="48B7120B" w14:textId="77777777" w:rsidR="00087217" w:rsidRPr="00CC7E17" w:rsidRDefault="00087217" w:rsidP="0009624B">
      <w:pPr>
        <w:spacing w:line="360" w:lineRule="auto"/>
        <w:rPr>
          <w:rFonts w:ascii="Arial" w:hAnsi="Arial" w:cs="Arial"/>
        </w:rPr>
      </w:pPr>
    </w:p>
    <w:p w14:paraId="323C01D2" w14:textId="77777777" w:rsidR="00087217" w:rsidRPr="00CC7E17" w:rsidRDefault="00087217" w:rsidP="0009624B">
      <w:pPr>
        <w:spacing w:line="360" w:lineRule="auto"/>
        <w:rPr>
          <w:rFonts w:ascii="Arial" w:hAnsi="Arial" w:cs="Arial"/>
        </w:rPr>
      </w:pPr>
    </w:p>
    <w:p w14:paraId="431E9641" w14:textId="77777777" w:rsidR="00087217" w:rsidRPr="00CC7E17" w:rsidRDefault="00087217" w:rsidP="0009624B">
      <w:pPr>
        <w:spacing w:line="360" w:lineRule="auto"/>
        <w:rPr>
          <w:rFonts w:ascii="Arial" w:hAnsi="Arial" w:cs="Arial"/>
        </w:rPr>
      </w:pPr>
    </w:p>
    <w:p w14:paraId="0777019A" w14:textId="77777777" w:rsidR="00087217" w:rsidRPr="00CC7E17" w:rsidRDefault="00087217" w:rsidP="0009624B">
      <w:pPr>
        <w:spacing w:line="360" w:lineRule="auto"/>
        <w:rPr>
          <w:rFonts w:ascii="Arial" w:hAnsi="Arial" w:cs="Arial"/>
        </w:rPr>
      </w:pPr>
    </w:p>
    <w:p w14:paraId="7B851715" w14:textId="77777777" w:rsidR="00087217" w:rsidRPr="00CC7E17" w:rsidRDefault="00087217" w:rsidP="0009624B">
      <w:pPr>
        <w:spacing w:line="360" w:lineRule="auto"/>
        <w:rPr>
          <w:rFonts w:ascii="Arial" w:hAnsi="Arial" w:cs="Arial"/>
        </w:rPr>
      </w:pPr>
    </w:p>
    <w:p w14:paraId="3BD36BED" w14:textId="77777777" w:rsidR="00087217" w:rsidRPr="00CC7E17" w:rsidRDefault="00087217" w:rsidP="0009624B">
      <w:pPr>
        <w:spacing w:line="360" w:lineRule="auto"/>
        <w:rPr>
          <w:rFonts w:ascii="Arial" w:hAnsi="Arial" w:cs="Arial"/>
        </w:rPr>
      </w:pPr>
    </w:p>
    <w:p w14:paraId="38E04122" w14:textId="77777777" w:rsidR="00087217" w:rsidRPr="00CC7E17" w:rsidRDefault="00087217" w:rsidP="0009624B">
      <w:pPr>
        <w:spacing w:line="360" w:lineRule="auto"/>
        <w:rPr>
          <w:rFonts w:ascii="Arial" w:hAnsi="Arial" w:cs="Arial"/>
        </w:rPr>
      </w:pPr>
    </w:p>
    <w:p w14:paraId="1ADB0A3E" w14:textId="77777777" w:rsidR="008619B1" w:rsidRPr="00CC7E17" w:rsidRDefault="008619B1" w:rsidP="0009624B">
      <w:pPr>
        <w:spacing w:line="360" w:lineRule="auto"/>
        <w:rPr>
          <w:rFonts w:ascii="Arial" w:hAnsi="Arial" w:cs="Arial"/>
        </w:rPr>
      </w:pPr>
    </w:p>
    <w:p w14:paraId="6024AE16" w14:textId="77777777" w:rsidR="008619B1" w:rsidRPr="00CC7E17" w:rsidRDefault="008619B1" w:rsidP="0009624B">
      <w:pPr>
        <w:spacing w:line="360" w:lineRule="auto"/>
        <w:rPr>
          <w:rFonts w:ascii="Arial" w:hAnsi="Arial" w:cs="Arial"/>
        </w:rPr>
      </w:pPr>
    </w:p>
    <w:p w14:paraId="7A37595B" w14:textId="77777777" w:rsidR="008619B1" w:rsidRPr="00CC7E17" w:rsidRDefault="008619B1" w:rsidP="0009624B">
      <w:pPr>
        <w:spacing w:line="360" w:lineRule="auto"/>
        <w:rPr>
          <w:rFonts w:ascii="Arial" w:hAnsi="Arial" w:cs="Arial"/>
        </w:rPr>
      </w:pPr>
    </w:p>
    <w:p w14:paraId="386BF052" w14:textId="77777777" w:rsidR="008619B1" w:rsidRPr="00CC7E17" w:rsidRDefault="008619B1" w:rsidP="0009624B">
      <w:pPr>
        <w:spacing w:line="360" w:lineRule="auto"/>
        <w:rPr>
          <w:rFonts w:ascii="Arial" w:hAnsi="Arial" w:cs="Arial"/>
        </w:rPr>
      </w:pPr>
    </w:p>
    <w:p w14:paraId="1FEF41CC" w14:textId="77777777" w:rsidR="008619B1" w:rsidRPr="00CC7E17" w:rsidRDefault="008619B1" w:rsidP="0009624B">
      <w:pPr>
        <w:spacing w:line="360" w:lineRule="auto"/>
        <w:rPr>
          <w:rFonts w:ascii="Arial" w:hAnsi="Arial" w:cs="Arial"/>
        </w:rPr>
      </w:pPr>
    </w:p>
    <w:p w14:paraId="38BBF7F1" w14:textId="77777777" w:rsidR="008619B1" w:rsidRPr="00CC7E17" w:rsidRDefault="008619B1" w:rsidP="0009624B">
      <w:pPr>
        <w:spacing w:line="360" w:lineRule="auto"/>
        <w:rPr>
          <w:rFonts w:ascii="Arial" w:hAnsi="Arial" w:cs="Arial"/>
        </w:rPr>
      </w:pPr>
    </w:p>
    <w:p w14:paraId="1E23A14F" w14:textId="77777777" w:rsidR="008619B1" w:rsidRPr="00CC7E17" w:rsidRDefault="008619B1" w:rsidP="0009624B">
      <w:pPr>
        <w:spacing w:line="360" w:lineRule="auto"/>
        <w:rPr>
          <w:rFonts w:ascii="Arial" w:hAnsi="Arial" w:cs="Arial"/>
        </w:rPr>
      </w:pPr>
    </w:p>
    <w:p w14:paraId="57F0157C" w14:textId="77777777" w:rsidR="008619B1" w:rsidRPr="00CC7E17" w:rsidRDefault="008619B1" w:rsidP="0009624B">
      <w:pPr>
        <w:spacing w:line="360" w:lineRule="auto"/>
        <w:rPr>
          <w:rFonts w:ascii="Arial" w:hAnsi="Arial" w:cs="Arial"/>
        </w:rPr>
      </w:pPr>
    </w:p>
    <w:p w14:paraId="30752252" w14:textId="77777777" w:rsidR="008619B1" w:rsidRPr="00CC7E17" w:rsidRDefault="008619B1" w:rsidP="0009624B">
      <w:pPr>
        <w:spacing w:line="360" w:lineRule="auto"/>
        <w:rPr>
          <w:rFonts w:ascii="Arial" w:hAnsi="Arial" w:cs="Arial"/>
        </w:rPr>
      </w:pPr>
    </w:p>
    <w:p w14:paraId="18B26953" w14:textId="77777777" w:rsidR="008619B1" w:rsidRPr="00CC7E17" w:rsidRDefault="008619B1" w:rsidP="0009624B">
      <w:pPr>
        <w:spacing w:line="360" w:lineRule="auto"/>
        <w:rPr>
          <w:rFonts w:ascii="Arial" w:hAnsi="Arial" w:cs="Arial"/>
        </w:rPr>
      </w:pPr>
    </w:p>
    <w:p w14:paraId="0F7F5E36" w14:textId="77777777" w:rsidR="008619B1" w:rsidRPr="00CC7E17" w:rsidRDefault="008619B1" w:rsidP="0009624B">
      <w:pPr>
        <w:spacing w:line="360" w:lineRule="auto"/>
        <w:rPr>
          <w:rFonts w:ascii="Arial" w:hAnsi="Arial" w:cs="Arial"/>
        </w:rPr>
      </w:pPr>
    </w:p>
    <w:p w14:paraId="0E2F8D9F" w14:textId="77777777" w:rsidR="00087217" w:rsidRPr="00CC7E17" w:rsidRDefault="00087217" w:rsidP="0009624B">
      <w:pPr>
        <w:pStyle w:val="Heading1"/>
        <w:spacing w:line="360" w:lineRule="auto"/>
        <w:rPr>
          <w:rFonts w:ascii="Arial" w:hAnsi="Arial" w:cs="Arial"/>
        </w:rPr>
      </w:pPr>
    </w:p>
    <w:sectPr w:rsidR="00087217" w:rsidRPr="00CC7E17" w:rsidSect="005856AA">
      <w:headerReference w:type="default" r:id="rId29"/>
      <w:footerReference w:type="default" r:id="rId30"/>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93F63" w14:textId="77777777" w:rsidR="004959B9" w:rsidRDefault="004959B9" w:rsidP="0051366B">
      <w:r>
        <w:separator/>
      </w:r>
    </w:p>
  </w:endnote>
  <w:endnote w:type="continuationSeparator" w:id="0">
    <w:p w14:paraId="4721787B" w14:textId="77777777" w:rsidR="004959B9" w:rsidRDefault="004959B9" w:rsidP="00513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CE3C" w14:textId="77777777" w:rsidR="004959B9" w:rsidRDefault="004959B9" w:rsidP="005856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CFA11F" w14:textId="77777777" w:rsidR="004959B9" w:rsidRDefault="004959B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3251D" w14:textId="77777777" w:rsidR="004959B9" w:rsidRDefault="004959B9" w:rsidP="002C22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2173A5ED" w14:textId="77777777" w:rsidR="004959B9" w:rsidRDefault="004959B9" w:rsidP="005856AA">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DFB8B" w14:textId="77777777" w:rsidR="004959B9" w:rsidRDefault="004959B9" w:rsidP="005136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F2746">
      <w:rPr>
        <w:rStyle w:val="PageNumber"/>
        <w:noProof/>
      </w:rPr>
      <w:t>viii</w:t>
    </w:r>
    <w:r>
      <w:rPr>
        <w:rStyle w:val="PageNumber"/>
      </w:rPr>
      <w:fldChar w:fldCharType="end"/>
    </w:r>
  </w:p>
  <w:p w14:paraId="05BFBE28" w14:textId="77777777" w:rsidR="004959B9" w:rsidRDefault="004959B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7E7BB" w14:textId="77777777" w:rsidR="004959B9" w:rsidRDefault="004959B9" w:rsidP="005856AA">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F2746">
      <w:rPr>
        <w:rStyle w:val="PageNumber"/>
        <w:noProof/>
      </w:rPr>
      <w:t>3</w:t>
    </w:r>
    <w:r>
      <w:rPr>
        <w:rStyle w:val="PageNumber"/>
      </w:rPr>
      <w:fldChar w:fldCharType="end"/>
    </w:r>
  </w:p>
  <w:p w14:paraId="5E4F366C" w14:textId="5EEBAAAB" w:rsidR="004959B9" w:rsidRDefault="004959B9" w:rsidP="005856AA">
    <w:pPr>
      <w:pStyle w:val="Footer"/>
      <w:framePr w:wrap="around" w:vAnchor="text" w:hAnchor="margin" w:xAlign="center" w:y="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0E4C5" w14:textId="77777777" w:rsidR="004959B9" w:rsidRDefault="004959B9" w:rsidP="0051366B">
      <w:r>
        <w:separator/>
      </w:r>
    </w:p>
  </w:footnote>
  <w:footnote w:type="continuationSeparator" w:id="0">
    <w:p w14:paraId="09CD016D" w14:textId="77777777" w:rsidR="004959B9" w:rsidRDefault="004959B9" w:rsidP="005136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F1EA" w14:textId="77777777" w:rsidR="004959B9" w:rsidRDefault="004959B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C63FA" w14:textId="77777777" w:rsidR="004959B9" w:rsidRDefault="004959B9" w:rsidP="005856AA">
    <w:pPr>
      <w:widowControl w:val="0"/>
      <w:numPr>
        <w:ilvl w:val="1"/>
        <w:numId w:val="67"/>
      </w:numPr>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288" w:lineRule="auto"/>
      <w:ind w:left="480" w:hanging="480"/>
      <w:jc w:val="right"/>
      <w:rPr>
        <w:rFonts w:ascii="Helvetica" w:hAnsi="Helvetica" w:cs="Helvetica"/>
      </w:rPr>
    </w:pPr>
    <w:r>
      <w:rPr>
        <w:rFonts w:ascii="Helvetica" w:hAnsi="Helvetica" w:cs="Helvetica"/>
      </w:rPr>
      <w:t xml:space="preserve">Masters Thesis - A. Jacob; McMaster University - eHealth </w:t>
    </w:r>
  </w:p>
  <w:p w14:paraId="7CB435F9" w14:textId="77777777" w:rsidR="004959B9" w:rsidRDefault="004959B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40311B"/>
    <w:multiLevelType w:val="multilevel"/>
    <w:tmpl w:val="27B466C4"/>
    <w:lvl w:ilvl="0">
      <w:start w:val="1"/>
      <w:numFmt w:val="decimal"/>
      <w:lvlText w:val="%1)"/>
      <w:lvlJc w:val="left"/>
      <w:pPr>
        <w:tabs>
          <w:tab w:val="num" w:pos="360"/>
        </w:tabs>
        <w:ind w:left="360" w:hanging="360"/>
      </w:pPr>
      <w:rPr>
        <w:rFonts w:ascii="Arial" w:eastAsia="Arial" w:hAnsi="Arial" w:cs="Arial"/>
        <w:position w:val="0"/>
      </w:rPr>
    </w:lvl>
    <w:lvl w:ilvl="1">
      <w:start w:val="1"/>
      <w:numFmt w:val="lowerLetter"/>
      <w:lvlText w:val="%2)"/>
      <w:lvlJc w:val="left"/>
      <w:pPr>
        <w:tabs>
          <w:tab w:val="num" w:pos="720"/>
        </w:tabs>
        <w:ind w:left="720" w:hanging="360"/>
      </w:pPr>
      <w:rPr>
        <w:rFonts w:ascii="Arial" w:eastAsia="Arial" w:hAnsi="Arial" w:cs="Arial"/>
        <w:position w:val="0"/>
      </w:rPr>
    </w:lvl>
    <w:lvl w:ilvl="2">
      <w:start w:val="1"/>
      <w:numFmt w:val="lowerRoman"/>
      <w:lvlText w:val="%3)"/>
      <w:lvlJc w:val="left"/>
      <w:pPr>
        <w:tabs>
          <w:tab w:val="num" w:pos="1080"/>
        </w:tabs>
        <w:ind w:left="1080" w:hanging="360"/>
      </w:pPr>
      <w:rPr>
        <w:rFonts w:ascii="Arial" w:eastAsia="Arial" w:hAnsi="Arial" w:cs="Arial"/>
        <w:position w:val="0"/>
      </w:rPr>
    </w:lvl>
    <w:lvl w:ilvl="3">
      <w:start w:val="1"/>
      <w:numFmt w:val="decimal"/>
      <w:lvlText w:val="(%4)"/>
      <w:lvlJc w:val="left"/>
      <w:pPr>
        <w:tabs>
          <w:tab w:val="num" w:pos="1440"/>
        </w:tabs>
        <w:ind w:left="1440" w:hanging="360"/>
      </w:pPr>
      <w:rPr>
        <w:rFonts w:ascii="Arial" w:eastAsia="Arial" w:hAnsi="Arial" w:cs="Arial"/>
        <w:position w:val="0"/>
      </w:rPr>
    </w:lvl>
    <w:lvl w:ilvl="4">
      <w:start w:val="1"/>
      <w:numFmt w:val="lowerLetter"/>
      <w:lvlText w:val="(%5)"/>
      <w:lvlJc w:val="left"/>
      <w:pPr>
        <w:tabs>
          <w:tab w:val="num" w:pos="1800"/>
        </w:tabs>
        <w:ind w:left="1800" w:hanging="360"/>
      </w:pPr>
      <w:rPr>
        <w:rFonts w:ascii="Arial" w:eastAsia="Arial" w:hAnsi="Arial" w:cs="Arial"/>
        <w:position w:val="0"/>
      </w:rPr>
    </w:lvl>
    <w:lvl w:ilvl="5">
      <w:start w:val="1"/>
      <w:numFmt w:val="lowerRoman"/>
      <w:lvlText w:val="(%6)"/>
      <w:lvlJc w:val="left"/>
      <w:pPr>
        <w:tabs>
          <w:tab w:val="num" w:pos="2160"/>
        </w:tabs>
        <w:ind w:left="2160" w:hanging="360"/>
      </w:pPr>
      <w:rPr>
        <w:rFonts w:ascii="Arial" w:eastAsia="Arial" w:hAnsi="Arial" w:cs="Arial"/>
        <w:position w:val="0"/>
      </w:rPr>
    </w:lvl>
    <w:lvl w:ilvl="6">
      <w:start w:val="1"/>
      <w:numFmt w:val="decimal"/>
      <w:lvlText w:val="%7."/>
      <w:lvlJc w:val="left"/>
      <w:pPr>
        <w:tabs>
          <w:tab w:val="num" w:pos="2520"/>
        </w:tabs>
        <w:ind w:left="2520" w:hanging="360"/>
      </w:pPr>
      <w:rPr>
        <w:rFonts w:ascii="Arial" w:eastAsia="Arial" w:hAnsi="Arial" w:cs="Arial"/>
        <w:position w:val="0"/>
      </w:rPr>
    </w:lvl>
    <w:lvl w:ilvl="7">
      <w:start w:val="1"/>
      <w:numFmt w:val="lowerLetter"/>
      <w:lvlText w:val="%8."/>
      <w:lvlJc w:val="left"/>
      <w:pPr>
        <w:tabs>
          <w:tab w:val="num" w:pos="2880"/>
        </w:tabs>
        <w:ind w:left="2880" w:hanging="360"/>
      </w:pPr>
      <w:rPr>
        <w:rFonts w:ascii="Arial" w:eastAsia="Arial" w:hAnsi="Arial" w:cs="Arial"/>
        <w:position w:val="0"/>
      </w:rPr>
    </w:lvl>
    <w:lvl w:ilvl="8">
      <w:start w:val="1"/>
      <w:numFmt w:val="lowerRoman"/>
      <w:lvlText w:val="%9."/>
      <w:lvlJc w:val="left"/>
      <w:pPr>
        <w:tabs>
          <w:tab w:val="num" w:pos="3240"/>
        </w:tabs>
        <w:ind w:left="3240" w:hanging="360"/>
      </w:pPr>
      <w:rPr>
        <w:rFonts w:ascii="Arial" w:eastAsia="Arial" w:hAnsi="Arial" w:cs="Arial"/>
        <w:position w:val="0"/>
      </w:rPr>
    </w:lvl>
  </w:abstractNum>
  <w:abstractNum w:abstractNumId="2">
    <w:nsid w:val="02C85D7D"/>
    <w:multiLevelType w:val="multilevel"/>
    <w:tmpl w:val="93349D5E"/>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3">
    <w:nsid w:val="03672DFC"/>
    <w:multiLevelType w:val="multilevel"/>
    <w:tmpl w:val="96F00B8E"/>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4">
    <w:nsid w:val="04A72FC4"/>
    <w:multiLevelType w:val="multilevel"/>
    <w:tmpl w:val="55BC70F2"/>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5">
    <w:nsid w:val="04EF7F7A"/>
    <w:multiLevelType w:val="multilevel"/>
    <w:tmpl w:val="72825682"/>
    <w:lvl w:ilvl="0">
      <w:start w:val="1"/>
      <w:numFmt w:val="bullet"/>
      <w:lvlText w:val="•"/>
      <w:lvlJc w:val="left"/>
      <w:pPr>
        <w:tabs>
          <w:tab w:val="num" w:pos="720"/>
        </w:tabs>
        <w:ind w:left="720" w:hanging="360"/>
      </w:pPr>
      <w:rPr>
        <w:rFonts w:ascii="Arial" w:eastAsia="Arial" w:hAnsi="Arial" w:cs="Arial"/>
        <w:position w:val="0"/>
      </w:rPr>
    </w:lvl>
    <w:lvl w:ilv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6">
    <w:nsid w:val="06150E01"/>
    <w:multiLevelType w:val="multilevel"/>
    <w:tmpl w:val="F17CA0C6"/>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7">
    <w:nsid w:val="062D1537"/>
    <w:multiLevelType w:val="multilevel"/>
    <w:tmpl w:val="390C0B20"/>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8">
    <w:nsid w:val="07BC5AE0"/>
    <w:multiLevelType w:val="multilevel"/>
    <w:tmpl w:val="0B90E5C0"/>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9">
    <w:nsid w:val="0A76768F"/>
    <w:multiLevelType w:val="multilevel"/>
    <w:tmpl w:val="3DE26BFA"/>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10">
    <w:nsid w:val="0A84219A"/>
    <w:multiLevelType w:val="multilevel"/>
    <w:tmpl w:val="725CC06E"/>
    <w:styleLink w:val="List41"/>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11">
    <w:nsid w:val="0B70667F"/>
    <w:multiLevelType w:val="multilevel"/>
    <w:tmpl w:val="AA028F28"/>
    <w:lvl w:ilvl="0">
      <w:start w:val="1"/>
      <w:numFmt w:val="bullet"/>
      <w:lvlText w:val="•"/>
      <w:lvlJc w:val="left"/>
      <w:pPr>
        <w:tabs>
          <w:tab w:val="num" w:pos="196"/>
        </w:tabs>
        <w:ind w:left="196" w:hanging="196"/>
      </w:pPr>
      <w:rPr>
        <w:rFonts w:ascii="Arial" w:eastAsia="Arial" w:hAnsi="Arial" w:cs="Arial"/>
        <w:position w:val="-2"/>
      </w:rPr>
    </w:lvl>
    <w:lvl w:ilvl="1">
      <w:start w:val="1"/>
      <w:numFmt w:val="bullet"/>
      <w:lvlText w:val="•"/>
      <w:lvlJc w:val="left"/>
      <w:pPr>
        <w:tabs>
          <w:tab w:val="num" w:pos="376"/>
        </w:tabs>
        <w:ind w:left="376" w:hanging="196"/>
      </w:pPr>
      <w:rPr>
        <w:rFonts w:ascii="Arial" w:eastAsia="Arial" w:hAnsi="Arial" w:cs="Arial"/>
        <w:position w:val="-2"/>
      </w:rPr>
    </w:lvl>
    <w:lvl w:ilvl="2">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12">
    <w:nsid w:val="0CAB1BD8"/>
    <w:multiLevelType w:val="multilevel"/>
    <w:tmpl w:val="E610A93C"/>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13">
    <w:nsid w:val="0CCA592D"/>
    <w:multiLevelType w:val="multilevel"/>
    <w:tmpl w:val="DA882290"/>
    <w:styleLink w:val="List11"/>
    <w:lvl w:ilvl="0">
      <w:numFmt w:val="bullet"/>
      <w:lvlText w:val="•"/>
      <w:lvlJc w:val="left"/>
      <w:rPr>
        <w:rFonts w:ascii="Calibri" w:eastAsia="Calibri" w:hAnsi="Calibri" w:cs="Calibri"/>
        <w:b/>
        <w:bCs/>
        <w:position w:val="0"/>
      </w:rPr>
    </w:lvl>
    <w:lvl w:ilvl="1">
      <w:start w:val="1"/>
      <w:numFmt w:val="bullet"/>
      <w:lvlText w:val="o"/>
      <w:lvlJc w:val="left"/>
      <w:rPr>
        <w:rFonts w:ascii="Cambria" w:eastAsia="Cambria" w:hAnsi="Cambria" w:cs="Cambria"/>
        <w:b/>
        <w:bCs/>
        <w:position w:val="0"/>
      </w:rPr>
    </w:lvl>
    <w:lvl w:ilvl="2">
      <w:start w:val="1"/>
      <w:numFmt w:val="bullet"/>
      <w:lvlText w:val="▪"/>
      <w:lvlJc w:val="left"/>
      <w:rPr>
        <w:rFonts w:ascii="Cambria" w:eastAsia="Cambria" w:hAnsi="Cambria" w:cs="Cambria"/>
        <w:b/>
        <w:bCs/>
        <w:position w:val="0"/>
      </w:rPr>
    </w:lvl>
    <w:lvl w:ilvl="3">
      <w:start w:val="1"/>
      <w:numFmt w:val="bullet"/>
      <w:lvlText w:val="•"/>
      <w:lvlJc w:val="left"/>
      <w:rPr>
        <w:rFonts w:ascii="Cambria" w:eastAsia="Cambria" w:hAnsi="Cambria" w:cs="Cambria"/>
        <w:b/>
        <w:bCs/>
        <w:position w:val="0"/>
      </w:rPr>
    </w:lvl>
    <w:lvl w:ilvl="4">
      <w:start w:val="1"/>
      <w:numFmt w:val="bullet"/>
      <w:lvlText w:val="o"/>
      <w:lvlJc w:val="left"/>
      <w:rPr>
        <w:rFonts w:ascii="Cambria" w:eastAsia="Cambria" w:hAnsi="Cambria" w:cs="Cambria"/>
        <w:b/>
        <w:bCs/>
        <w:position w:val="0"/>
      </w:rPr>
    </w:lvl>
    <w:lvl w:ilvl="5">
      <w:start w:val="1"/>
      <w:numFmt w:val="bullet"/>
      <w:lvlText w:val="▪"/>
      <w:lvlJc w:val="left"/>
      <w:rPr>
        <w:rFonts w:ascii="Cambria" w:eastAsia="Cambria" w:hAnsi="Cambria" w:cs="Cambria"/>
        <w:b/>
        <w:bCs/>
        <w:position w:val="0"/>
      </w:rPr>
    </w:lvl>
    <w:lvl w:ilvl="6">
      <w:start w:val="1"/>
      <w:numFmt w:val="bullet"/>
      <w:lvlText w:val="•"/>
      <w:lvlJc w:val="left"/>
      <w:rPr>
        <w:rFonts w:ascii="Cambria" w:eastAsia="Cambria" w:hAnsi="Cambria" w:cs="Cambria"/>
        <w:b/>
        <w:bCs/>
        <w:position w:val="0"/>
      </w:rPr>
    </w:lvl>
    <w:lvl w:ilvl="7">
      <w:start w:val="1"/>
      <w:numFmt w:val="bullet"/>
      <w:lvlText w:val="o"/>
      <w:lvlJc w:val="left"/>
      <w:rPr>
        <w:rFonts w:ascii="Cambria" w:eastAsia="Cambria" w:hAnsi="Cambria" w:cs="Cambria"/>
        <w:b/>
        <w:bCs/>
        <w:position w:val="0"/>
      </w:rPr>
    </w:lvl>
    <w:lvl w:ilvl="8">
      <w:start w:val="1"/>
      <w:numFmt w:val="bullet"/>
      <w:lvlText w:val="▪"/>
      <w:lvlJc w:val="left"/>
      <w:rPr>
        <w:rFonts w:ascii="Cambria" w:eastAsia="Cambria" w:hAnsi="Cambria" w:cs="Cambria"/>
        <w:b/>
        <w:bCs/>
        <w:position w:val="0"/>
      </w:rPr>
    </w:lvl>
  </w:abstractNum>
  <w:abstractNum w:abstractNumId="14">
    <w:nsid w:val="0D6B0355"/>
    <w:multiLevelType w:val="multilevel"/>
    <w:tmpl w:val="19D8FA3A"/>
    <w:styleLink w:val="List31"/>
    <w:lvl w:ilvl="0">
      <w:numFmt w:val="bullet"/>
      <w:lvlText w:val="•"/>
      <w:lvlJc w:val="left"/>
      <w:pPr>
        <w:tabs>
          <w:tab w:val="num" w:pos="720"/>
        </w:tabs>
        <w:ind w:left="720" w:hanging="360"/>
      </w:pPr>
      <w:rPr>
        <w:rFonts w:ascii="Calibri" w:eastAsia="Calibri" w:hAnsi="Calibri" w:cs="Calibri"/>
        <w:position w:val="0"/>
      </w:rPr>
    </w:lvl>
    <w:lvl w:ilvl="1">
      <w:start w:val="1"/>
      <w:numFmt w:val="bullet"/>
      <w:lvlText w:val="o"/>
      <w:lvlJc w:val="left"/>
      <w:pPr>
        <w:tabs>
          <w:tab w:val="num" w:pos="1440"/>
        </w:tabs>
        <w:ind w:left="1440" w:hanging="360"/>
      </w:pPr>
      <w:rPr>
        <w:rFonts w:ascii="Calibri" w:eastAsia="Calibri" w:hAnsi="Calibri" w:cs="Calibri"/>
        <w:position w:val="0"/>
      </w:rPr>
    </w:lvl>
    <w:lvl w:ilvl="2">
      <w:start w:val="1"/>
      <w:numFmt w:val="bullet"/>
      <w:lvlText w:val="▪"/>
      <w:lvlJc w:val="left"/>
      <w:pPr>
        <w:tabs>
          <w:tab w:val="num" w:pos="2160"/>
        </w:tabs>
        <w:ind w:left="2160" w:hanging="360"/>
      </w:pPr>
      <w:rPr>
        <w:rFonts w:ascii="Calibri" w:eastAsia="Calibri" w:hAnsi="Calibri" w:cs="Calibri"/>
        <w:position w:val="0"/>
      </w:rPr>
    </w:lvl>
    <w:lvl w:ilvl="3">
      <w:start w:val="1"/>
      <w:numFmt w:val="bullet"/>
      <w:lvlText w:val="•"/>
      <w:lvlJc w:val="left"/>
      <w:pPr>
        <w:tabs>
          <w:tab w:val="num" w:pos="2880"/>
        </w:tabs>
        <w:ind w:left="2880" w:hanging="360"/>
      </w:pPr>
      <w:rPr>
        <w:rFonts w:ascii="Calibri" w:eastAsia="Calibri" w:hAnsi="Calibri" w:cs="Calibri"/>
        <w:position w:val="0"/>
      </w:rPr>
    </w:lvl>
    <w:lvl w:ilvl="4">
      <w:start w:val="1"/>
      <w:numFmt w:val="bullet"/>
      <w:lvlText w:val="o"/>
      <w:lvlJc w:val="left"/>
      <w:pPr>
        <w:tabs>
          <w:tab w:val="num" w:pos="3600"/>
        </w:tabs>
        <w:ind w:left="3600" w:hanging="360"/>
      </w:pPr>
      <w:rPr>
        <w:rFonts w:ascii="Calibri" w:eastAsia="Calibri" w:hAnsi="Calibri" w:cs="Calibri"/>
        <w:position w:val="0"/>
      </w:rPr>
    </w:lvl>
    <w:lvl w:ilvl="5">
      <w:start w:val="1"/>
      <w:numFmt w:val="bullet"/>
      <w:lvlText w:val="▪"/>
      <w:lvlJc w:val="left"/>
      <w:pPr>
        <w:tabs>
          <w:tab w:val="num" w:pos="4320"/>
        </w:tabs>
        <w:ind w:left="4320" w:hanging="360"/>
      </w:pPr>
      <w:rPr>
        <w:rFonts w:ascii="Calibri" w:eastAsia="Calibri" w:hAnsi="Calibri" w:cs="Calibri"/>
        <w:position w:val="0"/>
      </w:rPr>
    </w:lvl>
    <w:lvl w:ilvl="6">
      <w:start w:val="1"/>
      <w:numFmt w:val="bullet"/>
      <w:lvlText w:val="•"/>
      <w:lvlJc w:val="left"/>
      <w:pPr>
        <w:tabs>
          <w:tab w:val="num" w:pos="5040"/>
        </w:tabs>
        <w:ind w:left="5040" w:hanging="360"/>
      </w:pPr>
      <w:rPr>
        <w:rFonts w:ascii="Calibri" w:eastAsia="Calibri" w:hAnsi="Calibri" w:cs="Calibri"/>
        <w:position w:val="0"/>
      </w:rPr>
    </w:lvl>
    <w:lvl w:ilvl="7">
      <w:start w:val="1"/>
      <w:numFmt w:val="bullet"/>
      <w:lvlText w:val="o"/>
      <w:lvlJc w:val="left"/>
      <w:pPr>
        <w:tabs>
          <w:tab w:val="num" w:pos="5760"/>
        </w:tabs>
        <w:ind w:left="5760" w:hanging="360"/>
      </w:pPr>
      <w:rPr>
        <w:rFonts w:ascii="Calibri" w:eastAsia="Calibri" w:hAnsi="Calibri" w:cs="Calibri"/>
        <w:position w:val="0"/>
      </w:rPr>
    </w:lvl>
    <w:lvl w:ilvl="8">
      <w:start w:val="1"/>
      <w:numFmt w:val="bullet"/>
      <w:lvlText w:val="▪"/>
      <w:lvlJc w:val="left"/>
      <w:pPr>
        <w:tabs>
          <w:tab w:val="num" w:pos="6480"/>
        </w:tabs>
        <w:ind w:left="6480" w:hanging="360"/>
      </w:pPr>
      <w:rPr>
        <w:rFonts w:ascii="Calibri" w:eastAsia="Calibri" w:hAnsi="Calibri" w:cs="Calibri"/>
        <w:position w:val="0"/>
      </w:rPr>
    </w:lvl>
  </w:abstractNum>
  <w:abstractNum w:abstractNumId="15">
    <w:nsid w:val="0D6C1919"/>
    <w:multiLevelType w:val="multilevel"/>
    <w:tmpl w:val="15329BCA"/>
    <w:styleLink w:val="List9"/>
    <w:lvl w:ilvl="0">
      <w:numFmt w:val="bullet"/>
      <w:lvlText w:val="•"/>
      <w:lvlJc w:val="left"/>
      <w:pPr>
        <w:tabs>
          <w:tab w:val="num" w:pos="860"/>
        </w:tabs>
        <w:ind w:left="860" w:hanging="180"/>
      </w:pPr>
      <w:rPr>
        <w:rFonts w:ascii="Arial" w:eastAsia="Arial" w:hAnsi="Arial" w:cs="Arial"/>
        <w:position w:val="-2"/>
        <w:sz w:val="24"/>
        <w:szCs w:val="24"/>
      </w:rPr>
    </w:lvl>
    <w:lvl w:ilvl="1">
      <w:start w:val="1"/>
      <w:numFmt w:val="bullet"/>
      <w:lvlText w:val="•"/>
      <w:lvlJc w:val="left"/>
      <w:pPr>
        <w:tabs>
          <w:tab w:val="num" w:pos="1057"/>
        </w:tabs>
        <w:ind w:left="1057" w:hanging="196"/>
      </w:pPr>
      <w:rPr>
        <w:rFonts w:ascii="Arial" w:eastAsia="Arial" w:hAnsi="Arial" w:cs="Arial"/>
        <w:position w:val="-2"/>
        <w:sz w:val="24"/>
        <w:szCs w:val="24"/>
      </w:rPr>
    </w:lvl>
    <w:lvl w:ilvl="2">
      <w:start w:val="1"/>
      <w:numFmt w:val="bullet"/>
      <w:lvlText w:val="•"/>
      <w:lvlJc w:val="left"/>
      <w:pPr>
        <w:tabs>
          <w:tab w:val="num" w:pos="1237"/>
        </w:tabs>
        <w:ind w:left="1237" w:hanging="196"/>
      </w:pPr>
      <w:rPr>
        <w:rFonts w:ascii="Arial" w:eastAsia="Arial" w:hAnsi="Arial" w:cs="Arial"/>
        <w:position w:val="-2"/>
        <w:sz w:val="24"/>
        <w:szCs w:val="24"/>
      </w:rPr>
    </w:lvl>
    <w:lvl w:ilvl="3">
      <w:start w:val="1"/>
      <w:numFmt w:val="bullet"/>
      <w:lvlText w:val="•"/>
      <w:lvlJc w:val="left"/>
      <w:pPr>
        <w:tabs>
          <w:tab w:val="num" w:pos="1417"/>
        </w:tabs>
        <w:ind w:left="1417" w:hanging="196"/>
      </w:pPr>
      <w:rPr>
        <w:rFonts w:ascii="Arial" w:eastAsia="Arial" w:hAnsi="Arial" w:cs="Arial"/>
        <w:position w:val="-2"/>
        <w:sz w:val="24"/>
        <w:szCs w:val="24"/>
      </w:rPr>
    </w:lvl>
    <w:lvl w:ilvl="4">
      <w:start w:val="1"/>
      <w:numFmt w:val="bullet"/>
      <w:lvlText w:val="•"/>
      <w:lvlJc w:val="left"/>
      <w:pPr>
        <w:tabs>
          <w:tab w:val="num" w:pos="1597"/>
        </w:tabs>
        <w:ind w:left="1597" w:hanging="196"/>
      </w:pPr>
      <w:rPr>
        <w:rFonts w:ascii="Arial" w:eastAsia="Arial" w:hAnsi="Arial" w:cs="Arial"/>
        <w:position w:val="-2"/>
        <w:sz w:val="24"/>
        <w:szCs w:val="24"/>
      </w:rPr>
    </w:lvl>
    <w:lvl w:ilvl="5">
      <w:start w:val="1"/>
      <w:numFmt w:val="bullet"/>
      <w:lvlText w:val="•"/>
      <w:lvlJc w:val="left"/>
      <w:pPr>
        <w:tabs>
          <w:tab w:val="num" w:pos="1777"/>
        </w:tabs>
        <w:ind w:left="1777" w:hanging="196"/>
      </w:pPr>
      <w:rPr>
        <w:rFonts w:ascii="Arial" w:eastAsia="Arial" w:hAnsi="Arial" w:cs="Arial"/>
        <w:position w:val="-2"/>
        <w:sz w:val="24"/>
        <w:szCs w:val="24"/>
      </w:rPr>
    </w:lvl>
    <w:lvl w:ilvl="6">
      <w:start w:val="1"/>
      <w:numFmt w:val="bullet"/>
      <w:lvlText w:val="•"/>
      <w:lvlJc w:val="left"/>
      <w:pPr>
        <w:tabs>
          <w:tab w:val="num" w:pos="1957"/>
        </w:tabs>
        <w:ind w:left="1957" w:hanging="196"/>
      </w:pPr>
      <w:rPr>
        <w:rFonts w:ascii="Arial" w:eastAsia="Arial" w:hAnsi="Arial" w:cs="Arial"/>
        <w:position w:val="-2"/>
        <w:sz w:val="24"/>
        <w:szCs w:val="24"/>
      </w:rPr>
    </w:lvl>
    <w:lvl w:ilvl="7">
      <w:start w:val="1"/>
      <w:numFmt w:val="bullet"/>
      <w:lvlText w:val="•"/>
      <w:lvlJc w:val="left"/>
      <w:pPr>
        <w:tabs>
          <w:tab w:val="num" w:pos="2137"/>
        </w:tabs>
        <w:ind w:left="2137" w:hanging="196"/>
      </w:pPr>
      <w:rPr>
        <w:rFonts w:ascii="Arial" w:eastAsia="Arial" w:hAnsi="Arial" w:cs="Arial"/>
        <w:position w:val="-2"/>
        <w:sz w:val="24"/>
        <w:szCs w:val="24"/>
      </w:rPr>
    </w:lvl>
    <w:lvl w:ilvl="8">
      <w:start w:val="1"/>
      <w:numFmt w:val="bullet"/>
      <w:lvlText w:val="•"/>
      <w:lvlJc w:val="left"/>
      <w:pPr>
        <w:tabs>
          <w:tab w:val="num" w:pos="2317"/>
        </w:tabs>
        <w:ind w:left="2317" w:hanging="196"/>
      </w:pPr>
      <w:rPr>
        <w:rFonts w:ascii="Arial" w:eastAsia="Arial" w:hAnsi="Arial" w:cs="Arial"/>
        <w:position w:val="-2"/>
        <w:sz w:val="24"/>
        <w:szCs w:val="24"/>
      </w:rPr>
    </w:lvl>
  </w:abstractNum>
  <w:abstractNum w:abstractNumId="16">
    <w:nsid w:val="10C2114E"/>
    <w:multiLevelType w:val="multilevel"/>
    <w:tmpl w:val="0C1AA07E"/>
    <w:styleLink w:val="List12"/>
    <w:lvl w:ilvl="0">
      <w:numFmt w:val="bullet"/>
      <w:lvlText w:val="•"/>
      <w:lvlJc w:val="left"/>
      <w:rPr>
        <w:rFonts w:ascii="Calibri" w:eastAsia="Calibri" w:hAnsi="Calibri" w:cs="Calibri"/>
        <w:position w:val="0"/>
      </w:rPr>
    </w:lvl>
    <w:lvl w:ilvl="1">
      <w:start w:val="1"/>
      <w:numFmt w:val="bullet"/>
      <w:lvlText w:val="o"/>
      <w:lvlJc w:val="left"/>
      <w:rPr>
        <w:rFonts w:ascii="Cambria" w:eastAsia="Cambria" w:hAnsi="Cambria" w:cs="Cambria"/>
        <w:position w:val="0"/>
      </w:rPr>
    </w:lvl>
    <w:lvl w:ilvl="2">
      <w:start w:val="1"/>
      <w:numFmt w:val="bullet"/>
      <w:lvlText w:val="▪"/>
      <w:lvlJc w:val="left"/>
      <w:rPr>
        <w:rFonts w:ascii="Cambria" w:eastAsia="Cambria" w:hAnsi="Cambria" w:cs="Cambria"/>
        <w:position w:val="0"/>
      </w:rPr>
    </w:lvl>
    <w:lvl w:ilvl="3">
      <w:start w:val="1"/>
      <w:numFmt w:val="bullet"/>
      <w:lvlText w:val="•"/>
      <w:lvlJc w:val="left"/>
      <w:rPr>
        <w:rFonts w:ascii="Cambria" w:eastAsia="Cambria" w:hAnsi="Cambria" w:cs="Cambria"/>
        <w:position w:val="0"/>
      </w:rPr>
    </w:lvl>
    <w:lvl w:ilvl="4">
      <w:start w:val="1"/>
      <w:numFmt w:val="bullet"/>
      <w:lvlText w:val="o"/>
      <w:lvlJc w:val="left"/>
      <w:rPr>
        <w:rFonts w:ascii="Cambria" w:eastAsia="Cambria" w:hAnsi="Cambria" w:cs="Cambria"/>
        <w:position w:val="0"/>
      </w:rPr>
    </w:lvl>
    <w:lvl w:ilvl="5">
      <w:start w:val="1"/>
      <w:numFmt w:val="bullet"/>
      <w:lvlText w:val="▪"/>
      <w:lvlJc w:val="left"/>
      <w:rPr>
        <w:rFonts w:ascii="Cambria" w:eastAsia="Cambria" w:hAnsi="Cambria" w:cs="Cambria"/>
        <w:position w:val="0"/>
      </w:rPr>
    </w:lvl>
    <w:lvl w:ilvl="6">
      <w:start w:val="1"/>
      <w:numFmt w:val="bullet"/>
      <w:lvlText w:val="•"/>
      <w:lvlJc w:val="left"/>
      <w:rPr>
        <w:rFonts w:ascii="Cambria" w:eastAsia="Cambria" w:hAnsi="Cambria" w:cs="Cambria"/>
        <w:position w:val="0"/>
      </w:rPr>
    </w:lvl>
    <w:lvl w:ilvl="7">
      <w:start w:val="1"/>
      <w:numFmt w:val="bullet"/>
      <w:lvlText w:val="o"/>
      <w:lvlJc w:val="left"/>
      <w:rPr>
        <w:rFonts w:ascii="Cambria" w:eastAsia="Cambria" w:hAnsi="Cambria" w:cs="Cambria"/>
        <w:position w:val="0"/>
      </w:rPr>
    </w:lvl>
    <w:lvl w:ilvl="8">
      <w:start w:val="1"/>
      <w:numFmt w:val="bullet"/>
      <w:lvlText w:val="▪"/>
      <w:lvlJc w:val="left"/>
      <w:rPr>
        <w:rFonts w:ascii="Cambria" w:eastAsia="Cambria" w:hAnsi="Cambria" w:cs="Cambria"/>
        <w:position w:val="0"/>
      </w:rPr>
    </w:lvl>
  </w:abstractNum>
  <w:abstractNum w:abstractNumId="17">
    <w:nsid w:val="116E6C7D"/>
    <w:multiLevelType w:val="hybridMultilevel"/>
    <w:tmpl w:val="8A08F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47F0FE7"/>
    <w:multiLevelType w:val="multilevel"/>
    <w:tmpl w:val="68BED6DE"/>
    <w:styleLink w:val="List6"/>
    <w:lvl w:ilvl="0">
      <w:start w:val="1"/>
      <w:numFmt w:val="bullet"/>
      <w:lvlText w:val="•"/>
      <w:lvlJc w:val="left"/>
      <w:pPr>
        <w:tabs>
          <w:tab w:val="num" w:pos="720"/>
        </w:tabs>
        <w:ind w:left="720" w:hanging="360"/>
      </w:pPr>
      <w:rPr>
        <w:rFonts w:ascii="Arial" w:eastAsia="Arial" w:hAnsi="Arial" w:cs="Arial"/>
        <w:position w:val="0"/>
      </w:rPr>
    </w:lvl>
    <w:lvl w:ilv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19">
    <w:nsid w:val="17F24366"/>
    <w:multiLevelType w:val="multilevel"/>
    <w:tmpl w:val="AAFE7386"/>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20">
    <w:nsid w:val="1D2262EA"/>
    <w:multiLevelType w:val="multilevel"/>
    <w:tmpl w:val="020E25B8"/>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21">
    <w:nsid w:val="1F4C6128"/>
    <w:multiLevelType w:val="multilevel"/>
    <w:tmpl w:val="0770BA42"/>
    <w:lvl w:ilvl="0">
      <w:numFmt w:val="bullet"/>
      <w:lvlText w:val="•"/>
      <w:lvlJc w:val="left"/>
      <w:pPr>
        <w:tabs>
          <w:tab w:val="num" w:pos="720"/>
        </w:tabs>
        <w:ind w:left="720" w:hanging="360"/>
      </w:pPr>
      <w:rPr>
        <w:rFonts w:ascii="Calibri" w:eastAsia="Calibri" w:hAnsi="Calibri" w:cs="Calibri"/>
        <w:position w:val="0"/>
      </w:rPr>
    </w:lvl>
    <w:lvl w:ilvl="1">
      <w:start w:val="1"/>
      <w:numFmt w:val="bullet"/>
      <w:lvlText w:val="o"/>
      <w:lvlJc w:val="left"/>
      <w:pPr>
        <w:tabs>
          <w:tab w:val="num" w:pos="1440"/>
        </w:tabs>
        <w:ind w:left="1440" w:hanging="360"/>
      </w:pPr>
      <w:rPr>
        <w:rFonts w:ascii="Calibri" w:eastAsia="Calibri" w:hAnsi="Calibri" w:cs="Calibri"/>
        <w:position w:val="0"/>
      </w:rPr>
    </w:lvl>
    <w:lvl w:ilvl="2">
      <w:start w:val="1"/>
      <w:numFmt w:val="bullet"/>
      <w:lvlText w:val="▪"/>
      <w:lvlJc w:val="left"/>
      <w:pPr>
        <w:tabs>
          <w:tab w:val="num" w:pos="2160"/>
        </w:tabs>
        <w:ind w:left="2160" w:hanging="360"/>
      </w:pPr>
      <w:rPr>
        <w:rFonts w:ascii="Calibri" w:eastAsia="Calibri" w:hAnsi="Calibri" w:cs="Calibri"/>
        <w:position w:val="0"/>
      </w:rPr>
    </w:lvl>
    <w:lvl w:ilvl="3">
      <w:start w:val="1"/>
      <w:numFmt w:val="bullet"/>
      <w:lvlText w:val="•"/>
      <w:lvlJc w:val="left"/>
      <w:pPr>
        <w:tabs>
          <w:tab w:val="num" w:pos="2880"/>
        </w:tabs>
        <w:ind w:left="2880" w:hanging="360"/>
      </w:pPr>
      <w:rPr>
        <w:rFonts w:ascii="Calibri" w:eastAsia="Calibri" w:hAnsi="Calibri" w:cs="Calibri"/>
        <w:position w:val="0"/>
      </w:rPr>
    </w:lvl>
    <w:lvl w:ilvl="4">
      <w:start w:val="1"/>
      <w:numFmt w:val="bullet"/>
      <w:lvlText w:val="o"/>
      <w:lvlJc w:val="left"/>
      <w:pPr>
        <w:tabs>
          <w:tab w:val="num" w:pos="3600"/>
        </w:tabs>
        <w:ind w:left="3600" w:hanging="360"/>
      </w:pPr>
      <w:rPr>
        <w:rFonts w:ascii="Calibri" w:eastAsia="Calibri" w:hAnsi="Calibri" w:cs="Calibri"/>
        <w:position w:val="0"/>
      </w:rPr>
    </w:lvl>
    <w:lvl w:ilvl="5">
      <w:start w:val="1"/>
      <w:numFmt w:val="bullet"/>
      <w:lvlText w:val="▪"/>
      <w:lvlJc w:val="left"/>
      <w:pPr>
        <w:tabs>
          <w:tab w:val="num" w:pos="4320"/>
        </w:tabs>
        <w:ind w:left="4320" w:hanging="360"/>
      </w:pPr>
      <w:rPr>
        <w:rFonts w:ascii="Calibri" w:eastAsia="Calibri" w:hAnsi="Calibri" w:cs="Calibri"/>
        <w:position w:val="0"/>
      </w:rPr>
    </w:lvl>
    <w:lvl w:ilvl="6">
      <w:start w:val="1"/>
      <w:numFmt w:val="bullet"/>
      <w:lvlText w:val="•"/>
      <w:lvlJc w:val="left"/>
      <w:pPr>
        <w:tabs>
          <w:tab w:val="num" w:pos="5040"/>
        </w:tabs>
        <w:ind w:left="5040" w:hanging="360"/>
      </w:pPr>
      <w:rPr>
        <w:rFonts w:ascii="Calibri" w:eastAsia="Calibri" w:hAnsi="Calibri" w:cs="Calibri"/>
        <w:position w:val="0"/>
      </w:rPr>
    </w:lvl>
    <w:lvl w:ilvl="7">
      <w:start w:val="1"/>
      <w:numFmt w:val="bullet"/>
      <w:lvlText w:val="o"/>
      <w:lvlJc w:val="left"/>
      <w:pPr>
        <w:tabs>
          <w:tab w:val="num" w:pos="5760"/>
        </w:tabs>
        <w:ind w:left="5760" w:hanging="360"/>
      </w:pPr>
      <w:rPr>
        <w:rFonts w:ascii="Calibri" w:eastAsia="Calibri" w:hAnsi="Calibri" w:cs="Calibri"/>
        <w:position w:val="0"/>
      </w:rPr>
    </w:lvl>
    <w:lvl w:ilvl="8">
      <w:start w:val="1"/>
      <w:numFmt w:val="bullet"/>
      <w:lvlText w:val="▪"/>
      <w:lvlJc w:val="left"/>
      <w:pPr>
        <w:tabs>
          <w:tab w:val="num" w:pos="6480"/>
        </w:tabs>
        <w:ind w:left="6480" w:hanging="360"/>
      </w:pPr>
      <w:rPr>
        <w:rFonts w:ascii="Calibri" w:eastAsia="Calibri" w:hAnsi="Calibri" w:cs="Calibri"/>
        <w:position w:val="0"/>
      </w:rPr>
    </w:lvl>
  </w:abstractNum>
  <w:abstractNum w:abstractNumId="22">
    <w:nsid w:val="1FF53DB1"/>
    <w:multiLevelType w:val="multilevel"/>
    <w:tmpl w:val="E23E015E"/>
    <w:lvl w:ilvl="0">
      <w:start w:val="1"/>
      <w:numFmt w:val="bullet"/>
      <w:lvlText w:val="•"/>
      <w:lvlJc w:val="left"/>
      <w:pPr>
        <w:tabs>
          <w:tab w:val="num" w:pos="720"/>
        </w:tabs>
        <w:ind w:left="720" w:hanging="360"/>
      </w:pPr>
      <w:rPr>
        <w:rFonts w:ascii="Arial" w:eastAsia="Arial" w:hAnsi="Arial" w:cs="Arial"/>
        <w:position w:val="0"/>
      </w:rPr>
    </w:lvl>
    <w:lvl w:ilv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23">
    <w:nsid w:val="23FC3523"/>
    <w:multiLevelType w:val="multilevel"/>
    <w:tmpl w:val="6330B6BA"/>
    <w:styleLink w:val="List10"/>
    <w:lvl w:ilvl="0">
      <w:numFmt w:val="bullet"/>
      <w:lvlText w:val="•"/>
      <w:lvlJc w:val="left"/>
      <w:rPr>
        <w:rFonts w:ascii="Calibri" w:eastAsia="Calibri" w:hAnsi="Calibri" w:cs="Calibri"/>
        <w:b/>
        <w:bCs/>
        <w:position w:val="0"/>
      </w:rPr>
    </w:lvl>
    <w:lvl w:ilvl="1">
      <w:start w:val="1"/>
      <w:numFmt w:val="bullet"/>
      <w:lvlText w:val="o"/>
      <w:lvlJc w:val="left"/>
      <w:rPr>
        <w:rFonts w:ascii="Cambria" w:eastAsia="Cambria" w:hAnsi="Cambria" w:cs="Cambria"/>
        <w:b/>
        <w:bCs/>
        <w:position w:val="0"/>
      </w:rPr>
    </w:lvl>
    <w:lvl w:ilvl="2">
      <w:start w:val="1"/>
      <w:numFmt w:val="bullet"/>
      <w:lvlText w:val="▪"/>
      <w:lvlJc w:val="left"/>
      <w:rPr>
        <w:rFonts w:ascii="Cambria" w:eastAsia="Cambria" w:hAnsi="Cambria" w:cs="Cambria"/>
        <w:b/>
        <w:bCs/>
        <w:position w:val="0"/>
      </w:rPr>
    </w:lvl>
    <w:lvl w:ilvl="3">
      <w:start w:val="1"/>
      <w:numFmt w:val="bullet"/>
      <w:lvlText w:val="•"/>
      <w:lvlJc w:val="left"/>
      <w:rPr>
        <w:rFonts w:ascii="Cambria" w:eastAsia="Cambria" w:hAnsi="Cambria" w:cs="Cambria"/>
        <w:b/>
        <w:bCs/>
        <w:position w:val="0"/>
      </w:rPr>
    </w:lvl>
    <w:lvl w:ilvl="4">
      <w:start w:val="1"/>
      <w:numFmt w:val="bullet"/>
      <w:lvlText w:val="o"/>
      <w:lvlJc w:val="left"/>
      <w:rPr>
        <w:rFonts w:ascii="Cambria" w:eastAsia="Cambria" w:hAnsi="Cambria" w:cs="Cambria"/>
        <w:b/>
        <w:bCs/>
        <w:position w:val="0"/>
      </w:rPr>
    </w:lvl>
    <w:lvl w:ilvl="5">
      <w:start w:val="1"/>
      <w:numFmt w:val="bullet"/>
      <w:lvlText w:val="▪"/>
      <w:lvlJc w:val="left"/>
      <w:rPr>
        <w:rFonts w:ascii="Cambria" w:eastAsia="Cambria" w:hAnsi="Cambria" w:cs="Cambria"/>
        <w:b/>
        <w:bCs/>
        <w:position w:val="0"/>
      </w:rPr>
    </w:lvl>
    <w:lvl w:ilvl="6">
      <w:start w:val="1"/>
      <w:numFmt w:val="bullet"/>
      <w:lvlText w:val="•"/>
      <w:lvlJc w:val="left"/>
      <w:rPr>
        <w:rFonts w:ascii="Cambria" w:eastAsia="Cambria" w:hAnsi="Cambria" w:cs="Cambria"/>
        <w:b/>
        <w:bCs/>
        <w:position w:val="0"/>
      </w:rPr>
    </w:lvl>
    <w:lvl w:ilvl="7">
      <w:start w:val="1"/>
      <w:numFmt w:val="bullet"/>
      <w:lvlText w:val="o"/>
      <w:lvlJc w:val="left"/>
      <w:rPr>
        <w:rFonts w:ascii="Cambria" w:eastAsia="Cambria" w:hAnsi="Cambria" w:cs="Cambria"/>
        <w:b/>
        <w:bCs/>
        <w:position w:val="0"/>
      </w:rPr>
    </w:lvl>
    <w:lvl w:ilvl="8">
      <w:start w:val="1"/>
      <w:numFmt w:val="bullet"/>
      <w:lvlText w:val="▪"/>
      <w:lvlJc w:val="left"/>
      <w:rPr>
        <w:rFonts w:ascii="Cambria" w:eastAsia="Cambria" w:hAnsi="Cambria" w:cs="Cambria"/>
        <w:b/>
        <w:bCs/>
        <w:position w:val="0"/>
      </w:rPr>
    </w:lvl>
  </w:abstractNum>
  <w:abstractNum w:abstractNumId="24">
    <w:nsid w:val="29043A17"/>
    <w:multiLevelType w:val="multilevel"/>
    <w:tmpl w:val="66403926"/>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25">
    <w:nsid w:val="2F947CFB"/>
    <w:multiLevelType w:val="multilevel"/>
    <w:tmpl w:val="FD809C9C"/>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26">
    <w:nsid w:val="31AA7DA3"/>
    <w:multiLevelType w:val="multilevel"/>
    <w:tmpl w:val="564AA924"/>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27">
    <w:nsid w:val="321B0106"/>
    <w:multiLevelType w:val="multilevel"/>
    <w:tmpl w:val="D5A2494C"/>
    <w:lvl w:ilvl="0">
      <w:start w:val="1"/>
      <w:numFmt w:val="bullet"/>
      <w:lvlText w:val="•"/>
      <w:lvlJc w:val="left"/>
      <w:pPr>
        <w:tabs>
          <w:tab w:val="num" w:pos="196"/>
        </w:tabs>
        <w:ind w:left="196" w:hanging="196"/>
      </w:pPr>
      <w:rPr>
        <w:rFonts w:ascii="Arial" w:eastAsia="Arial" w:hAnsi="Arial" w:cs="Arial"/>
        <w:position w:val="-2"/>
      </w:rPr>
    </w:lvl>
    <w:lvl w:ilvl="1">
      <w:start w:val="1"/>
      <w:numFmt w:val="bullet"/>
      <w:lvlText w:val="•"/>
      <w:lvlJc w:val="left"/>
      <w:pPr>
        <w:tabs>
          <w:tab w:val="num" w:pos="376"/>
        </w:tabs>
        <w:ind w:left="376" w:hanging="196"/>
      </w:pPr>
      <w:rPr>
        <w:rFonts w:ascii="Arial" w:eastAsia="Arial" w:hAnsi="Arial" w:cs="Arial"/>
        <w:position w:val="-2"/>
      </w:rPr>
    </w:lvl>
    <w:lvl w:ilvl="2">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28">
    <w:nsid w:val="34560598"/>
    <w:multiLevelType w:val="multilevel"/>
    <w:tmpl w:val="8A009148"/>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29">
    <w:nsid w:val="34AF6222"/>
    <w:multiLevelType w:val="multilevel"/>
    <w:tmpl w:val="E76CDD56"/>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30">
    <w:nsid w:val="367562B8"/>
    <w:multiLevelType w:val="multilevel"/>
    <w:tmpl w:val="E1E0E96E"/>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31">
    <w:nsid w:val="374A5F34"/>
    <w:multiLevelType w:val="multilevel"/>
    <w:tmpl w:val="1EAE3CDA"/>
    <w:styleLink w:val="Bullet"/>
    <w:lvl w:ilvl="0">
      <w:start w:val="1"/>
      <w:numFmt w:val="bullet"/>
      <w:lvlText w:val="•"/>
      <w:lvlJc w:val="left"/>
      <w:pPr>
        <w:tabs>
          <w:tab w:val="num" w:pos="196"/>
        </w:tabs>
        <w:ind w:left="196" w:hanging="196"/>
      </w:pPr>
      <w:rPr>
        <w:rFonts w:ascii="Arial" w:eastAsia="Arial" w:hAnsi="Arial" w:cs="Arial"/>
        <w:position w:val="-2"/>
      </w:rPr>
    </w:lvl>
    <w:lvl w:ilvl="1">
      <w:start w:val="1"/>
      <w:numFmt w:val="bullet"/>
      <w:lvlText w:val="•"/>
      <w:lvlJc w:val="left"/>
      <w:pPr>
        <w:tabs>
          <w:tab w:val="num" w:pos="376"/>
        </w:tabs>
        <w:ind w:left="376" w:hanging="196"/>
      </w:pPr>
      <w:rPr>
        <w:rFonts w:ascii="Arial" w:eastAsia="Arial" w:hAnsi="Arial" w:cs="Arial"/>
        <w:position w:val="-2"/>
      </w:rPr>
    </w:lvl>
    <w:lvl w:ilvl="2">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32">
    <w:nsid w:val="38E74352"/>
    <w:multiLevelType w:val="multilevel"/>
    <w:tmpl w:val="D0EA5F56"/>
    <w:styleLink w:val="List8"/>
    <w:lvl w:ilvl="0">
      <w:start w:val="9"/>
      <w:numFmt w:val="decimal"/>
      <w:lvlText w:val="%1)"/>
      <w:lvlJc w:val="left"/>
      <w:pPr>
        <w:tabs>
          <w:tab w:val="num" w:pos="393"/>
        </w:tabs>
        <w:ind w:left="393" w:hanging="393"/>
      </w:pPr>
      <w:rPr>
        <w:rFonts w:ascii="Arial" w:eastAsia="Arial" w:hAnsi="Arial" w:cs="Arial"/>
        <w:position w:val="0"/>
      </w:rPr>
    </w:lvl>
    <w:lvl w:ilvl="1">
      <w:start w:val="1"/>
      <w:numFmt w:val="decimal"/>
      <w:lvlText w:val="%2)"/>
      <w:lvlJc w:val="left"/>
      <w:pPr>
        <w:tabs>
          <w:tab w:val="num" w:pos="753"/>
        </w:tabs>
        <w:ind w:left="753" w:hanging="393"/>
      </w:pPr>
      <w:rPr>
        <w:rFonts w:ascii="Arial" w:eastAsia="Arial" w:hAnsi="Arial" w:cs="Arial"/>
        <w:position w:val="0"/>
      </w:rPr>
    </w:lvl>
    <w:lvl w:ilvl="2">
      <w:start w:val="1"/>
      <w:numFmt w:val="decimal"/>
      <w:lvlText w:val="%3)"/>
      <w:lvlJc w:val="left"/>
      <w:pPr>
        <w:tabs>
          <w:tab w:val="num" w:pos="1113"/>
        </w:tabs>
        <w:ind w:left="1113" w:hanging="393"/>
      </w:pPr>
      <w:rPr>
        <w:rFonts w:ascii="Arial" w:eastAsia="Arial" w:hAnsi="Arial" w:cs="Arial"/>
        <w:position w:val="0"/>
      </w:rPr>
    </w:lvl>
    <w:lvl w:ilvl="3">
      <w:start w:val="1"/>
      <w:numFmt w:val="decimal"/>
      <w:lvlText w:val="%4)"/>
      <w:lvlJc w:val="left"/>
      <w:pPr>
        <w:tabs>
          <w:tab w:val="num" w:pos="1473"/>
        </w:tabs>
        <w:ind w:left="1473" w:hanging="393"/>
      </w:pPr>
      <w:rPr>
        <w:rFonts w:ascii="Arial" w:eastAsia="Arial" w:hAnsi="Arial" w:cs="Arial"/>
        <w:position w:val="0"/>
      </w:rPr>
    </w:lvl>
    <w:lvl w:ilvl="4">
      <w:start w:val="1"/>
      <w:numFmt w:val="decimal"/>
      <w:lvlText w:val="%5)"/>
      <w:lvlJc w:val="left"/>
      <w:pPr>
        <w:tabs>
          <w:tab w:val="num" w:pos="1833"/>
        </w:tabs>
        <w:ind w:left="1833" w:hanging="393"/>
      </w:pPr>
      <w:rPr>
        <w:rFonts w:ascii="Arial" w:eastAsia="Arial" w:hAnsi="Arial" w:cs="Arial"/>
        <w:position w:val="0"/>
      </w:rPr>
    </w:lvl>
    <w:lvl w:ilvl="5">
      <w:start w:val="1"/>
      <w:numFmt w:val="decimal"/>
      <w:lvlText w:val="%6)"/>
      <w:lvlJc w:val="left"/>
      <w:pPr>
        <w:tabs>
          <w:tab w:val="num" w:pos="2193"/>
        </w:tabs>
        <w:ind w:left="2193" w:hanging="393"/>
      </w:pPr>
      <w:rPr>
        <w:rFonts w:ascii="Arial" w:eastAsia="Arial" w:hAnsi="Arial" w:cs="Arial"/>
        <w:position w:val="0"/>
      </w:rPr>
    </w:lvl>
    <w:lvl w:ilvl="6">
      <w:start w:val="1"/>
      <w:numFmt w:val="decimal"/>
      <w:lvlText w:val="%7)"/>
      <w:lvlJc w:val="left"/>
      <w:pPr>
        <w:tabs>
          <w:tab w:val="num" w:pos="2553"/>
        </w:tabs>
        <w:ind w:left="2553" w:hanging="393"/>
      </w:pPr>
      <w:rPr>
        <w:rFonts w:ascii="Arial" w:eastAsia="Arial" w:hAnsi="Arial" w:cs="Arial"/>
        <w:position w:val="0"/>
      </w:rPr>
    </w:lvl>
    <w:lvl w:ilvl="7">
      <w:start w:val="1"/>
      <w:numFmt w:val="decimal"/>
      <w:lvlText w:val="%8)"/>
      <w:lvlJc w:val="left"/>
      <w:pPr>
        <w:tabs>
          <w:tab w:val="num" w:pos="2913"/>
        </w:tabs>
        <w:ind w:left="2913" w:hanging="393"/>
      </w:pPr>
      <w:rPr>
        <w:rFonts w:ascii="Arial" w:eastAsia="Arial" w:hAnsi="Arial" w:cs="Arial"/>
        <w:position w:val="0"/>
      </w:rPr>
    </w:lvl>
    <w:lvl w:ilvl="8">
      <w:start w:val="1"/>
      <w:numFmt w:val="decimal"/>
      <w:lvlText w:val="%9)"/>
      <w:lvlJc w:val="left"/>
      <w:pPr>
        <w:tabs>
          <w:tab w:val="num" w:pos="3273"/>
        </w:tabs>
        <w:ind w:left="3273" w:hanging="393"/>
      </w:pPr>
      <w:rPr>
        <w:rFonts w:ascii="Arial" w:eastAsia="Arial" w:hAnsi="Arial" w:cs="Arial"/>
        <w:position w:val="0"/>
      </w:rPr>
    </w:lvl>
  </w:abstractNum>
  <w:abstractNum w:abstractNumId="33">
    <w:nsid w:val="38F43A56"/>
    <w:multiLevelType w:val="multilevel"/>
    <w:tmpl w:val="777EC2D2"/>
    <w:lvl w:ilvl="0">
      <w:start w:val="1"/>
      <w:numFmt w:val="bullet"/>
      <w:lvlText w:val="•"/>
      <w:lvlJc w:val="left"/>
      <w:pPr>
        <w:tabs>
          <w:tab w:val="num" w:pos="720"/>
        </w:tabs>
        <w:ind w:left="720" w:hanging="360"/>
      </w:pPr>
      <w:rPr>
        <w:rFonts w:ascii="Arial" w:eastAsia="Arial" w:hAnsi="Arial" w:cs="Arial"/>
        <w:position w:val="0"/>
      </w:rPr>
    </w:lvl>
    <w:lvl w:ilv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34">
    <w:nsid w:val="3BCE182A"/>
    <w:multiLevelType w:val="multilevel"/>
    <w:tmpl w:val="6DACD208"/>
    <w:lvl w:ilvl="0">
      <w:numFmt w:val="bullet"/>
      <w:lvlText w:val="•"/>
      <w:lvlJc w:val="left"/>
      <w:pPr>
        <w:tabs>
          <w:tab w:val="num" w:pos="720"/>
        </w:tabs>
        <w:ind w:left="720" w:hanging="360"/>
      </w:pPr>
      <w:rPr>
        <w:rFonts w:ascii="Calibri" w:eastAsia="Calibri" w:hAnsi="Calibri" w:cs="Calibri"/>
        <w:position w:val="0"/>
      </w:rPr>
    </w:lvl>
    <w:lvl w:ilvl="1">
      <w:start w:val="1"/>
      <w:numFmt w:val="bullet"/>
      <w:lvlText w:val="o"/>
      <w:lvlJc w:val="left"/>
      <w:pPr>
        <w:tabs>
          <w:tab w:val="num" w:pos="1440"/>
        </w:tabs>
        <w:ind w:left="1440" w:hanging="360"/>
      </w:pPr>
      <w:rPr>
        <w:rFonts w:ascii="Calibri" w:eastAsia="Calibri" w:hAnsi="Calibri" w:cs="Calibri"/>
        <w:position w:val="0"/>
      </w:rPr>
    </w:lvl>
    <w:lvl w:ilvl="2">
      <w:start w:val="1"/>
      <w:numFmt w:val="bullet"/>
      <w:lvlText w:val="▪"/>
      <w:lvlJc w:val="left"/>
      <w:pPr>
        <w:tabs>
          <w:tab w:val="num" w:pos="2160"/>
        </w:tabs>
        <w:ind w:left="2160" w:hanging="360"/>
      </w:pPr>
      <w:rPr>
        <w:rFonts w:ascii="Calibri" w:eastAsia="Calibri" w:hAnsi="Calibri" w:cs="Calibri"/>
        <w:position w:val="0"/>
      </w:rPr>
    </w:lvl>
    <w:lvl w:ilvl="3">
      <w:start w:val="1"/>
      <w:numFmt w:val="bullet"/>
      <w:lvlText w:val="•"/>
      <w:lvlJc w:val="left"/>
      <w:pPr>
        <w:tabs>
          <w:tab w:val="num" w:pos="2880"/>
        </w:tabs>
        <w:ind w:left="2880" w:hanging="360"/>
      </w:pPr>
      <w:rPr>
        <w:rFonts w:ascii="Calibri" w:eastAsia="Calibri" w:hAnsi="Calibri" w:cs="Calibri"/>
        <w:position w:val="0"/>
      </w:rPr>
    </w:lvl>
    <w:lvl w:ilvl="4">
      <w:start w:val="1"/>
      <w:numFmt w:val="bullet"/>
      <w:lvlText w:val="o"/>
      <w:lvlJc w:val="left"/>
      <w:pPr>
        <w:tabs>
          <w:tab w:val="num" w:pos="3600"/>
        </w:tabs>
        <w:ind w:left="3600" w:hanging="360"/>
      </w:pPr>
      <w:rPr>
        <w:rFonts w:ascii="Calibri" w:eastAsia="Calibri" w:hAnsi="Calibri" w:cs="Calibri"/>
        <w:position w:val="0"/>
      </w:rPr>
    </w:lvl>
    <w:lvl w:ilvl="5">
      <w:start w:val="1"/>
      <w:numFmt w:val="bullet"/>
      <w:lvlText w:val="▪"/>
      <w:lvlJc w:val="left"/>
      <w:pPr>
        <w:tabs>
          <w:tab w:val="num" w:pos="4320"/>
        </w:tabs>
        <w:ind w:left="4320" w:hanging="360"/>
      </w:pPr>
      <w:rPr>
        <w:rFonts w:ascii="Calibri" w:eastAsia="Calibri" w:hAnsi="Calibri" w:cs="Calibri"/>
        <w:position w:val="0"/>
      </w:rPr>
    </w:lvl>
    <w:lvl w:ilvl="6">
      <w:start w:val="1"/>
      <w:numFmt w:val="bullet"/>
      <w:lvlText w:val="•"/>
      <w:lvlJc w:val="left"/>
      <w:pPr>
        <w:tabs>
          <w:tab w:val="num" w:pos="5040"/>
        </w:tabs>
        <w:ind w:left="5040" w:hanging="360"/>
      </w:pPr>
      <w:rPr>
        <w:rFonts w:ascii="Calibri" w:eastAsia="Calibri" w:hAnsi="Calibri" w:cs="Calibri"/>
        <w:position w:val="0"/>
      </w:rPr>
    </w:lvl>
    <w:lvl w:ilvl="7">
      <w:start w:val="1"/>
      <w:numFmt w:val="bullet"/>
      <w:lvlText w:val="o"/>
      <w:lvlJc w:val="left"/>
      <w:pPr>
        <w:tabs>
          <w:tab w:val="num" w:pos="5760"/>
        </w:tabs>
        <w:ind w:left="5760" w:hanging="360"/>
      </w:pPr>
      <w:rPr>
        <w:rFonts w:ascii="Calibri" w:eastAsia="Calibri" w:hAnsi="Calibri" w:cs="Calibri"/>
        <w:position w:val="0"/>
      </w:rPr>
    </w:lvl>
    <w:lvl w:ilvl="8">
      <w:start w:val="1"/>
      <w:numFmt w:val="bullet"/>
      <w:lvlText w:val="▪"/>
      <w:lvlJc w:val="left"/>
      <w:pPr>
        <w:tabs>
          <w:tab w:val="num" w:pos="6480"/>
        </w:tabs>
        <w:ind w:left="6480" w:hanging="360"/>
      </w:pPr>
      <w:rPr>
        <w:rFonts w:ascii="Calibri" w:eastAsia="Calibri" w:hAnsi="Calibri" w:cs="Calibri"/>
        <w:position w:val="0"/>
      </w:rPr>
    </w:lvl>
  </w:abstractNum>
  <w:abstractNum w:abstractNumId="35">
    <w:nsid w:val="3F9153A5"/>
    <w:multiLevelType w:val="multilevel"/>
    <w:tmpl w:val="68B443B4"/>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36">
    <w:nsid w:val="4019368C"/>
    <w:multiLevelType w:val="multilevel"/>
    <w:tmpl w:val="92B83D08"/>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37">
    <w:nsid w:val="403616C0"/>
    <w:multiLevelType w:val="multilevel"/>
    <w:tmpl w:val="CC380454"/>
    <w:styleLink w:val="List1"/>
    <w:lvl w:ilvl="0">
      <w:start w:val="1"/>
      <w:numFmt w:val="decimal"/>
      <w:lvlText w:val="%1)"/>
      <w:lvlJc w:val="left"/>
      <w:pPr>
        <w:tabs>
          <w:tab w:val="num" w:pos="360"/>
        </w:tabs>
        <w:ind w:left="360" w:hanging="360"/>
      </w:pPr>
      <w:rPr>
        <w:rFonts w:ascii="Arial" w:eastAsia="Arial" w:hAnsi="Arial" w:cs="Arial"/>
        <w:position w:val="0"/>
      </w:rPr>
    </w:lvl>
    <w:lvl w:ilvl="1">
      <w:start w:val="1"/>
      <w:numFmt w:val="lowerLetter"/>
      <w:lvlText w:val="%2)"/>
      <w:lvlJc w:val="left"/>
      <w:pPr>
        <w:tabs>
          <w:tab w:val="num" w:pos="720"/>
        </w:tabs>
        <w:ind w:left="720" w:hanging="360"/>
      </w:pPr>
      <w:rPr>
        <w:rFonts w:ascii="Arial" w:eastAsia="Arial" w:hAnsi="Arial" w:cs="Arial"/>
        <w:position w:val="0"/>
      </w:rPr>
    </w:lvl>
    <w:lvl w:ilvl="2">
      <w:start w:val="1"/>
      <w:numFmt w:val="lowerRoman"/>
      <w:lvlText w:val="%3)"/>
      <w:lvlJc w:val="left"/>
      <w:pPr>
        <w:tabs>
          <w:tab w:val="num" w:pos="1080"/>
        </w:tabs>
        <w:ind w:left="1080" w:hanging="360"/>
      </w:pPr>
      <w:rPr>
        <w:rFonts w:ascii="Arial" w:eastAsia="Arial" w:hAnsi="Arial" w:cs="Arial"/>
        <w:position w:val="0"/>
      </w:rPr>
    </w:lvl>
    <w:lvl w:ilvl="3">
      <w:start w:val="1"/>
      <w:numFmt w:val="decimal"/>
      <w:lvlText w:val="(%4)"/>
      <w:lvlJc w:val="left"/>
      <w:pPr>
        <w:tabs>
          <w:tab w:val="num" w:pos="1440"/>
        </w:tabs>
        <w:ind w:left="1440" w:hanging="360"/>
      </w:pPr>
      <w:rPr>
        <w:rFonts w:ascii="Arial" w:eastAsia="Arial" w:hAnsi="Arial" w:cs="Arial"/>
        <w:position w:val="0"/>
      </w:rPr>
    </w:lvl>
    <w:lvl w:ilvl="4">
      <w:start w:val="1"/>
      <w:numFmt w:val="lowerLetter"/>
      <w:lvlText w:val="(%5)"/>
      <w:lvlJc w:val="left"/>
      <w:pPr>
        <w:tabs>
          <w:tab w:val="num" w:pos="1800"/>
        </w:tabs>
        <w:ind w:left="1800" w:hanging="360"/>
      </w:pPr>
      <w:rPr>
        <w:rFonts w:ascii="Arial" w:eastAsia="Arial" w:hAnsi="Arial" w:cs="Arial"/>
        <w:position w:val="0"/>
      </w:rPr>
    </w:lvl>
    <w:lvl w:ilvl="5">
      <w:start w:val="1"/>
      <w:numFmt w:val="lowerRoman"/>
      <w:lvlText w:val="(%6)"/>
      <w:lvlJc w:val="left"/>
      <w:pPr>
        <w:tabs>
          <w:tab w:val="num" w:pos="2160"/>
        </w:tabs>
        <w:ind w:left="2160" w:hanging="360"/>
      </w:pPr>
      <w:rPr>
        <w:rFonts w:ascii="Arial" w:eastAsia="Arial" w:hAnsi="Arial" w:cs="Arial"/>
        <w:position w:val="0"/>
      </w:rPr>
    </w:lvl>
    <w:lvl w:ilvl="6">
      <w:start w:val="1"/>
      <w:numFmt w:val="decimal"/>
      <w:lvlText w:val="%7."/>
      <w:lvlJc w:val="left"/>
      <w:pPr>
        <w:tabs>
          <w:tab w:val="num" w:pos="2520"/>
        </w:tabs>
        <w:ind w:left="2520" w:hanging="360"/>
      </w:pPr>
      <w:rPr>
        <w:rFonts w:ascii="Arial" w:eastAsia="Arial" w:hAnsi="Arial" w:cs="Arial"/>
        <w:position w:val="0"/>
      </w:rPr>
    </w:lvl>
    <w:lvl w:ilvl="7">
      <w:start w:val="1"/>
      <w:numFmt w:val="lowerLetter"/>
      <w:lvlText w:val="%8."/>
      <w:lvlJc w:val="left"/>
      <w:pPr>
        <w:tabs>
          <w:tab w:val="num" w:pos="2880"/>
        </w:tabs>
        <w:ind w:left="2880" w:hanging="360"/>
      </w:pPr>
      <w:rPr>
        <w:rFonts w:ascii="Arial" w:eastAsia="Arial" w:hAnsi="Arial" w:cs="Arial"/>
        <w:position w:val="0"/>
      </w:rPr>
    </w:lvl>
    <w:lvl w:ilvl="8">
      <w:start w:val="1"/>
      <w:numFmt w:val="lowerRoman"/>
      <w:lvlText w:val="%9."/>
      <w:lvlJc w:val="left"/>
      <w:pPr>
        <w:tabs>
          <w:tab w:val="num" w:pos="3240"/>
        </w:tabs>
        <w:ind w:left="3240" w:hanging="360"/>
      </w:pPr>
      <w:rPr>
        <w:rFonts w:ascii="Arial" w:eastAsia="Arial" w:hAnsi="Arial" w:cs="Arial"/>
        <w:position w:val="0"/>
      </w:rPr>
    </w:lvl>
  </w:abstractNum>
  <w:abstractNum w:abstractNumId="38">
    <w:nsid w:val="409C68A9"/>
    <w:multiLevelType w:val="multilevel"/>
    <w:tmpl w:val="BAA84C76"/>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39">
    <w:nsid w:val="40DC68B6"/>
    <w:multiLevelType w:val="multilevel"/>
    <w:tmpl w:val="B0FAF894"/>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40">
    <w:nsid w:val="423413D6"/>
    <w:multiLevelType w:val="multilevel"/>
    <w:tmpl w:val="39BC711C"/>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41">
    <w:nsid w:val="47D873EE"/>
    <w:multiLevelType w:val="multilevel"/>
    <w:tmpl w:val="656C4F08"/>
    <w:styleLink w:val="List15"/>
    <w:lvl w:ilvl="0">
      <w:start w:val="1"/>
      <w:numFmt w:val="decimal"/>
      <w:lvlText w:val="%1)"/>
      <w:lvlJc w:val="left"/>
      <w:pPr>
        <w:tabs>
          <w:tab w:val="num" w:pos="757"/>
        </w:tabs>
        <w:ind w:left="757" w:hanging="360"/>
      </w:pPr>
      <w:rPr>
        <w:rFonts w:ascii="Arial" w:eastAsia="Arial" w:hAnsi="Arial" w:cs="Arial"/>
        <w:position w:val="0"/>
        <w:sz w:val="24"/>
        <w:szCs w:val="24"/>
      </w:rPr>
    </w:lvl>
    <w:lvl w:ilvl="1">
      <w:start w:val="1"/>
      <w:numFmt w:val="decimal"/>
      <w:lvlText w:val="%2)"/>
      <w:lvlJc w:val="left"/>
      <w:pPr>
        <w:tabs>
          <w:tab w:val="num" w:pos="1150"/>
        </w:tabs>
        <w:ind w:left="1150" w:hanging="393"/>
      </w:pPr>
      <w:rPr>
        <w:rFonts w:ascii="Arial" w:eastAsia="Arial" w:hAnsi="Arial" w:cs="Arial"/>
        <w:position w:val="0"/>
        <w:sz w:val="24"/>
        <w:szCs w:val="24"/>
      </w:rPr>
    </w:lvl>
    <w:lvl w:ilvl="2">
      <w:start w:val="1"/>
      <w:numFmt w:val="decimal"/>
      <w:lvlText w:val="%3)"/>
      <w:lvlJc w:val="left"/>
      <w:pPr>
        <w:tabs>
          <w:tab w:val="num" w:pos="1510"/>
        </w:tabs>
        <w:ind w:left="1510" w:hanging="393"/>
      </w:pPr>
      <w:rPr>
        <w:rFonts w:ascii="Arial" w:eastAsia="Arial" w:hAnsi="Arial" w:cs="Arial"/>
        <w:position w:val="0"/>
        <w:sz w:val="24"/>
        <w:szCs w:val="24"/>
      </w:rPr>
    </w:lvl>
    <w:lvl w:ilvl="3">
      <w:start w:val="1"/>
      <w:numFmt w:val="decimal"/>
      <w:lvlText w:val="%4)"/>
      <w:lvlJc w:val="left"/>
      <w:pPr>
        <w:tabs>
          <w:tab w:val="num" w:pos="1870"/>
        </w:tabs>
        <w:ind w:left="1870" w:hanging="393"/>
      </w:pPr>
      <w:rPr>
        <w:rFonts w:ascii="Arial" w:eastAsia="Arial" w:hAnsi="Arial" w:cs="Arial"/>
        <w:position w:val="0"/>
        <w:sz w:val="24"/>
        <w:szCs w:val="24"/>
      </w:rPr>
    </w:lvl>
    <w:lvl w:ilvl="4">
      <w:start w:val="1"/>
      <w:numFmt w:val="decimal"/>
      <w:lvlText w:val="%5)"/>
      <w:lvlJc w:val="left"/>
      <w:pPr>
        <w:tabs>
          <w:tab w:val="num" w:pos="2230"/>
        </w:tabs>
        <w:ind w:left="2230" w:hanging="393"/>
      </w:pPr>
      <w:rPr>
        <w:rFonts w:ascii="Arial" w:eastAsia="Arial" w:hAnsi="Arial" w:cs="Arial"/>
        <w:position w:val="0"/>
        <w:sz w:val="24"/>
        <w:szCs w:val="24"/>
      </w:rPr>
    </w:lvl>
    <w:lvl w:ilvl="5">
      <w:start w:val="1"/>
      <w:numFmt w:val="decimal"/>
      <w:lvlText w:val="%6)"/>
      <w:lvlJc w:val="left"/>
      <w:pPr>
        <w:tabs>
          <w:tab w:val="num" w:pos="2590"/>
        </w:tabs>
        <w:ind w:left="2590" w:hanging="393"/>
      </w:pPr>
      <w:rPr>
        <w:rFonts w:ascii="Arial" w:eastAsia="Arial" w:hAnsi="Arial" w:cs="Arial"/>
        <w:position w:val="0"/>
        <w:sz w:val="24"/>
        <w:szCs w:val="24"/>
      </w:rPr>
    </w:lvl>
    <w:lvl w:ilvl="6">
      <w:start w:val="1"/>
      <w:numFmt w:val="decimal"/>
      <w:lvlText w:val="%7)"/>
      <w:lvlJc w:val="left"/>
      <w:pPr>
        <w:tabs>
          <w:tab w:val="num" w:pos="2950"/>
        </w:tabs>
        <w:ind w:left="2950" w:hanging="393"/>
      </w:pPr>
      <w:rPr>
        <w:rFonts w:ascii="Arial" w:eastAsia="Arial" w:hAnsi="Arial" w:cs="Arial"/>
        <w:position w:val="0"/>
        <w:sz w:val="24"/>
        <w:szCs w:val="24"/>
      </w:rPr>
    </w:lvl>
    <w:lvl w:ilvl="7">
      <w:start w:val="1"/>
      <w:numFmt w:val="decimal"/>
      <w:lvlText w:val="%8)"/>
      <w:lvlJc w:val="left"/>
      <w:pPr>
        <w:tabs>
          <w:tab w:val="num" w:pos="3310"/>
        </w:tabs>
        <w:ind w:left="3310" w:hanging="393"/>
      </w:pPr>
      <w:rPr>
        <w:rFonts w:ascii="Arial" w:eastAsia="Arial" w:hAnsi="Arial" w:cs="Arial"/>
        <w:position w:val="0"/>
        <w:sz w:val="24"/>
        <w:szCs w:val="24"/>
      </w:rPr>
    </w:lvl>
    <w:lvl w:ilvl="8">
      <w:start w:val="1"/>
      <w:numFmt w:val="decimal"/>
      <w:lvlText w:val="%9)"/>
      <w:lvlJc w:val="left"/>
      <w:pPr>
        <w:tabs>
          <w:tab w:val="num" w:pos="3670"/>
        </w:tabs>
        <w:ind w:left="3670" w:hanging="393"/>
      </w:pPr>
      <w:rPr>
        <w:rFonts w:ascii="Arial" w:eastAsia="Arial" w:hAnsi="Arial" w:cs="Arial"/>
        <w:position w:val="0"/>
        <w:sz w:val="24"/>
        <w:szCs w:val="24"/>
      </w:rPr>
    </w:lvl>
  </w:abstractNum>
  <w:abstractNum w:abstractNumId="42">
    <w:nsid w:val="49A32D95"/>
    <w:multiLevelType w:val="multilevel"/>
    <w:tmpl w:val="AD9023A6"/>
    <w:lvl w:ilvl="0">
      <w:start w:val="1"/>
      <w:numFmt w:val="bullet"/>
      <w:lvlText w:val="•"/>
      <w:lvlJc w:val="left"/>
      <w:pPr>
        <w:tabs>
          <w:tab w:val="num" w:pos="196"/>
        </w:tabs>
        <w:ind w:left="196" w:hanging="196"/>
      </w:pPr>
      <w:rPr>
        <w:rFonts w:ascii="Arial" w:eastAsia="Arial" w:hAnsi="Arial" w:cs="Arial"/>
        <w:position w:val="-2"/>
      </w:rPr>
    </w:lvl>
    <w:lvl w:ilvl="1">
      <w:start w:val="1"/>
      <w:numFmt w:val="bullet"/>
      <w:lvlText w:val="•"/>
      <w:lvlJc w:val="left"/>
      <w:pPr>
        <w:tabs>
          <w:tab w:val="num" w:pos="376"/>
        </w:tabs>
        <w:ind w:left="376" w:hanging="196"/>
      </w:pPr>
      <w:rPr>
        <w:rFonts w:ascii="Arial" w:eastAsia="Arial" w:hAnsi="Arial" w:cs="Arial"/>
        <w:position w:val="-2"/>
      </w:rPr>
    </w:lvl>
    <w:lvl w:ilvl="2">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43">
    <w:nsid w:val="4D7F34D7"/>
    <w:multiLevelType w:val="multilevel"/>
    <w:tmpl w:val="ABB272F6"/>
    <w:lvl w:ilvl="0">
      <w:numFmt w:val="bullet"/>
      <w:lvlText w:val="•"/>
      <w:lvlJc w:val="left"/>
      <w:pPr>
        <w:tabs>
          <w:tab w:val="num" w:pos="196"/>
        </w:tabs>
        <w:ind w:left="196" w:hanging="196"/>
      </w:pPr>
      <w:rPr>
        <w:rFonts w:ascii="Arial" w:eastAsia="Arial" w:hAnsi="Arial" w:cs="Arial"/>
        <w:position w:val="-2"/>
      </w:rPr>
    </w:lvl>
    <w:lvl w:ilvl="1">
      <w:start w:va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44">
    <w:nsid w:val="4DA44411"/>
    <w:multiLevelType w:val="multilevel"/>
    <w:tmpl w:val="00F65BA4"/>
    <w:styleLink w:val="List51"/>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45">
    <w:nsid w:val="51502A7B"/>
    <w:multiLevelType w:val="multilevel"/>
    <w:tmpl w:val="EF9E2A3C"/>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46">
    <w:nsid w:val="53AF342B"/>
    <w:multiLevelType w:val="multilevel"/>
    <w:tmpl w:val="28C454D8"/>
    <w:lvl w:ilvl="0">
      <w:numFmt w:val="bullet"/>
      <w:lvlText w:val="•"/>
      <w:lvlJc w:val="left"/>
      <w:pPr>
        <w:tabs>
          <w:tab w:val="num" w:pos="196"/>
        </w:tabs>
        <w:ind w:left="196" w:hanging="196"/>
      </w:pPr>
      <w:rPr>
        <w:rFonts w:ascii="Arial" w:eastAsia="Arial" w:hAnsi="Arial" w:cs="Arial"/>
        <w:position w:val="-2"/>
      </w:rPr>
    </w:lvl>
    <w:lvl w:ilvl="1">
      <w:start w:va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47">
    <w:nsid w:val="540179B5"/>
    <w:multiLevelType w:val="multilevel"/>
    <w:tmpl w:val="F45AAC86"/>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48">
    <w:nsid w:val="546A2C0C"/>
    <w:multiLevelType w:val="multilevel"/>
    <w:tmpl w:val="ED6E2884"/>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49">
    <w:nsid w:val="56606DB1"/>
    <w:multiLevelType w:val="multilevel"/>
    <w:tmpl w:val="F0523830"/>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50">
    <w:nsid w:val="56BC3EAB"/>
    <w:multiLevelType w:val="multilevel"/>
    <w:tmpl w:val="E7F42A52"/>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51">
    <w:nsid w:val="583521B7"/>
    <w:multiLevelType w:val="multilevel"/>
    <w:tmpl w:val="60F292F2"/>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52">
    <w:nsid w:val="5AC204C3"/>
    <w:multiLevelType w:val="multilevel"/>
    <w:tmpl w:val="A68CD834"/>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53">
    <w:nsid w:val="5B8D743F"/>
    <w:multiLevelType w:val="multilevel"/>
    <w:tmpl w:val="CED69C8E"/>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54">
    <w:nsid w:val="5D913C59"/>
    <w:multiLevelType w:val="multilevel"/>
    <w:tmpl w:val="D2467430"/>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55">
    <w:nsid w:val="602A6B44"/>
    <w:multiLevelType w:val="multilevel"/>
    <w:tmpl w:val="C988DE90"/>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56">
    <w:nsid w:val="60810A8F"/>
    <w:multiLevelType w:val="multilevel"/>
    <w:tmpl w:val="69984342"/>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57">
    <w:nsid w:val="61780A9E"/>
    <w:multiLevelType w:val="multilevel"/>
    <w:tmpl w:val="1952BC84"/>
    <w:styleLink w:val="Numbered"/>
    <w:lvl w:ilvl="0">
      <w:start w:val="1"/>
      <w:numFmt w:val="decimal"/>
      <w:lvlText w:val="%1."/>
      <w:lvlJc w:val="left"/>
      <w:pPr>
        <w:tabs>
          <w:tab w:val="num" w:pos="393"/>
        </w:tabs>
        <w:ind w:left="393" w:hanging="393"/>
      </w:pPr>
      <w:rPr>
        <w:rFonts w:ascii="Arial" w:eastAsia="Arial" w:hAnsi="Arial" w:cs="Arial"/>
        <w:position w:val="0"/>
      </w:rPr>
    </w:lvl>
    <w:lvl w:ilvl="1">
      <w:start w:val="1"/>
      <w:numFmt w:val="decimal"/>
      <w:lvlText w:val="%2."/>
      <w:lvlJc w:val="left"/>
      <w:pPr>
        <w:tabs>
          <w:tab w:val="num" w:pos="753"/>
        </w:tabs>
        <w:ind w:left="753" w:hanging="393"/>
      </w:pPr>
      <w:rPr>
        <w:rFonts w:ascii="Arial" w:eastAsia="Arial" w:hAnsi="Arial" w:cs="Arial"/>
        <w:position w:val="0"/>
      </w:rPr>
    </w:lvl>
    <w:lvl w:ilvl="2">
      <w:start w:val="1"/>
      <w:numFmt w:val="decimal"/>
      <w:lvlText w:val="%3."/>
      <w:lvlJc w:val="left"/>
      <w:pPr>
        <w:tabs>
          <w:tab w:val="num" w:pos="1113"/>
        </w:tabs>
        <w:ind w:left="1113" w:hanging="393"/>
      </w:pPr>
      <w:rPr>
        <w:rFonts w:ascii="Arial" w:eastAsia="Arial" w:hAnsi="Arial" w:cs="Arial"/>
        <w:position w:val="0"/>
      </w:rPr>
    </w:lvl>
    <w:lvl w:ilvl="3">
      <w:start w:val="1"/>
      <w:numFmt w:val="decimal"/>
      <w:lvlText w:val="%4."/>
      <w:lvlJc w:val="left"/>
      <w:pPr>
        <w:tabs>
          <w:tab w:val="num" w:pos="1473"/>
        </w:tabs>
        <w:ind w:left="1473" w:hanging="393"/>
      </w:pPr>
      <w:rPr>
        <w:rFonts w:ascii="Arial" w:eastAsia="Arial" w:hAnsi="Arial" w:cs="Arial"/>
        <w:position w:val="0"/>
      </w:rPr>
    </w:lvl>
    <w:lvl w:ilvl="4">
      <w:start w:val="1"/>
      <w:numFmt w:val="decimal"/>
      <w:lvlText w:val="%5."/>
      <w:lvlJc w:val="left"/>
      <w:pPr>
        <w:tabs>
          <w:tab w:val="num" w:pos="1833"/>
        </w:tabs>
        <w:ind w:left="1833" w:hanging="393"/>
      </w:pPr>
      <w:rPr>
        <w:rFonts w:ascii="Arial" w:eastAsia="Arial" w:hAnsi="Arial" w:cs="Arial"/>
        <w:position w:val="0"/>
      </w:rPr>
    </w:lvl>
    <w:lvl w:ilvl="5">
      <w:start w:val="1"/>
      <w:numFmt w:val="decimal"/>
      <w:lvlText w:val="%6."/>
      <w:lvlJc w:val="left"/>
      <w:pPr>
        <w:tabs>
          <w:tab w:val="num" w:pos="2193"/>
        </w:tabs>
        <w:ind w:left="2193" w:hanging="393"/>
      </w:pPr>
      <w:rPr>
        <w:rFonts w:ascii="Arial" w:eastAsia="Arial" w:hAnsi="Arial" w:cs="Arial"/>
        <w:position w:val="0"/>
      </w:rPr>
    </w:lvl>
    <w:lvl w:ilvl="6">
      <w:start w:val="1"/>
      <w:numFmt w:val="decimal"/>
      <w:lvlText w:val="%7."/>
      <w:lvlJc w:val="left"/>
      <w:pPr>
        <w:tabs>
          <w:tab w:val="num" w:pos="2553"/>
        </w:tabs>
        <w:ind w:left="2553" w:hanging="393"/>
      </w:pPr>
      <w:rPr>
        <w:rFonts w:ascii="Arial" w:eastAsia="Arial" w:hAnsi="Arial" w:cs="Arial"/>
        <w:position w:val="0"/>
      </w:rPr>
    </w:lvl>
    <w:lvl w:ilvl="7">
      <w:start w:val="1"/>
      <w:numFmt w:val="decimal"/>
      <w:lvlText w:val="%8."/>
      <w:lvlJc w:val="left"/>
      <w:pPr>
        <w:tabs>
          <w:tab w:val="num" w:pos="2913"/>
        </w:tabs>
        <w:ind w:left="2913" w:hanging="393"/>
      </w:pPr>
      <w:rPr>
        <w:rFonts w:ascii="Arial" w:eastAsia="Arial" w:hAnsi="Arial" w:cs="Arial"/>
        <w:position w:val="0"/>
      </w:rPr>
    </w:lvl>
    <w:lvl w:ilvl="8">
      <w:start w:val="1"/>
      <w:numFmt w:val="decimal"/>
      <w:lvlText w:val="%9."/>
      <w:lvlJc w:val="left"/>
      <w:pPr>
        <w:tabs>
          <w:tab w:val="num" w:pos="3273"/>
        </w:tabs>
        <w:ind w:left="3273" w:hanging="393"/>
      </w:pPr>
      <w:rPr>
        <w:rFonts w:ascii="Arial" w:eastAsia="Arial" w:hAnsi="Arial" w:cs="Arial"/>
        <w:position w:val="0"/>
      </w:rPr>
    </w:lvl>
  </w:abstractNum>
  <w:abstractNum w:abstractNumId="58">
    <w:nsid w:val="61E13B81"/>
    <w:multiLevelType w:val="multilevel"/>
    <w:tmpl w:val="1DF21CE0"/>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59">
    <w:nsid w:val="64DA433C"/>
    <w:multiLevelType w:val="multilevel"/>
    <w:tmpl w:val="3E6047EE"/>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440"/>
        </w:tabs>
        <w:ind w:left="1440" w:hanging="360"/>
      </w:pPr>
      <w:rPr>
        <w:rFonts w:ascii="Arial" w:eastAsia="Arial" w:hAnsi="Arial" w:cs="Arial"/>
        <w:position w:val="0"/>
      </w:rPr>
    </w:lvl>
    <w:lvl w:ilvl="2">
      <w:start w:val="1"/>
      <w:numFmt w:val="bullet"/>
      <w:lvlText w:val="▪"/>
      <w:lvlJc w:val="left"/>
      <w:pPr>
        <w:tabs>
          <w:tab w:val="num" w:pos="2160"/>
        </w:tabs>
        <w:ind w:left="2160" w:hanging="360"/>
      </w:pPr>
      <w:rPr>
        <w:rFonts w:ascii="Arial" w:eastAsia="Arial" w:hAnsi="Arial" w:cs="Arial"/>
        <w:position w:val="0"/>
      </w:rPr>
    </w:lvl>
    <w:lvl w:ilvl="3">
      <w:start w:val="1"/>
      <w:numFmt w:val="bullet"/>
      <w:lvlText w:val="•"/>
      <w:lvlJc w:val="left"/>
      <w:pPr>
        <w:tabs>
          <w:tab w:val="num" w:pos="2880"/>
        </w:tabs>
        <w:ind w:left="2880" w:hanging="360"/>
      </w:pPr>
      <w:rPr>
        <w:rFonts w:ascii="Arial" w:eastAsia="Arial" w:hAnsi="Arial" w:cs="Arial"/>
        <w:position w:val="0"/>
      </w:rPr>
    </w:lvl>
    <w:lvl w:ilvl="4">
      <w:start w:val="1"/>
      <w:numFmt w:val="bullet"/>
      <w:lvlText w:val="o"/>
      <w:lvlJc w:val="left"/>
      <w:pPr>
        <w:tabs>
          <w:tab w:val="num" w:pos="3600"/>
        </w:tabs>
        <w:ind w:left="3600" w:hanging="360"/>
      </w:pPr>
      <w:rPr>
        <w:rFonts w:ascii="Arial" w:eastAsia="Arial" w:hAnsi="Arial" w:cs="Arial"/>
        <w:position w:val="0"/>
      </w:rPr>
    </w:lvl>
    <w:lvl w:ilvl="5">
      <w:start w:val="1"/>
      <w:numFmt w:val="bullet"/>
      <w:lvlText w:val="▪"/>
      <w:lvlJc w:val="left"/>
      <w:pPr>
        <w:tabs>
          <w:tab w:val="num" w:pos="4320"/>
        </w:tabs>
        <w:ind w:left="4320" w:hanging="360"/>
      </w:pPr>
      <w:rPr>
        <w:rFonts w:ascii="Arial" w:eastAsia="Arial" w:hAnsi="Arial" w:cs="Arial"/>
        <w:position w:val="0"/>
      </w:rPr>
    </w:lvl>
    <w:lvl w:ilvl="6">
      <w:start w:val="1"/>
      <w:numFmt w:val="bullet"/>
      <w:lvlText w:val="•"/>
      <w:lvlJc w:val="left"/>
      <w:pPr>
        <w:tabs>
          <w:tab w:val="num" w:pos="5040"/>
        </w:tabs>
        <w:ind w:left="5040" w:hanging="360"/>
      </w:pPr>
      <w:rPr>
        <w:rFonts w:ascii="Arial" w:eastAsia="Arial" w:hAnsi="Arial" w:cs="Arial"/>
        <w:position w:val="0"/>
      </w:rPr>
    </w:lvl>
    <w:lvl w:ilvl="7">
      <w:start w:val="1"/>
      <w:numFmt w:val="bullet"/>
      <w:lvlText w:val="o"/>
      <w:lvlJc w:val="left"/>
      <w:pPr>
        <w:tabs>
          <w:tab w:val="num" w:pos="5760"/>
        </w:tabs>
        <w:ind w:left="5760" w:hanging="360"/>
      </w:pPr>
      <w:rPr>
        <w:rFonts w:ascii="Arial" w:eastAsia="Arial" w:hAnsi="Arial" w:cs="Arial"/>
        <w:position w:val="0"/>
      </w:rPr>
    </w:lvl>
    <w:lvl w:ilvl="8">
      <w:start w:val="1"/>
      <w:numFmt w:val="bullet"/>
      <w:lvlText w:val="▪"/>
      <w:lvlJc w:val="left"/>
      <w:pPr>
        <w:tabs>
          <w:tab w:val="num" w:pos="6480"/>
        </w:tabs>
        <w:ind w:left="6480" w:hanging="360"/>
      </w:pPr>
      <w:rPr>
        <w:rFonts w:ascii="Arial" w:eastAsia="Arial" w:hAnsi="Arial" w:cs="Arial"/>
        <w:position w:val="0"/>
      </w:rPr>
    </w:lvl>
  </w:abstractNum>
  <w:abstractNum w:abstractNumId="60">
    <w:nsid w:val="652D42FA"/>
    <w:multiLevelType w:val="multilevel"/>
    <w:tmpl w:val="4C8AB5D8"/>
    <w:styleLink w:val="List14"/>
    <w:lvl w:ilvl="0">
      <w:start w:val="1"/>
      <w:numFmt w:val="bullet"/>
      <w:lvlText w:val="•"/>
      <w:lvlJc w:val="left"/>
      <w:rPr>
        <w:rFonts w:ascii="Cambria" w:eastAsia="Cambria" w:hAnsi="Cambria" w:cs="Cambria"/>
        <w:position w:val="0"/>
      </w:rPr>
    </w:lvl>
    <w:lvl w:ilvl="1">
      <w:numFmt w:val="bullet"/>
      <w:lvlText w:val="o"/>
      <w:lvlJc w:val="left"/>
      <w:rPr>
        <w:rFonts w:ascii="Calibri" w:eastAsia="Calibri" w:hAnsi="Calibri" w:cs="Calibri"/>
        <w:position w:val="0"/>
      </w:rPr>
    </w:lvl>
    <w:lvl w:ilvl="2">
      <w:start w:val="1"/>
      <w:numFmt w:val="bullet"/>
      <w:lvlText w:val="▪"/>
      <w:lvlJc w:val="left"/>
      <w:rPr>
        <w:rFonts w:ascii="Cambria" w:eastAsia="Cambria" w:hAnsi="Cambria" w:cs="Cambria"/>
        <w:position w:val="0"/>
      </w:rPr>
    </w:lvl>
    <w:lvl w:ilvl="3">
      <w:start w:val="1"/>
      <w:numFmt w:val="bullet"/>
      <w:lvlText w:val="•"/>
      <w:lvlJc w:val="left"/>
      <w:rPr>
        <w:rFonts w:ascii="Cambria" w:eastAsia="Cambria" w:hAnsi="Cambria" w:cs="Cambria"/>
        <w:position w:val="0"/>
      </w:rPr>
    </w:lvl>
    <w:lvl w:ilvl="4">
      <w:start w:val="1"/>
      <w:numFmt w:val="bullet"/>
      <w:lvlText w:val="o"/>
      <w:lvlJc w:val="left"/>
      <w:rPr>
        <w:rFonts w:ascii="Cambria" w:eastAsia="Cambria" w:hAnsi="Cambria" w:cs="Cambria"/>
        <w:position w:val="0"/>
      </w:rPr>
    </w:lvl>
    <w:lvl w:ilvl="5">
      <w:start w:val="1"/>
      <w:numFmt w:val="bullet"/>
      <w:lvlText w:val="▪"/>
      <w:lvlJc w:val="left"/>
      <w:rPr>
        <w:rFonts w:ascii="Cambria" w:eastAsia="Cambria" w:hAnsi="Cambria" w:cs="Cambria"/>
        <w:position w:val="0"/>
      </w:rPr>
    </w:lvl>
    <w:lvl w:ilvl="6">
      <w:start w:val="1"/>
      <w:numFmt w:val="bullet"/>
      <w:lvlText w:val="•"/>
      <w:lvlJc w:val="left"/>
      <w:rPr>
        <w:rFonts w:ascii="Cambria" w:eastAsia="Cambria" w:hAnsi="Cambria" w:cs="Cambria"/>
        <w:position w:val="0"/>
      </w:rPr>
    </w:lvl>
    <w:lvl w:ilvl="7">
      <w:start w:val="1"/>
      <w:numFmt w:val="bullet"/>
      <w:lvlText w:val="o"/>
      <w:lvlJc w:val="left"/>
      <w:rPr>
        <w:rFonts w:ascii="Cambria" w:eastAsia="Cambria" w:hAnsi="Cambria" w:cs="Cambria"/>
        <w:position w:val="0"/>
      </w:rPr>
    </w:lvl>
    <w:lvl w:ilvl="8">
      <w:start w:val="1"/>
      <w:numFmt w:val="bullet"/>
      <w:lvlText w:val="▪"/>
      <w:lvlJc w:val="left"/>
      <w:rPr>
        <w:rFonts w:ascii="Cambria" w:eastAsia="Cambria" w:hAnsi="Cambria" w:cs="Cambria"/>
        <w:position w:val="0"/>
      </w:rPr>
    </w:lvl>
  </w:abstractNum>
  <w:abstractNum w:abstractNumId="61">
    <w:nsid w:val="653A3A3B"/>
    <w:multiLevelType w:val="multilevel"/>
    <w:tmpl w:val="4462BABA"/>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62">
    <w:nsid w:val="65DF6C80"/>
    <w:multiLevelType w:val="multilevel"/>
    <w:tmpl w:val="52480EF8"/>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63">
    <w:nsid w:val="6E155D39"/>
    <w:multiLevelType w:val="multilevel"/>
    <w:tmpl w:val="30847F4E"/>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64">
    <w:nsid w:val="6F0D1768"/>
    <w:multiLevelType w:val="multilevel"/>
    <w:tmpl w:val="3E7ECB7A"/>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65">
    <w:nsid w:val="708E38B9"/>
    <w:multiLevelType w:val="multilevel"/>
    <w:tmpl w:val="A2FE709E"/>
    <w:styleLink w:val="List7"/>
    <w:lvl w:ilvl="0">
      <w:start w:val="1"/>
      <w:numFmt w:val="decimal"/>
      <w:lvlText w:val="%1)"/>
      <w:lvlJc w:val="left"/>
      <w:pPr>
        <w:tabs>
          <w:tab w:val="num" w:pos="393"/>
        </w:tabs>
        <w:ind w:left="393" w:hanging="393"/>
      </w:pPr>
      <w:rPr>
        <w:rFonts w:ascii="Arial" w:eastAsia="Arial" w:hAnsi="Arial" w:cs="Arial"/>
        <w:position w:val="0"/>
      </w:rPr>
    </w:lvl>
    <w:lvl w:ilvl="1">
      <w:start w:val="1"/>
      <w:numFmt w:val="decimal"/>
      <w:lvlText w:val="%2)"/>
      <w:lvlJc w:val="left"/>
      <w:pPr>
        <w:tabs>
          <w:tab w:val="num" w:pos="720"/>
        </w:tabs>
        <w:ind w:left="720" w:hanging="360"/>
      </w:pPr>
      <w:rPr>
        <w:rFonts w:ascii="Arial" w:eastAsia="Arial" w:hAnsi="Arial" w:cs="Arial"/>
        <w:position w:val="0"/>
      </w:rPr>
    </w:lvl>
    <w:lvl w:ilvl="2">
      <w:start w:val="1"/>
      <w:numFmt w:val="decimal"/>
      <w:lvlText w:val="%3)"/>
      <w:lvlJc w:val="left"/>
      <w:pPr>
        <w:tabs>
          <w:tab w:val="num" w:pos="1113"/>
        </w:tabs>
        <w:ind w:left="1113" w:hanging="393"/>
      </w:pPr>
      <w:rPr>
        <w:rFonts w:ascii="Arial" w:eastAsia="Arial" w:hAnsi="Arial" w:cs="Arial"/>
        <w:position w:val="0"/>
      </w:rPr>
    </w:lvl>
    <w:lvl w:ilvl="3">
      <w:start w:val="1"/>
      <w:numFmt w:val="decimal"/>
      <w:lvlText w:val="%4)"/>
      <w:lvlJc w:val="left"/>
      <w:pPr>
        <w:tabs>
          <w:tab w:val="num" w:pos="1473"/>
        </w:tabs>
        <w:ind w:left="1473" w:hanging="393"/>
      </w:pPr>
      <w:rPr>
        <w:rFonts w:ascii="Arial" w:eastAsia="Arial" w:hAnsi="Arial" w:cs="Arial"/>
        <w:position w:val="0"/>
      </w:rPr>
    </w:lvl>
    <w:lvl w:ilvl="4">
      <w:start w:val="1"/>
      <w:numFmt w:val="decimal"/>
      <w:lvlText w:val="%5)"/>
      <w:lvlJc w:val="left"/>
      <w:pPr>
        <w:tabs>
          <w:tab w:val="num" w:pos="1833"/>
        </w:tabs>
        <w:ind w:left="1833" w:hanging="393"/>
      </w:pPr>
      <w:rPr>
        <w:rFonts w:ascii="Arial" w:eastAsia="Arial" w:hAnsi="Arial" w:cs="Arial"/>
        <w:position w:val="0"/>
      </w:rPr>
    </w:lvl>
    <w:lvl w:ilvl="5">
      <w:start w:val="1"/>
      <w:numFmt w:val="decimal"/>
      <w:lvlText w:val="%6)"/>
      <w:lvlJc w:val="left"/>
      <w:pPr>
        <w:tabs>
          <w:tab w:val="num" w:pos="2193"/>
        </w:tabs>
        <w:ind w:left="2193" w:hanging="393"/>
      </w:pPr>
      <w:rPr>
        <w:rFonts w:ascii="Arial" w:eastAsia="Arial" w:hAnsi="Arial" w:cs="Arial"/>
        <w:position w:val="0"/>
      </w:rPr>
    </w:lvl>
    <w:lvl w:ilvl="6">
      <w:start w:val="1"/>
      <w:numFmt w:val="decimal"/>
      <w:lvlText w:val="%7)"/>
      <w:lvlJc w:val="left"/>
      <w:pPr>
        <w:tabs>
          <w:tab w:val="num" w:pos="2553"/>
        </w:tabs>
        <w:ind w:left="2553" w:hanging="393"/>
      </w:pPr>
      <w:rPr>
        <w:rFonts w:ascii="Arial" w:eastAsia="Arial" w:hAnsi="Arial" w:cs="Arial"/>
        <w:position w:val="0"/>
      </w:rPr>
    </w:lvl>
    <w:lvl w:ilvl="7">
      <w:start w:val="1"/>
      <w:numFmt w:val="decimal"/>
      <w:lvlText w:val="%8)"/>
      <w:lvlJc w:val="left"/>
      <w:pPr>
        <w:tabs>
          <w:tab w:val="num" w:pos="2913"/>
        </w:tabs>
        <w:ind w:left="2913" w:hanging="393"/>
      </w:pPr>
      <w:rPr>
        <w:rFonts w:ascii="Arial" w:eastAsia="Arial" w:hAnsi="Arial" w:cs="Arial"/>
        <w:position w:val="0"/>
      </w:rPr>
    </w:lvl>
    <w:lvl w:ilvl="8">
      <w:start w:val="1"/>
      <w:numFmt w:val="decimal"/>
      <w:lvlText w:val="%9)"/>
      <w:lvlJc w:val="left"/>
      <w:pPr>
        <w:tabs>
          <w:tab w:val="num" w:pos="3273"/>
        </w:tabs>
        <w:ind w:left="3273" w:hanging="393"/>
      </w:pPr>
      <w:rPr>
        <w:rFonts w:ascii="Arial" w:eastAsia="Arial" w:hAnsi="Arial" w:cs="Arial"/>
        <w:position w:val="0"/>
      </w:rPr>
    </w:lvl>
  </w:abstractNum>
  <w:abstractNum w:abstractNumId="66">
    <w:nsid w:val="71966551"/>
    <w:multiLevelType w:val="multilevel"/>
    <w:tmpl w:val="327E93F4"/>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67">
    <w:nsid w:val="71DE1A25"/>
    <w:multiLevelType w:val="multilevel"/>
    <w:tmpl w:val="87A44002"/>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68">
    <w:nsid w:val="72725099"/>
    <w:multiLevelType w:val="multilevel"/>
    <w:tmpl w:val="61EABCBE"/>
    <w:styleLink w:val="List21"/>
    <w:lvl w:ilvl="0">
      <w:start w:val="1"/>
      <w:numFmt w:val="decimal"/>
      <w:lvlText w:val="%1)"/>
      <w:lvlJc w:val="left"/>
      <w:pPr>
        <w:tabs>
          <w:tab w:val="num" w:pos="360"/>
        </w:tabs>
        <w:ind w:left="360" w:hanging="360"/>
      </w:pPr>
      <w:rPr>
        <w:rFonts w:ascii="Arial" w:eastAsia="Arial" w:hAnsi="Arial" w:cs="Arial"/>
        <w:position w:val="0"/>
      </w:rPr>
    </w:lvl>
    <w:lvl w:ilvl="1">
      <w:start w:val="1"/>
      <w:numFmt w:val="lowerLetter"/>
      <w:lvlText w:val="%2)"/>
      <w:lvlJc w:val="left"/>
      <w:pPr>
        <w:tabs>
          <w:tab w:val="num" w:pos="720"/>
        </w:tabs>
        <w:ind w:left="720" w:hanging="360"/>
      </w:pPr>
      <w:rPr>
        <w:rFonts w:ascii="Arial" w:eastAsia="Arial" w:hAnsi="Arial" w:cs="Arial"/>
        <w:position w:val="0"/>
      </w:rPr>
    </w:lvl>
    <w:lvl w:ilvl="2">
      <w:start w:val="1"/>
      <w:numFmt w:val="lowerRoman"/>
      <w:lvlText w:val="%3)"/>
      <w:lvlJc w:val="left"/>
      <w:pPr>
        <w:tabs>
          <w:tab w:val="num" w:pos="1080"/>
        </w:tabs>
        <w:ind w:left="1080" w:hanging="360"/>
      </w:pPr>
      <w:rPr>
        <w:rFonts w:ascii="Arial" w:eastAsia="Arial" w:hAnsi="Arial" w:cs="Arial"/>
        <w:position w:val="0"/>
      </w:rPr>
    </w:lvl>
    <w:lvl w:ilvl="3">
      <w:start w:val="1"/>
      <w:numFmt w:val="decimal"/>
      <w:lvlText w:val="(%4)"/>
      <w:lvlJc w:val="left"/>
      <w:pPr>
        <w:tabs>
          <w:tab w:val="num" w:pos="1440"/>
        </w:tabs>
        <w:ind w:left="1440" w:hanging="360"/>
      </w:pPr>
      <w:rPr>
        <w:rFonts w:ascii="Arial" w:eastAsia="Arial" w:hAnsi="Arial" w:cs="Arial"/>
        <w:position w:val="0"/>
      </w:rPr>
    </w:lvl>
    <w:lvl w:ilvl="4">
      <w:start w:val="1"/>
      <w:numFmt w:val="lowerLetter"/>
      <w:lvlText w:val="(%5)"/>
      <w:lvlJc w:val="left"/>
      <w:pPr>
        <w:tabs>
          <w:tab w:val="num" w:pos="1800"/>
        </w:tabs>
        <w:ind w:left="1800" w:hanging="360"/>
      </w:pPr>
      <w:rPr>
        <w:rFonts w:ascii="Arial" w:eastAsia="Arial" w:hAnsi="Arial" w:cs="Arial"/>
        <w:position w:val="0"/>
      </w:rPr>
    </w:lvl>
    <w:lvl w:ilvl="5">
      <w:start w:val="1"/>
      <w:numFmt w:val="lowerRoman"/>
      <w:lvlText w:val="(%6)"/>
      <w:lvlJc w:val="left"/>
      <w:pPr>
        <w:tabs>
          <w:tab w:val="num" w:pos="2160"/>
        </w:tabs>
        <w:ind w:left="2160" w:hanging="360"/>
      </w:pPr>
      <w:rPr>
        <w:rFonts w:ascii="Arial" w:eastAsia="Arial" w:hAnsi="Arial" w:cs="Arial"/>
        <w:position w:val="0"/>
      </w:rPr>
    </w:lvl>
    <w:lvl w:ilvl="6">
      <w:start w:val="1"/>
      <w:numFmt w:val="decimal"/>
      <w:lvlText w:val="%7."/>
      <w:lvlJc w:val="left"/>
      <w:pPr>
        <w:tabs>
          <w:tab w:val="num" w:pos="2520"/>
        </w:tabs>
        <w:ind w:left="2520" w:hanging="360"/>
      </w:pPr>
      <w:rPr>
        <w:rFonts w:ascii="Arial" w:eastAsia="Arial" w:hAnsi="Arial" w:cs="Arial"/>
        <w:position w:val="0"/>
      </w:rPr>
    </w:lvl>
    <w:lvl w:ilvl="7">
      <w:start w:val="1"/>
      <w:numFmt w:val="lowerLetter"/>
      <w:lvlText w:val="%8."/>
      <w:lvlJc w:val="left"/>
      <w:pPr>
        <w:tabs>
          <w:tab w:val="num" w:pos="2880"/>
        </w:tabs>
        <w:ind w:left="2880" w:hanging="360"/>
      </w:pPr>
      <w:rPr>
        <w:rFonts w:ascii="Arial" w:eastAsia="Arial" w:hAnsi="Arial" w:cs="Arial"/>
        <w:position w:val="0"/>
      </w:rPr>
    </w:lvl>
    <w:lvl w:ilvl="8">
      <w:start w:val="1"/>
      <w:numFmt w:val="lowerRoman"/>
      <w:lvlText w:val="%9."/>
      <w:lvlJc w:val="left"/>
      <w:pPr>
        <w:tabs>
          <w:tab w:val="num" w:pos="3240"/>
        </w:tabs>
        <w:ind w:left="3240" w:hanging="360"/>
      </w:pPr>
      <w:rPr>
        <w:rFonts w:ascii="Arial" w:eastAsia="Arial" w:hAnsi="Arial" w:cs="Arial"/>
        <w:position w:val="0"/>
      </w:rPr>
    </w:lvl>
  </w:abstractNum>
  <w:abstractNum w:abstractNumId="69">
    <w:nsid w:val="73171875"/>
    <w:multiLevelType w:val="multilevel"/>
    <w:tmpl w:val="E276814A"/>
    <w:styleLink w:val="List13"/>
    <w:lvl w:ilvl="0">
      <w:numFmt w:val="bullet"/>
      <w:lvlText w:val="•"/>
      <w:lvlJc w:val="left"/>
      <w:rPr>
        <w:rFonts w:ascii="Calibri" w:eastAsia="Calibri" w:hAnsi="Calibri" w:cs="Calibri"/>
        <w:position w:val="0"/>
      </w:rPr>
    </w:lvl>
    <w:lvl w:ilvl="1">
      <w:start w:val="1"/>
      <w:numFmt w:val="bullet"/>
      <w:lvlText w:val="o"/>
      <w:lvlJc w:val="left"/>
      <w:rPr>
        <w:rFonts w:ascii="Cambria" w:eastAsia="Cambria" w:hAnsi="Cambria" w:cs="Cambria"/>
        <w:position w:val="0"/>
      </w:rPr>
    </w:lvl>
    <w:lvl w:ilvl="2">
      <w:start w:val="1"/>
      <w:numFmt w:val="bullet"/>
      <w:lvlText w:val="▪"/>
      <w:lvlJc w:val="left"/>
      <w:rPr>
        <w:rFonts w:ascii="Cambria" w:eastAsia="Cambria" w:hAnsi="Cambria" w:cs="Cambria"/>
        <w:position w:val="0"/>
      </w:rPr>
    </w:lvl>
    <w:lvl w:ilvl="3">
      <w:start w:val="1"/>
      <w:numFmt w:val="bullet"/>
      <w:lvlText w:val="•"/>
      <w:lvlJc w:val="left"/>
      <w:rPr>
        <w:rFonts w:ascii="Cambria" w:eastAsia="Cambria" w:hAnsi="Cambria" w:cs="Cambria"/>
        <w:position w:val="0"/>
      </w:rPr>
    </w:lvl>
    <w:lvl w:ilvl="4">
      <w:start w:val="1"/>
      <w:numFmt w:val="bullet"/>
      <w:lvlText w:val="o"/>
      <w:lvlJc w:val="left"/>
      <w:rPr>
        <w:rFonts w:ascii="Cambria" w:eastAsia="Cambria" w:hAnsi="Cambria" w:cs="Cambria"/>
        <w:position w:val="0"/>
      </w:rPr>
    </w:lvl>
    <w:lvl w:ilvl="5">
      <w:start w:val="1"/>
      <w:numFmt w:val="bullet"/>
      <w:lvlText w:val="▪"/>
      <w:lvlJc w:val="left"/>
      <w:rPr>
        <w:rFonts w:ascii="Cambria" w:eastAsia="Cambria" w:hAnsi="Cambria" w:cs="Cambria"/>
        <w:position w:val="0"/>
      </w:rPr>
    </w:lvl>
    <w:lvl w:ilvl="6">
      <w:start w:val="1"/>
      <w:numFmt w:val="bullet"/>
      <w:lvlText w:val="•"/>
      <w:lvlJc w:val="left"/>
      <w:rPr>
        <w:rFonts w:ascii="Cambria" w:eastAsia="Cambria" w:hAnsi="Cambria" w:cs="Cambria"/>
        <w:position w:val="0"/>
      </w:rPr>
    </w:lvl>
    <w:lvl w:ilvl="7">
      <w:start w:val="1"/>
      <w:numFmt w:val="bullet"/>
      <w:lvlText w:val="o"/>
      <w:lvlJc w:val="left"/>
      <w:rPr>
        <w:rFonts w:ascii="Cambria" w:eastAsia="Cambria" w:hAnsi="Cambria" w:cs="Cambria"/>
        <w:position w:val="0"/>
      </w:rPr>
    </w:lvl>
    <w:lvl w:ilvl="8">
      <w:start w:val="1"/>
      <w:numFmt w:val="bullet"/>
      <w:lvlText w:val="▪"/>
      <w:lvlJc w:val="left"/>
      <w:rPr>
        <w:rFonts w:ascii="Cambria" w:eastAsia="Cambria" w:hAnsi="Cambria" w:cs="Cambria"/>
        <w:position w:val="0"/>
      </w:rPr>
    </w:lvl>
  </w:abstractNum>
  <w:abstractNum w:abstractNumId="70">
    <w:nsid w:val="75A47541"/>
    <w:multiLevelType w:val="multilevel"/>
    <w:tmpl w:val="0F26AA1A"/>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71">
    <w:nsid w:val="768757A4"/>
    <w:multiLevelType w:val="multilevel"/>
    <w:tmpl w:val="DB86511A"/>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72">
    <w:nsid w:val="76DC1725"/>
    <w:multiLevelType w:val="multilevel"/>
    <w:tmpl w:val="1BE80C9A"/>
    <w:lvl w:ilvl="0">
      <w:start w:val="1"/>
      <w:numFmt w:val="bullet"/>
      <w:lvlText w:val="•"/>
      <w:lvlJc w:val="left"/>
      <w:pPr>
        <w:tabs>
          <w:tab w:val="num" w:pos="1444"/>
        </w:tabs>
        <w:ind w:left="1444" w:hanging="196"/>
      </w:pPr>
      <w:rPr>
        <w:rFonts w:ascii="Arial" w:eastAsia="Arial" w:hAnsi="Arial" w:cs="Arial"/>
        <w:position w:val="-2"/>
        <w:sz w:val="24"/>
        <w:szCs w:val="24"/>
      </w:rPr>
    </w:lvl>
    <w:lvl w:ilvl="1">
      <w:numFmt w:val="bullet"/>
      <w:lvlText w:val="•"/>
      <w:lvlJc w:val="left"/>
      <w:pPr>
        <w:tabs>
          <w:tab w:val="num" w:pos="1624"/>
        </w:tabs>
        <w:ind w:left="1624" w:hanging="196"/>
      </w:pPr>
      <w:rPr>
        <w:rFonts w:ascii="Arial" w:eastAsia="Arial" w:hAnsi="Arial" w:cs="Arial"/>
        <w:position w:val="-2"/>
        <w:sz w:val="24"/>
        <w:szCs w:val="24"/>
      </w:rPr>
    </w:lvl>
    <w:lvl w:ilvl="2">
      <w:start w:val="1"/>
      <w:numFmt w:val="bullet"/>
      <w:lvlText w:val="•"/>
      <w:lvlJc w:val="left"/>
      <w:pPr>
        <w:tabs>
          <w:tab w:val="num" w:pos="1804"/>
        </w:tabs>
        <w:ind w:left="1804" w:hanging="196"/>
      </w:pPr>
      <w:rPr>
        <w:rFonts w:ascii="Arial" w:eastAsia="Arial" w:hAnsi="Arial" w:cs="Arial"/>
        <w:position w:val="-2"/>
        <w:sz w:val="24"/>
        <w:szCs w:val="24"/>
      </w:rPr>
    </w:lvl>
    <w:lvl w:ilvl="3">
      <w:start w:val="1"/>
      <w:numFmt w:val="bullet"/>
      <w:lvlText w:val="•"/>
      <w:lvlJc w:val="left"/>
      <w:pPr>
        <w:tabs>
          <w:tab w:val="num" w:pos="1984"/>
        </w:tabs>
        <w:ind w:left="1984" w:hanging="196"/>
      </w:pPr>
      <w:rPr>
        <w:rFonts w:ascii="Arial" w:eastAsia="Arial" w:hAnsi="Arial" w:cs="Arial"/>
        <w:position w:val="-2"/>
        <w:sz w:val="24"/>
        <w:szCs w:val="24"/>
      </w:rPr>
    </w:lvl>
    <w:lvl w:ilvl="4">
      <w:start w:val="1"/>
      <w:numFmt w:val="bullet"/>
      <w:lvlText w:val="•"/>
      <w:lvlJc w:val="left"/>
      <w:pPr>
        <w:tabs>
          <w:tab w:val="num" w:pos="2164"/>
        </w:tabs>
        <w:ind w:left="2164" w:hanging="196"/>
      </w:pPr>
      <w:rPr>
        <w:rFonts w:ascii="Arial" w:eastAsia="Arial" w:hAnsi="Arial" w:cs="Arial"/>
        <w:position w:val="-2"/>
        <w:sz w:val="24"/>
        <w:szCs w:val="24"/>
      </w:rPr>
    </w:lvl>
    <w:lvl w:ilvl="5">
      <w:start w:val="1"/>
      <w:numFmt w:val="bullet"/>
      <w:lvlText w:val="•"/>
      <w:lvlJc w:val="left"/>
      <w:pPr>
        <w:tabs>
          <w:tab w:val="num" w:pos="2344"/>
        </w:tabs>
        <w:ind w:left="2344" w:hanging="196"/>
      </w:pPr>
      <w:rPr>
        <w:rFonts w:ascii="Arial" w:eastAsia="Arial" w:hAnsi="Arial" w:cs="Arial"/>
        <w:position w:val="-2"/>
        <w:sz w:val="24"/>
        <w:szCs w:val="24"/>
      </w:rPr>
    </w:lvl>
    <w:lvl w:ilvl="6">
      <w:start w:val="1"/>
      <w:numFmt w:val="bullet"/>
      <w:lvlText w:val="•"/>
      <w:lvlJc w:val="left"/>
      <w:pPr>
        <w:tabs>
          <w:tab w:val="num" w:pos="2524"/>
        </w:tabs>
        <w:ind w:left="2524" w:hanging="196"/>
      </w:pPr>
      <w:rPr>
        <w:rFonts w:ascii="Arial" w:eastAsia="Arial" w:hAnsi="Arial" w:cs="Arial"/>
        <w:position w:val="-2"/>
        <w:sz w:val="24"/>
        <w:szCs w:val="24"/>
      </w:rPr>
    </w:lvl>
    <w:lvl w:ilvl="7">
      <w:start w:val="1"/>
      <w:numFmt w:val="bullet"/>
      <w:lvlText w:val="•"/>
      <w:lvlJc w:val="left"/>
      <w:pPr>
        <w:tabs>
          <w:tab w:val="num" w:pos="2704"/>
        </w:tabs>
        <w:ind w:left="2704" w:hanging="196"/>
      </w:pPr>
      <w:rPr>
        <w:rFonts w:ascii="Arial" w:eastAsia="Arial" w:hAnsi="Arial" w:cs="Arial"/>
        <w:position w:val="-2"/>
        <w:sz w:val="24"/>
        <w:szCs w:val="24"/>
      </w:rPr>
    </w:lvl>
    <w:lvl w:ilvl="8">
      <w:start w:val="1"/>
      <w:numFmt w:val="bullet"/>
      <w:lvlText w:val="•"/>
      <w:lvlJc w:val="left"/>
      <w:pPr>
        <w:tabs>
          <w:tab w:val="num" w:pos="2884"/>
        </w:tabs>
        <w:ind w:left="2884" w:hanging="196"/>
      </w:pPr>
      <w:rPr>
        <w:rFonts w:ascii="Arial" w:eastAsia="Arial" w:hAnsi="Arial" w:cs="Arial"/>
        <w:position w:val="-2"/>
        <w:sz w:val="24"/>
        <w:szCs w:val="24"/>
      </w:rPr>
    </w:lvl>
  </w:abstractNum>
  <w:abstractNum w:abstractNumId="73">
    <w:nsid w:val="788C6871"/>
    <w:multiLevelType w:val="multilevel"/>
    <w:tmpl w:val="F1782348"/>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74">
    <w:nsid w:val="79395932"/>
    <w:multiLevelType w:val="multilevel"/>
    <w:tmpl w:val="513C04C2"/>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75">
    <w:nsid w:val="7CF474BA"/>
    <w:multiLevelType w:val="multilevel"/>
    <w:tmpl w:val="9BA0DA58"/>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76">
    <w:nsid w:val="7D393FA9"/>
    <w:multiLevelType w:val="multilevel"/>
    <w:tmpl w:val="F5A2DF1A"/>
    <w:lvl w:ilvl="0">
      <w:numFmt w:val="bullet"/>
      <w:lvlText w:val="•"/>
      <w:lvlJc w:val="left"/>
      <w:pPr>
        <w:tabs>
          <w:tab w:val="num" w:pos="720"/>
        </w:tabs>
        <w:ind w:left="720" w:hanging="360"/>
      </w:pPr>
      <w:rPr>
        <w:rFonts w:ascii="Calibri" w:eastAsia="Calibri" w:hAnsi="Calibri" w:cs="Calibri"/>
        <w:position w:val="0"/>
      </w:rPr>
    </w:lvl>
    <w:lvl w:ilvl="1">
      <w:start w:val="1"/>
      <w:numFmt w:val="bullet"/>
      <w:lvlText w:val="o"/>
      <w:lvlJc w:val="left"/>
      <w:pPr>
        <w:tabs>
          <w:tab w:val="num" w:pos="1440"/>
        </w:tabs>
        <w:ind w:left="1440" w:hanging="360"/>
      </w:pPr>
      <w:rPr>
        <w:rFonts w:ascii="Calibri" w:eastAsia="Calibri" w:hAnsi="Calibri" w:cs="Calibri"/>
        <w:position w:val="0"/>
      </w:rPr>
    </w:lvl>
    <w:lvl w:ilvl="2">
      <w:start w:val="1"/>
      <w:numFmt w:val="bullet"/>
      <w:lvlText w:val="▪"/>
      <w:lvlJc w:val="left"/>
      <w:pPr>
        <w:tabs>
          <w:tab w:val="num" w:pos="2160"/>
        </w:tabs>
        <w:ind w:left="2160" w:hanging="360"/>
      </w:pPr>
      <w:rPr>
        <w:rFonts w:ascii="Calibri" w:eastAsia="Calibri" w:hAnsi="Calibri" w:cs="Calibri"/>
        <w:position w:val="0"/>
      </w:rPr>
    </w:lvl>
    <w:lvl w:ilvl="3">
      <w:start w:val="1"/>
      <w:numFmt w:val="bullet"/>
      <w:lvlText w:val="•"/>
      <w:lvlJc w:val="left"/>
      <w:pPr>
        <w:tabs>
          <w:tab w:val="num" w:pos="2880"/>
        </w:tabs>
        <w:ind w:left="2880" w:hanging="360"/>
      </w:pPr>
      <w:rPr>
        <w:rFonts w:ascii="Calibri" w:eastAsia="Calibri" w:hAnsi="Calibri" w:cs="Calibri"/>
        <w:position w:val="0"/>
      </w:rPr>
    </w:lvl>
    <w:lvl w:ilvl="4">
      <w:start w:val="1"/>
      <w:numFmt w:val="bullet"/>
      <w:lvlText w:val="o"/>
      <w:lvlJc w:val="left"/>
      <w:pPr>
        <w:tabs>
          <w:tab w:val="num" w:pos="3600"/>
        </w:tabs>
        <w:ind w:left="3600" w:hanging="360"/>
      </w:pPr>
      <w:rPr>
        <w:rFonts w:ascii="Calibri" w:eastAsia="Calibri" w:hAnsi="Calibri" w:cs="Calibri"/>
        <w:position w:val="0"/>
      </w:rPr>
    </w:lvl>
    <w:lvl w:ilvl="5">
      <w:start w:val="1"/>
      <w:numFmt w:val="bullet"/>
      <w:lvlText w:val="▪"/>
      <w:lvlJc w:val="left"/>
      <w:pPr>
        <w:tabs>
          <w:tab w:val="num" w:pos="4320"/>
        </w:tabs>
        <w:ind w:left="4320" w:hanging="360"/>
      </w:pPr>
      <w:rPr>
        <w:rFonts w:ascii="Calibri" w:eastAsia="Calibri" w:hAnsi="Calibri" w:cs="Calibri"/>
        <w:position w:val="0"/>
      </w:rPr>
    </w:lvl>
    <w:lvl w:ilvl="6">
      <w:start w:val="1"/>
      <w:numFmt w:val="bullet"/>
      <w:lvlText w:val="•"/>
      <w:lvlJc w:val="left"/>
      <w:pPr>
        <w:tabs>
          <w:tab w:val="num" w:pos="5040"/>
        </w:tabs>
        <w:ind w:left="5040" w:hanging="360"/>
      </w:pPr>
      <w:rPr>
        <w:rFonts w:ascii="Calibri" w:eastAsia="Calibri" w:hAnsi="Calibri" w:cs="Calibri"/>
        <w:position w:val="0"/>
      </w:rPr>
    </w:lvl>
    <w:lvl w:ilvl="7">
      <w:start w:val="1"/>
      <w:numFmt w:val="bullet"/>
      <w:lvlText w:val="o"/>
      <w:lvlJc w:val="left"/>
      <w:pPr>
        <w:tabs>
          <w:tab w:val="num" w:pos="5760"/>
        </w:tabs>
        <w:ind w:left="5760" w:hanging="360"/>
      </w:pPr>
      <w:rPr>
        <w:rFonts w:ascii="Calibri" w:eastAsia="Calibri" w:hAnsi="Calibri" w:cs="Calibri"/>
        <w:position w:val="0"/>
      </w:rPr>
    </w:lvl>
    <w:lvl w:ilvl="8">
      <w:start w:val="1"/>
      <w:numFmt w:val="bullet"/>
      <w:lvlText w:val="▪"/>
      <w:lvlJc w:val="left"/>
      <w:pPr>
        <w:tabs>
          <w:tab w:val="num" w:pos="6480"/>
        </w:tabs>
        <w:ind w:left="6480" w:hanging="360"/>
      </w:pPr>
      <w:rPr>
        <w:rFonts w:ascii="Calibri" w:eastAsia="Calibri" w:hAnsi="Calibri" w:cs="Calibri"/>
        <w:position w:val="0"/>
      </w:rPr>
    </w:lvl>
  </w:abstractNum>
  <w:abstractNum w:abstractNumId="77">
    <w:nsid w:val="7E6F2C1C"/>
    <w:multiLevelType w:val="multilevel"/>
    <w:tmpl w:val="C18E041C"/>
    <w:lvl w:ilvl="0">
      <w:start w:val="1"/>
      <w:numFmt w:val="bullet"/>
      <w:lvlText w:val="•"/>
      <w:lvlJc w:val="left"/>
      <w:pPr>
        <w:tabs>
          <w:tab w:val="num" w:pos="196"/>
        </w:tabs>
        <w:ind w:left="196" w:hanging="196"/>
      </w:pPr>
      <w:rPr>
        <w:rFonts w:ascii="Arial" w:eastAsia="Arial" w:hAnsi="Arial" w:cs="Arial"/>
        <w:position w:val="-2"/>
      </w:rPr>
    </w:lvl>
    <w:lvl w:ilvl="1">
      <w:numFmt w:val="bullet"/>
      <w:lvlText w:val="•"/>
      <w:lvlJc w:val="left"/>
      <w:pPr>
        <w:tabs>
          <w:tab w:val="num" w:pos="376"/>
        </w:tabs>
        <w:ind w:left="376" w:hanging="196"/>
      </w:pPr>
      <w:rPr>
        <w:rFonts w:ascii="Arial" w:eastAsia="Arial" w:hAnsi="Arial" w:cs="Arial"/>
        <w:position w:val="-2"/>
      </w:rPr>
    </w:lvl>
    <w:lvl w:ilvl="2">
      <w:start w:val="1"/>
      <w:numFmt w:val="bullet"/>
      <w:lvlText w:val="•"/>
      <w:lvlJc w:val="left"/>
      <w:pPr>
        <w:tabs>
          <w:tab w:val="num" w:pos="556"/>
        </w:tabs>
        <w:ind w:left="556" w:hanging="196"/>
      </w:pPr>
      <w:rPr>
        <w:rFonts w:ascii="Arial" w:eastAsia="Arial" w:hAnsi="Arial" w:cs="Arial"/>
        <w:position w:val="-2"/>
      </w:rPr>
    </w:lvl>
    <w:lvl w:ilvl="3">
      <w:start w:val="1"/>
      <w:numFmt w:val="bullet"/>
      <w:lvlText w:val="•"/>
      <w:lvlJc w:val="left"/>
      <w:pPr>
        <w:tabs>
          <w:tab w:val="num" w:pos="736"/>
        </w:tabs>
        <w:ind w:left="736" w:hanging="196"/>
      </w:pPr>
      <w:rPr>
        <w:rFonts w:ascii="Arial" w:eastAsia="Arial" w:hAnsi="Arial" w:cs="Arial"/>
        <w:position w:val="-2"/>
      </w:rPr>
    </w:lvl>
    <w:lvl w:ilvl="4">
      <w:start w:val="1"/>
      <w:numFmt w:val="bullet"/>
      <w:lvlText w:val="•"/>
      <w:lvlJc w:val="left"/>
      <w:pPr>
        <w:tabs>
          <w:tab w:val="num" w:pos="916"/>
        </w:tabs>
        <w:ind w:left="916" w:hanging="196"/>
      </w:pPr>
      <w:rPr>
        <w:rFonts w:ascii="Arial" w:eastAsia="Arial" w:hAnsi="Arial" w:cs="Arial"/>
        <w:position w:val="-2"/>
      </w:rPr>
    </w:lvl>
    <w:lvl w:ilvl="5">
      <w:start w:val="1"/>
      <w:numFmt w:val="bullet"/>
      <w:lvlText w:val="•"/>
      <w:lvlJc w:val="left"/>
      <w:pPr>
        <w:tabs>
          <w:tab w:val="num" w:pos="1096"/>
        </w:tabs>
        <w:ind w:left="1096" w:hanging="196"/>
      </w:pPr>
      <w:rPr>
        <w:rFonts w:ascii="Arial" w:eastAsia="Arial" w:hAnsi="Arial" w:cs="Arial"/>
        <w:position w:val="-2"/>
      </w:rPr>
    </w:lvl>
    <w:lvl w:ilvl="6">
      <w:start w:val="1"/>
      <w:numFmt w:val="bullet"/>
      <w:lvlText w:val="•"/>
      <w:lvlJc w:val="left"/>
      <w:pPr>
        <w:tabs>
          <w:tab w:val="num" w:pos="1276"/>
        </w:tabs>
        <w:ind w:left="1276" w:hanging="196"/>
      </w:pPr>
      <w:rPr>
        <w:rFonts w:ascii="Arial" w:eastAsia="Arial" w:hAnsi="Arial" w:cs="Arial"/>
        <w:position w:val="-2"/>
      </w:rPr>
    </w:lvl>
    <w:lvl w:ilvl="7">
      <w:start w:val="1"/>
      <w:numFmt w:val="bullet"/>
      <w:lvlText w:val="•"/>
      <w:lvlJc w:val="left"/>
      <w:pPr>
        <w:tabs>
          <w:tab w:val="num" w:pos="1456"/>
        </w:tabs>
        <w:ind w:left="1456" w:hanging="196"/>
      </w:pPr>
      <w:rPr>
        <w:rFonts w:ascii="Arial" w:eastAsia="Arial" w:hAnsi="Arial" w:cs="Arial"/>
        <w:position w:val="-2"/>
      </w:rPr>
    </w:lvl>
    <w:lvl w:ilvl="8">
      <w:start w:val="1"/>
      <w:numFmt w:val="bullet"/>
      <w:lvlText w:val="•"/>
      <w:lvlJc w:val="left"/>
      <w:pPr>
        <w:tabs>
          <w:tab w:val="num" w:pos="1636"/>
        </w:tabs>
        <w:ind w:left="1636" w:hanging="196"/>
      </w:pPr>
      <w:rPr>
        <w:rFonts w:ascii="Arial" w:eastAsia="Arial" w:hAnsi="Arial" w:cs="Arial"/>
        <w:position w:val="-2"/>
      </w:rPr>
    </w:lvl>
  </w:abstractNum>
  <w:abstractNum w:abstractNumId="78">
    <w:nsid w:val="7F7B6C2F"/>
    <w:multiLevelType w:val="multilevel"/>
    <w:tmpl w:val="51C685B6"/>
    <w:lvl w:ilvl="0">
      <w:numFmt w:val="bullet"/>
      <w:lvlText w:val="•"/>
      <w:lvlJc w:val="left"/>
      <w:pPr>
        <w:tabs>
          <w:tab w:val="num" w:pos="720"/>
        </w:tabs>
        <w:ind w:left="720" w:hanging="360"/>
      </w:pPr>
      <w:rPr>
        <w:rFonts w:ascii="Calibri" w:eastAsia="Calibri" w:hAnsi="Calibri" w:cs="Calibri"/>
        <w:position w:val="0"/>
      </w:rPr>
    </w:lvl>
    <w:lvl w:ilvl="1">
      <w:start w:val="1"/>
      <w:numFmt w:val="bullet"/>
      <w:lvlText w:val="o"/>
      <w:lvlJc w:val="left"/>
      <w:pPr>
        <w:tabs>
          <w:tab w:val="num" w:pos="1440"/>
        </w:tabs>
        <w:ind w:left="1440" w:hanging="360"/>
      </w:pPr>
      <w:rPr>
        <w:rFonts w:ascii="Calibri" w:eastAsia="Calibri" w:hAnsi="Calibri" w:cs="Calibri"/>
        <w:position w:val="0"/>
      </w:rPr>
    </w:lvl>
    <w:lvl w:ilvl="2">
      <w:start w:val="1"/>
      <w:numFmt w:val="bullet"/>
      <w:lvlText w:val="▪"/>
      <w:lvlJc w:val="left"/>
      <w:pPr>
        <w:tabs>
          <w:tab w:val="num" w:pos="2160"/>
        </w:tabs>
        <w:ind w:left="2160" w:hanging="360"/>
      </w:pPr>
      <w:rPr>
        <w:rFonts w:ascii="Calibri" w:eastAsia="Calibri" w:hAnsi="Calibri" w:cs="Calibri"/>
        <w:position w:val="0"/>
      </w:rPr>
    </w:lvl>
    <w:lvl w:ilvl="3">
      <w:start w:val="1"/>
      <w:numFmt w:val="bullet"/>
      <w:lvlText w:val="•"/>
      <w:lvlJc w:val="left"/>
      <w:pPr>
        <w:tabs>
          <w:tab w:val="num" w:pos="2880"/>
        </w:tabs>
        <w:ind w:left="2880" w:hanging="360"/>
      </w:pPr>
      <w:rPr>
        <w:rFonts w:ascii="Calibri" w:eastAsia="Calibri" w:hAnsi="Calibri" w:cs="Calibri"/>
        <w:position w:val="0"/>
      </w:rPr>
    </w:lvl>
    <w:lvl w:ilvl="4">
      <w:start w:val="1"/>
      <w:numFmt w:val="bullet"/>
      <w:lvlText w:val="o"/>
      <w:lvlJc w:val="left"/>
      <w:pPr>
        <w:tabs>
          <w:tab w:val="num" w:pos="3600"/>
        </w:tabs>
        <w:ind w:left="3600" w:hanging="360"/>
      </w:pPr>
      <w:rPr>
        <w:rFonts w:ascii="Calibri" w:eastAsia="Calibri" w:hAnsi="Calibri" w:cs="Calibri"/>
        <w:position w:val="0"/>
      </w:rPr>
    </w:lvl>
    <w:lvl w:ilvl="5">
      <w:start w:val="1"/>
      <w:numFmt w:val="bullet"/>
      <w:lvlText w:val="▪"/>
      <w:lvlJc w:val="left"/>
      <w:pPr>
        <w:tabs>
          <w:tab w:val="num" w:pos="4320"/>
        </w:tabs>
        <w:ind w:left="4320" w:hanging="360"/>
      </w:pPr>
      <w:rPr>
        <w:rFonts w:ascii="Calibri" w:eastAsia="Calibri" w:hAnsi="Calibri" w:cs="Calibri"/>
        <w:position w:val="0"/>
      </w:rPr>
    </w:lvl>
    <w:lvl w:ilvl="6">
      <w:start w:val="1"/>
      <w:numFmt w:val="bullet"/>
      <w:lvlText w:val="•"/>
      <w:lvlJc w:val="left"/>
      <w:pPr>
        <w:tabs>
          <w:tab w:val="num" w:pos="5040"/>
        </w:tabs>
        <w:ind w:left="5040" w:hanging="360"/>
      </w:pPr>
      <w:rPr>
        <w:rFonts w:ascii="Calibri" w:eastAsia="Calibri" w:hAnsi="Calibri" w:cs="Calibri"/>
        <w:position w:val="0"/>
      </w:rPr>
    </w:lvl>
    <w:lvl w:ilvl="7">
      <w:start w:val="1"/>
      <w:numFmt w:val="bullet"/>
      <w:lvlText w:val="o"/>
      <w:lvlJc w:val="left"/>
      <w:pPr>
        <w:tabs>
          <w:tab w:val="num" w:pos="5760"/>
        </w:tabs>
        <w:ind w:left="5760" w:hanging="360"/>
      </w:pPr>
      <w:rPr>
        <w:rFonts w:ascii="Calibri" w:eastAsia="Calibri" w:hAnsi="Calibri" w:cs="Calibri"/>
        <w:position w:val="0"/>
      </w:rPr>
    </w:lvl>
    <w:lvl w:ilvl="8">
      <w:start w:val="1"/>
      <w:numFmt w:val="bullet"/>
      <w:lvlText w:val="▪"/>
      <w:lvlJc w:val="left"/>
      <w:pPr>
        <w:tabs>
          <w:tab w:val="num" w:pos="6480"/>
        </w:tabs>
        <w:ind w:left="6480" w:hanging="360"/>
      </w:pPr>
      <w:rPr>
        <w:rFonts w:ascii="Calibri" w:eastAsia="Calibri" w:hAnsi="Calibri" w:cs="Calibri"/>
        <w:position w:val="0"/>
      </w:rPr>
    </w:lvl>
  </w:abstractNum>
  <w:num w:numId="1">
    <w:abstractNumId w:val="37"/>
  </w:num>
  <w:num w:numId="2">
    <w:abstractNumId w:val="1"/>
  </w:num>
  <w:num w:numId="3">
    <w:abstractNumId w:val="68"/>
  </w:num>
  <w:num w:numId="4">
    <w:abstractNumId w:val="15"/>
  </w:num>
  <w:num w:numId="5">
    <w:abstractNumId w:val="13"/>
  </w:num>
  <w:num w:numId="6">
    <w:abstractNumId w:val="16"/>
  </w:num>
  <w:num w:numId="7">
    <w:abstractNumId w:val="69"/>
  </w:num>
  <w:num w:numId="8">
    <w:abstractNumId w:val="60"/>
  </w:num>
  <w:num w:numId="9">
    <w:abstractNumId w:val="23"/>
  </w:num>
  <w:num w:numId="10">
    <w:abstractNumId w:val="41"/>
  </w:num>
  <w:num w:numId="11">
    <w:abstractNumId w:val="24"/>
  </w:num>
  <w:num w:numId="12">
    <w:abstractNumId w:val="72"/>
  </w:num>
  <w:num w:numId="13">
    <w:abstractNumId w:val="71"/>
  </w:num>
  <w:num w:numId="14">
    <w:abstractNumId w:val="49"/>
  </w:num>
  <w:num w:numId="15">
    <w:abstractNumId w:val="63"/>
  </w:num>
  <w:num w:numId="16">
    <w:abstractNumId w:val="29"/>
  </w:num>
  <w:num w:numId="17">
    <w:abstractNumId w:val="53"/>
  </w:num>
  <w:num w:numId="18">
    <w:abstractNumId w:val="45"/>
  </w:num>
  <w:num w:numId="19">
    <w:abstractNumId w:val="56"/>
  </w:num>
  <w:num w:numId="20">
    <w:abstractNumId w:val="51"/>
  </w:num>
  <w:num w:numId="21">
    <w:abstractNumId w:val="78"/>
  </w:num>
  <w:num w:numId="22">
    <w:abstractNumId w:val="21"/>
  </w:num>
  <w:num w:numId="23">
    <w:abstractNumId w:val="76"/>
  </w:num>
  <w:num w:numId="24">
    <w:abstractNumId w:val="34"/>
  </w:num>
  <w:num w:numId="25">
    <w:abstractNumId w:val="14"/>
  </w:num>
  <w:num w:numId="26">
    <w:abstractNumId w:val="58"/>
  </w:num>
  <w:num w:numId="27">
    <w:abstractNumId w:val="2"/>
  </w:num>
  <w:num w:numId="28">
    <w:abstractNumId w:val="48"/>
  </w:num>
  <w:num w:numId="29">
    <w:abstractNumId w:val="61"/>
  </w:num>
  <w:num w:numId="30">
    <w:abstractNumId w:val="10"/>
  </w:num>
  <w:num w:numId="31">
    <w:abstractNumId w:val="74"/>
  </w:num>
  <w:num w:numId="32">
    <w:abstractNumId w:val="67"/>
  </w:num>
  <w:num w:numId="33">
    <w:abstractNumId w:val="7"/>
  </w:num>
  <w:num w:numId="34">
    <w:abstractNumId w:val="8"/>
  </w:num>
  <w:num w:numId="35">
    <w:abstractNumId w:val="35"/>
  </w:num>
  <w:num w:numId="36">
    <w:abstractNumId w:val="52"/>
  </w:num>
  <w:num w:numId="37">
    <w:abstractNumId w:val="55"/>
  </w:num>
  <w:num w:numId="38">
    <w:abstractNumId w:val="66"/>
  </w:num>
  <w:num w:numId="39">
    <w:abstractNumId w:val="26"/>
  </w:num>
  <w:num w:numId="40">
    <w:abstractNumId w:val="28"/>
  </w:num>
  <w:num w:numId="41">
    <w:abstractNumId w:val="12"/>
  </w:num>
  <w:num w:numId="42">
    <w:abstractNumId w:val="9"/>
  </w:num>
  <w:num w:numId="43">
    <w:abstractNumId w:val="62"/>
  </w:num>
  <w:num w:numId="44">
    <w:abstractNumId w:val="47"/>
  </w:num>
  <w:num w:numId="45">
    <w:abstractNumId w:val="3"/>
  </w:num>
  <w:num w:numId="46">
    <w:abstractNumId w:val="38"/>
  </w:num>
  <w:num w:numId="47">
    <w:abstractNumId w:val="6"/>
  </w:num>
  <w:num w:numId="48">
    <w:abstractNumId w:val="22"/>
  </w:num>
  <w:num w:numId="49">
    <w:abstractNumId w:val="59"/>
  </w:num>
  <w:num w:numId="50">
    <w:abstractNumId w:val="5"/>
  </w:num>
  <w:num w:numId="51">
    <w:abstractNumId w:val="19"/>
  </w:num>
  <w:num w:numId="52">
    <w:abstractNumId w:val="33"/>
  </w:num>
  <w:num w:numId="53">
    <w:abstractNumId w:val="44"/>
  </w:num>
  <w:num w:numId="54">
    <w:abstractNumId w:val="18"/>
  </w:num>
  <w:num w:numId="55">
    <w:abstractNumId w:val="43"/>
  </w:num>
  <w:num w:numId="56">
    <w:abstractNumId w:val="46"/>
  </w:num>
  <w:num w:numId="57">
    <w:abstractNumId w:val="20"/>
  </w:num>
  <w:num w:numId="58">
    <w:abstractNumId w:val="40"/>
  </w:num>
  <w:num w:numId="59">
    <w:abstractNumId w:val="50"/>
  </w:num>
  <w:num w:numId="60">
    <w:abstractNumId w:val="75"/>
  </w:num>
  <w:num w:numId="61">
    <w:abstractNumId w:val="77"/>
  </w:num>
  <w:num w:numId="62">
    <w:abstractNumId w:val="57"/>
  </w:num>
  <w:num w:numId="63">
    <w:abstractNumId w:val="42"/>
  </w:num>
  <w:num w:numId="64">
    <w:abstractNumId w:val="11"/>
  </w:num>
  <w:num w:numId="65">
    <w:abstractNumId w:val="27"/>
  </w:num>
  <w:num w:numId="66">
    <w:abstractNumId w:val="31"/>
  </w:num>
  <w:num w:numId="67">
    <w:abstractNumId w:val="0"/>
  </w:num>
  <w:num w:numId="68">
    <w:abstractNumId w:val="65"/>
  </w:num>
  <w:num w:numId="69">
    <w:abstractNumId w:val="70"/>
  </w:num>
  <w:num w:numId="70">
    <w:abstractNumId w:val="32"/>
  </w:num>
  <w:num w:numId="71">
    <w:abstractNumId w:val="73"/>
  </w:num>
  <w:num w:numId="72">
    <w:abstractNumId w:val="64"/>
  </w:num>
  <w:num w:numId="73">
    <w:abstractNumId w:val="39"/>
  </w:num>
  <w:num w:numId="74">
    <w:abstractNumId w:val="4"/>
  </w:num>
  <w:num w:numId="75">
    <w:abstractNumId w:val="25"/>
  </w:num>
  <w:num w:numId="76">
    <w:abstractNumId w:val="36"/>
  </w:num>
  <w:num w:numId="77">
    <w:abstractNumId w:val="54"/>
  </w:num>
  <w:num w:numId="78">
    <w:abstractNumId w:val="30"/>
  </w:num>
  <w:num w:numId="79">
    <w:abstractNumId w:val="1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E9"/>
    <w:rsid w:val="00010DCF"/>
    <w:rsid w:val="00021C31"/>
    <w:rsid w:val="00027CEB"/>
    <w:rsid w:val="00030715"/>
    <w:rsid w:val="0004682C"/>
    <w:rsid w:val="00047A0D"/>
    <w:rsid w:val="00053639"/>
    <w:rsid w:val="0006166E"/>
    <w:rsid w:val="000734C4"/>
    <w:rsid w:val="00073EDC"/>
    <w:rsid w:val="000771BC"/>
    <w:rsid w:val="00080E2E"/>
    <w:rsid w:val="000848B9"/>
    <w:rsid w:val="00087217"/>
    <w:rsid w:val="00090822"/>
    <w:rsid w:val="0009624B"/>
    <w:rsid w:val="000A29F5"/>
    <w:rsid w:val="000B3FEF"/>
    <w:rsid w:val="000B3FFD"/>
    <w:rsid w:val="000F710D"/>
    <w:rsid w:val="000F7A09"/>
    <w:rsid w:val="00127DD6"/>
    <w:rsid w:val="00127F54"/>
    <w:rsid w:val="0013048B"/>
    <w:rsid w:val="0014113C"/>
    <w:rsid w:val="00165EF1"/>
    <w:rsid w:val="0016670C"/>
    <w:rsid w:val="00172692"/>
    <w:rsid w:val="00172B3D"/>
    <w:rsid w:val="00190DDD"/>
    <w:rsid w:val="00193824"/>
    <w:rsid w:val="001A0DBB"/>
    <w:rsid w:val="001A3D2E"/>
    <w:rsid w:val="001A6F39"/>
    <w:rsid w:val="001B0D8A"/>
    <w:rsid w:val="001D0B37"/>
    <w:rsid w:val="001D5720"/>
    <w:rsid w:val="001D5748"/>
    <w:rsid w:val="002021EC"/>
    <w:rsid w:val="00202596"/>
    <w:rsid w:val="00204155"/>
    <w:rsid w:val="00205668"/>
    <w:rsid w:val="0020666C"/>
    <w:rsid w:val="00213729"/>
    <w:rsid w:val="00216425"/>
    <w:rsid w:val="00226C94"/>
    <w:rsid w:val="00226FA4"/>
    <w:rsid w:val="00231D4A"/>
    <w:rsid w:val="00256DC8"/>
    <w:rsid w:val="00260290"/>
    <w:rsid w:val="002621B4"/>
    <w:rsid w:val="002673B7"/>
    <w:rsid w:val="0026744C"/>
    <w:rsid w:val="00271D87"/>
    <w:rsid w:val="002725C9"/>
    <w:rsid w:val="002765CB"/>
    <w:rsid w:val="00285F36"/>
    <w:rsid w:val="002A6855"/>
    <w:rsid w:val="002B16FE"/>
    <w:rsid w:val="002C221C"/>
    <w:rsid w:val="002C48BD"/>
    <w:rsid w:val="002C7D28"/>
    <w:rsid w:val="002D3995"/>
    <w:rsid w:val="002E1535"/>
    <w:rsid w:val="002F08F0"/>
    <w:rsid w:val="002F2746"/>
    <w:rsid w:val="002F48B0"/>
    <w:rsid w:val="002F4E25"/>
    <w:rsid w:val="003047E6"/>
    <w:rsid w:val="00305B47"/>
    <w:rsid w:val="003212CF"/>
    <w:rsid w:val="003616E0"/>
    <w:rsid w:val="00366B98"/>
    <w:rsid w:val="0037391A"/>
    <w:rsid w:val="003818BB"/>
    <w:rsid w:val="003859DA"/>
    <w:rsid w:val="00387933"/>
    <w:rsid w:val="003925F0"/>
    <w:rsid w:val="003A0E34"/>
    <w:rsid w:val="003A5EB0"/>
    <w:rsid w:val="003B5E18"/>
    <w:rsid w:val="003C2B6C"/>
    <w:rsid w:val="003E37C7"/>
    <w:rsid w:val="003F4F87"/>
    <w:rsid w:val="003F7090"/>
    <w:rsid w:val="004074DD"/>
    <w:rsid w:val="00416E4F"/>
    <w:rsid w:val="004226F0"/>
    <w:rsid w:val="00423183"/>
    <w:rsid w:val="004252B7"/>
    <w:rsid w:val="00427CC4"/>
    <w:rsid w:val="004350C5"/>
    <w:rsid w:val="00435C3A"/>
    <w:rsid w:val="00437B37"/>
    <w:rsid w:val="004425D1"/>
    <w:rsid w:val="00444C4A"/>
    <w:rsid w:val="00446836"/>
    <w:rsid w:val="00450CA4"/>
    <w:rsid w:val="00462074"/>
    <w:rsid w:val="004711D8"/>
    <w:rsid w:val="004773C6"/>
    <w:rsid w:val="004863D6"/>
    <w:rsid w:val="004873C3"/>
    <w:rsid w:val="00490884"/>
    <w:rsid w:val="004959B9"/>
    <w:rsid w:val="00495CC0"/>
    <w:rsid w:val="004A2778"/>
    <w:rsid w:val="004A7E0E"/>
    <w:rsid w:val="004B03BD"/>
    <w:rsid w:val="004B5775"/>
    <w:rsid w:val="004B57DF"/>
    <w:rsid w:val="004C4FB0"/>
    <w:rsid w:val="004C7D20"/>
    <w:rsid w:val="004D3E5E"/>
    <w:rsid w:val="004E42C7"/>
    <w:rsid w:val="00501736"/>
    <w:rsid w:val="0050466F"/>
    <w:rsid w:val="00504A23"/>
    <w:rsid w:val="0051366B"/>
    <w:rsid w:val="00521CE2"/>
    <w:rsid w:val="00522AB3"/>
    <w:rsid w:val="00526ED7"/>
    <w:rsid w:val="00535338"/>
    <w:rsid w:val="005378EB"/>
    <w:rsid w:val="00544F95"/>
    <w:rsid w:val="0054596D"/>
    <w:rsid w:val="00551CB4"/>
    <w:rsid w:val="00560ACB"/>
    <w:rsid w:val="00561411"/>
    <w:rsid w:val="005640A2"/>
    <w:rsid w:val="005741BE"/>
    <w:rsid w:val="005856AA"/>
    <w:rsid w:val="00590B3D"/>
    <w:rsid w:val="0059199B"/>
    <w:rsid w:val="005937FF"/>
    <w:rsid w:val="005965AF"/>
    <w:rsid w:val="005A0C10"/>
    <w:rsid w:val="005A6210"/>
    <w:rsid w:val="005B0824"/>
    <w:rsid w:val="005B2368"/>
    <w:rsid w:val="005B460F"/>
    <w:rsid w:val="005E66BF"/>
    <w:rsid w:val="006001DD"/>
    <w:rsid w:val="0060040D"/>
    <w:rsid w:val="00614645"/>
    <w:rsid w:val="00615B74"/>
    <w:rsid w:val="00616BBA"/>
    <w:rsid w:val="00634A36"/>
    <w:rsid w:val="00637DDF"/>
    <w:rsid w:val="006401AD"/>
    <w:rsid w:val="006407F1"/>
    <w:rsid w:val="006422A7"/>
    <w:rsid w:val="00651A07"/>
    <w:rsid w:val="00657992"/>
    <w:rsid w:val="00657E9C"/>
    <w:rsid w:val="00677507"/>
    <w:rsid w:val="00682FCA"/>
    <w:rsid w:val="0068497D"/>
    <w:rsid w:val="00685925"/>
    <w:rsid w:val="00691AAB"/>
    <w:rsid w:val="006A346A"/>
    <w:rsid w:val="006C2A77"/>
    <w:rsid w:val="006C5E8D"/>
    <w:rsid w:val="006D7181"/>
    <w:rsid w:val="006E46FF"/>
    <w:rsid w:val="006F42C2"/>
    <w:rsid w:val="007144C3"/>
    <w:rsid w:val="00732894"/>
    <w:rsid w:val="00751B5A"/>
    <w:rsid w:val="007520CD"/>
    <w:rsid w:val="00764600"/>
    <w:rsid w:val="00785161"/>
    <w:rsid w:val="00792C32"/>
    <w:rsid w:val="007964C0"/>
    <w:rsid w:val="007A0BE8"/>
    <w:rsid w:val="007B03A3"/>
    <w:rsid w:val="007C6394"/>
    <w:rsid w:val="007F712D"/>
    <w:rsid w:val="00804D0F"/>
    <w:rsid w:val="0080517F"/>
    <w:rsid w:val="00816171"/>
    <w:rsid w:val="00820F5F"/>
    <w:rsid w:val="0082450B"/>
    <w:rsid w:val="00830EAF"/>
    <w:rsid w:val="008341F9"/>
    <w:rsid w:val="00834C7C"/>
    <w:rsid w:val="00841D6D"/>
    <w:rsid w:val="00855DDE"/>
    <w:rsid w:val="00857536"/>
    <w:rsid w:val="008619B1"/>
    <w:rsid w:val="00883C5A"/>
    <w:rsid w:val="008B410D"/>
    <w:rsid w:val="008C2FD2"/>
    <w:rsid w:val="008D1229"/>
    <w:rsid w:val="008E23F8"/>
    <w:rsid w:val="008E46F2"/>
    <w:rsid w:val="008F3461"/>
    <w:rsid w:val="008F5862"/>
    <w:rsid w:val="008F7261"/>
    <w:rsid w:val="009009E4"/>
    <w:rsid w:val="009142A3"/>
    <w:rsid w:val="0091485D"/>
    <w:rsid w:val="00922B06"/>
    <w:rsid w:val="00925C96"/>
    <w:rsid w:val="00940322"/>
    <w:rsid w:val="00940748"/>
    <w:rsid w:val="00942B12"/>
    <w:rsid w:val="00957030"/>
    <w:rsid w:val="00966B04"/>
    <w:rsid w:val="00966DB5"/>
    <w:rsid w:val="0098577A"/>
    <w:rsid w:val="00990A75"/>
    <w:rsid w:val="009A58E9"/>
    <w:rsid w:val="009B3A86"/>
    <w:rsid w:val="009B5A07"/>
    <w:rsid w:val="009C01DE"/>
    <w:rsid w:val="009C6C02"/>
    <w:rsid w:val="009D6437"/>
    <w:rsid w:val="009E106D"/>
    <w:rsid w:val="009E177A"/>
    <w:rsid w:val="009E1DFB"/>
    <w:rsid w:val="009E57CF"/>
    <w:rsid w:val="009F06CD"/>
    <w:rsid w:val="00A01FB3"/>
    <w:rsid w:val="00A067AD"/>
    <w:rsid w:val="00A1026B"/>
    <w:rsid w:val="00A220D0"/>
    <w:rsid w:val="00A35608"/>
    <w:rsid w:val="00A43D10"/>
    <w:rsid w:val="00A46F13"/>
    <w:rsid w:val="00A50237"/>
    <w:rsid w:val="00A5560C"/>
    <w:rsid w:val="00A55637"/>
    <w:rsid w:val="00A56C89"/>
    <w:rsid w:val="00A70E96"/>
    <w:rsid w:val="00A76168"/>
    <w:rsid w:val="00A8343C"/>
    <w:rsid w:val="00A87163"/>
    <w:rsid w:val="00AA5748"/>
    <w:rsid w:val="00AA638A"/>
    <w:rsid w:val="00AD1EDA"/>
    <w:rsid w:val="00AE1894"/>
    <w:rsid w:val="00AF20F9"/>
    <w:rsid w:val="00AF55E5"/>
    <w:rsid w:val="00B01DBC"/>
    <w:rsid w:val="00B24462"/>
    <w:rsid w:val="00B26779"/>
    <w:rsid w:val="00B46CD0"/>
    <w:rsid w:val="00B50A82"/>
    <w:rsid w:val="00B72AC7"/>
    <w:rsid w:val="00B82631"/>
    <w:rsid w:val="00B91366"/>
    <w:rsid w:val="00B92D32"/>
    <w:rsid w:val="00BA54DF"/>
    <w:rsid w:val="00BB7C5C"/>
    <w:rsid w:val="00BE064E"/>
    <w:rsid w:val="00C11346"/>
    <w:rsid w:val="00C226BF"/>
    <w:rsid w:val="00C2560F"/>
    <w:rsid w:val="00C2694F"/>
    <w:rsid w:val="00C34BDF"/>
    <w:rsid w:val="00C3533B"/>
    <w:rsid w:val="00C408DD"/>
    <w:rsid w:val="00C422CE"/>
    <w:rsid w:val="00C46846"/>
    <w:rsid w:val="00C46ED9"/>
    <w:rsid w:val="00C51D04"/>
    <w:rsid w:val="00C64494"/>
    <w:rsid w:val="00C6504E"/>
    <w:rsid w:val="00C744E4"/>
    <w:rsid w:val="00C77297"/>
    <w:rsid w:val="00C95C08"/>
    <w:rsid w:val="00C9632D"/>
    <w:rsid w:val="00CA1E03"/>
    <w:rsid w:val="00CA2ECB"/>
    <w:rsid w:val="00CC7E17"/>
    <w:rsid w:val="00CD722D"/>
    <w:rsid w:val="00CD790D"/>
    <w:rsid w:val="00CE5425"/>
    <w:rsid w:val="00CE7704"/>
    <w:rsid w:val="00CF42D0"/>
    <w:rsid w:val="00CF44CC"/>
    <w:rsid w:val="00D07A18"/>
    <w:rsid w:val="00D3376C"/>
    <w:rsid w:val="00D36BCB"/>
    <w:rsid w:val="00D521E9"/>
    <w:rsid w:val="00D572D2"/>
    <w:rsid w:val="00D64C02"/>
    <w:rsid w:val="00D65CCC"/>
    <w:rsid w:val="00D707B6"/>
    <w:rsid w:val="00D856AB"/>
    <w:rsid w:val="00DB7465"/>
    <w:rsid w:val="00DC0BA7"/>
    <w:rsid w:val="00DC3161"/>
    <w:rsid w:val="00DC7B46"/>
    <w:rsid w:val="00DD2E00"/>
    <w:rsid w:val="00DD43D2"/>
    <w:rsid w:val="00DD52F7"/>
    <w:rsid w:val="00DE3375"/>
    <w:rsid w:val="00DF29B4"/>
    <w:rsid w:val="00DF6502"/>
    <w:rsid w:val="00E0406D"/>
    <w:rsid w:val="00E041C7"/>
    <w:rsid w:val="00E04F8E"/>
    <w:rsid w:val="00E07E27"/>
    <w:rsid w:val="00E260FD"/>
    <w:rsid w:val="00E3166A"/>
    <w:rsid w:val="00E31F62"/>
    <w:rsid w:val="00E37181"/>
    <w:rsid w:val="00E54AE4"/>
    <w:rsid w:val="00E60A75"/>
    <w:rsid w:val="00E817BA"/>
    <w:rsid w:val="00E87B49"/>
    <w:rsid w:val="00E97EBA"/>
    <w:rsid w:val="00EA3B8A"/>
    <w:rsid w:val="00EB34B1"/>
    <w:rsid w:val="00EC08DB"/>
    <w:rsid w:val="00EC4AF5"/>
    <w:rsid w:val="00EC710B"/>
    <w:rsid w:val="00ED3874"/>
    <w:rsid w:val="00ED7C8D"/>
    <w:rsid w:val="00EE02D4"/>
    <w:rsid w:val="00EF12B7"/>
    <w:rsid w:val="00EF216A"/>
    <w:rsid w:val="00EF2E73"/>
    <w:rsid w:val="00F07FB0"/>
    <w:rsid w:val="00F17D8A"/>
    <w:rsid w:val="00F23CD1"/>
    <w:rsid w:val="00F274D0"/>
    <w:rsid w:val="00F35F65"/>
    <w:rsid w:val="00F45C7A"/>
    <w:rsid w:val="00F60FDC"/>
    <w:rsid w:val="00F7112F"/>
    <w:rsid w:val="00F7730E"/>
    <w:rsid w:val="00F84A40"/>
    <w:rsid w:val="00FA44F6"/>
    <w:rsid w:val="00FB2575"/>
    <w:rsid w:val="00FB78ED"/>
    <w:rsid w:val="00FD0DBA"/>
    <w:rsid w:val="00FD1853"/>
    <w:rsid w:val="00FD52CF"/>
    <w:rsid w:val="00FE2282"/>
    <w:rsid w:val="00FE2AAE"/>
    <w:rsid w:val="00FE4975"/>
    <w:rsid w:val="00FF09EA"/>
    <w:rsid w:val="00FF30E6"/>
    <w:rsid w:val="00FF52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3AC99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C221C"/>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uiPriority w:val="9"/>
    <w:qFormat/>
    <w:rsid w:val="00504A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
    <w:link w:val="Heading2Char"/>
    <w:rsid w:val="002C221C"/>
    <w:pPr>
      <w:pBdr>
        <w:top w:val="nil"/>
        <w:left w:val="nil"/>
        <w:bottom w:val="nil"/>
        <w:right w:val="nil"/>
        <w:between w:val="nil"/>
        <w:bar w:val="nil"/>
      </w:pBdr>
      <w:outlineLvl w:val="1"/>
    </w:pPr>
    <w:rPr>
      <w:rFonts w:ascii="Helvetica" w:eastAsia="Helvetica" w:hAnsi="Helvetica" w:cs="Helvetica"/>
      <w:b/>
      <w:bCs/>
      <w:color w:val="000000"/>
      <w:sz w:val="32"/>
      <w:szCs w:val="32"/>
      <w:bdr w:val="nil"/>
      <w:lang w:val="en-CA"/>
    </w:rPr>
  </w:style>
  <w:style w:type="paragraph" w:styleId="Heading3">
    <w:name w:val="heading 3"/>
    <w:basedOn w:val="Normal"/>
    <w:next w:val="Normal"/>
    <w:link w:val="Heading3Char"/>
    <w:uiPriority w:val="9"/>
    <w:unhideWhenUsed/>
    <w:qFormat/>
    <w:rsid w:val="006849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08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C221C"/>
    <w:pPr>
      <w:pBdr>
        <w:top w:val="nil"/>
        <w:left w:val="nil"/>
        <w:bottom w:val="nil"/>
        <w:right w:val="nil"/>
        <w:between w:val="nil"/>
        <w:bar w:val="nil"/>
      </w:pBdr>
    </w:pPr>
    <w:rPr>
      <w:rFonts w:ascii="Helvetica" w:eastAsia="Arial Unicode MS" w:hAnsi="Arial Unicode MS" w:cs="Arial Unicode MS"/>
      <w:color w:val="000000"/>
      <w:sz w:val="22"/>
      <w:szCs w:val="22"/>
      <w:bdr w:val="nil"/>
      <w:lang w:val="en-CA"/>
    </w:rPr>
  </w:style>
  <w:style w:type="paragraph" w:styleId="Footer">
    <w:name w:val="footer"/>
    <w:basedOn w:val="Normal"/>
    <w:link w:val="FooterChar"/>
    <w:uiPriority w:val="99"/>
    <w:unhideWhenUsed/>
    <w:rsid w:val="002C221C"/>
    <w:pPr>
      <w:tabs>
        <w:tab w:val="center" w:pos="4320"/>
        <w:tab w:val="right" w:pos="8640"/>
      </w:tabs>
    </w:pPr>
  </w:style>
  <w:style w:type="character" w:customStyle="1" w:styleId="FooterChar">
    <w:name w:val="Footer Char"/>
    <w:basedOn w:val="DefaultParagraphFont"/>
    <w:link w:val="Footer"/>
    <w:uiPriority w:val="99"/>
    <w:rsid w:val="002C221C"/>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2C221C"/>
  </w:style>
  <w:style w:type="paragraph" w:customStyle="1" w:styleId="Body">
    <w:name w:val="Body"/>
    <w:rsid w:val="002C221C"/>
    <w:pPr>
      <w:pBdr>
        <w:top w:val="nil"/>
        <w:left w:val="nil"/>
        <w:bottom w:val="nil"/>
        <w:right w:val="nil"/>
        <w:between w:val="nil"/>
        <w:bar w:val="nil"/>
      </w:pBdr>
    </w:pPr>
    <w:rPr>
      <w:rFonts w:ascii="Helvetica" w:eastAsia="Helvetica" w:hAnsi="Helvetica" w:cs="Helvetica"/>
      <w:color w:val="000000"/>
      <w:sz w:val="22"/>
      <w:szCs w:val="22"/>
      <w:bdr w:val="nil"/>
      <w:lang w:val="en-CA"/>
    </w:rPr>
  </w:style>
  <w:style w:type="paragraph" w:styleId="TOC2">
    <w:name w:val="toc 2"/>
    <w:basedOn w:val="Normal"/>
    <w:next w:val="Normal"/>
    <w:uiPriority w:val="39"/>
    <w:rsid w:val="002C221C"/>
    <w:rPr>
      <w:rFonts w:asciiTheme="minorHAnsi" w:hAnsiTheme="minorHAnsi"/>
      <w:b/>
      <w:smallCaps/>
      <w:sz w:val="22"/>
      <w:szCs w:val="22"/>
    </w:rPr>
  </w:style>
  <w:style w:type="character" w:customStyle="1" w:styleId="Heading2Char">
    <w:name w:val="Heading 2 Char"/>
    <w:basedOn w:val="DefaultParagraphFont"/>
    <w:link w:val="Heading2"/>
    <w:rsid w:val="002C221C"/>
    <w:rPr>
      <w:rFonts w:ascii="Helvetica" w:eastAsia="Helvetica" w:hAnsi="Helvetica" w:cs="Helvetica"/>
      <w:b/>
      <w:bCs/>
      <w:color w:val="000000"/>
      <w:sz w:val="32"/>
      <w:szCs w:val="32"/>
      <w:bdr w:val="nil"/>
      <w:lang w:val="en-CA"/>
    </w:rPr>
  </w:style>
  <w:style w:type="table" w:styleId="LightList-Accent1">
    <w:name w:val="Light List Accent 1"/>
    <w:basedOn w:val="TableNormal"/>
    <w:uiPriority w:val="61"/>
    <w:rsid w:val="002C221C"/>
    <w:pPr>
      <w:pBdr>
        <w:top w:val="nil"/>
        <w:left w:val="nil"/>
        <w:bottom w:val="nil"/>
        <w:right w:val="nil"/>
        <w:between w:val="nil"/>
        <w:bar w:val="nil"/>
      </w:pBdr>
    </w:pPr>
    <w:rPr>
      <w:rFonts w:ascii="Times New Roman" w:eastAsia="Arial Unicode MS" w:hAnsi="Times New Roman" w:cs="Times New Roman"/>
      <w:sz w:val="20"/>
      <w:szCs w:val="20"/>
      <w:bdr w:val="nil"/>
      <w:lang w:val="en-C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A">
    <w:name w:val="Body A"/>
    <w:rsid w:val="004873C3"/>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numbering" w:customStyle="1" w:styleId="List1">
    <w:name w:val="List 1"/>
    <w:basedOn w:val="NoList"/>
    <w:rsid w:val="004873C3"/>
    <w:pPr>
      <w:numPr>
        <w:numId w:val="1"/>
      </w:numPr>
    </w:pPr>
  </w:style>
  <w:style w:type="numbering" w:customStyle="1" w:styleId="List21">
    <w:name w:val="List 21"/>
    <w:basedOn w:val="NoList"/>
    <w:rsid w:val="004873C3"/>
    <w:pPr>
      <w:numPr>
        <w:numId w:val="3"/>
      </w:numPr>
    </w:pPr>
  </w:style>
  <w:style w:type="character" w:styleId="CommentReference">
    <w:name w:val="annotation reference"/>
    <w:basedOn w:val="DefaultParagraphFont"/>
    <w:uiPriority w:val="99"/>
    <w:semiHidden/>
    <w:unhideWhenUsed/>
    <w:rsid w:val="004873C3"/>
    <w:rPr>
      <w:sz w:val="18"/>
      <w:szCs w:val="18"/>
    </w:rPr>
  </w:style>
  <w:style w:type="paragraph" w:styleId="CommentText">
    <w:name w:val="annotation text"/>
    <w:basedOn w:val="Normal"/>
    <w:link w:val="CommentTextChar"/>
    <w:uiPriority w:val="99"/>
    <w:semiHidden/>
    <w:unhideWhenUsed/>
    <w:rsid w:val="004873C3"/>
  </w:style>
  <w:style w:type="character" w:customStyle="1" w:styleId="CommentTextChar">
    <w:name w:val="Comment Text Char"/>
    <w:basedOn w:val="DefaultParagraphFont"/>
    <w:link w:val="CommentText"/>
    <w:uiPriority w:val="99"/>
    <w:semiHidden/>
    <w:rsid w:val="004873C3"/>
    <w:rPr>
      <w:rFonts w:ascii="Times New Roman" w:eastAsia="Arial Unicode MS" w:hAnsi="Times New Roman" w:cs="Times New Roman"/>
      <w:bdr w:val="nil"/>
    </w:rPr>
  </w:style>
  <w:style w:type="paragraph" w:styleId="BalloonText">
    <w:name w:val="Balloon Text"/>
    <w:basedOn w:val="Normal"/>
    <w:link w:val="BalloonTextChar"/>
    <w:uiPriority w:val="99"/>
    <w:semiHidden/>
    <w:unhideWhenUsed/>
    <w:rsid w:val="004873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73C3"/>
    <w:rPr>
      <w:rFonts w:ascii="Lucida Grande" w:eastAsia="Arial Unicode MS" w:hAnsi="Lucida Grande" w:cs="Lucida Grande"/>
      <w:sz w:val="18"/>
      <w:szCs w:val="18"/>
      <w:bdr w:val="nil"/>
    </w:rPr>
  </w:style>
  <w:style w:type="character" w:customStyle="1" w:styleId="Heading3Char">
    <w:name w:val="Heading 3 Char"/>
    <w:basedOn w:val="DefaultParagraphFont"/>
    <w:link w:val="Heading3"/>
    <w:uiPriority w:val="9"/>
    <w:rsid w:val="0068497D"/>
    <w:rPr>
      <w:rFonts w:asciiTheme="majorHAnsi" w:eastAsiaTheme="majorEastAsia" w:hAnsiTheme="majorHAnsi" w:cstheme="majorBidi"/>
      <w:b/>
      <w:bCs/>
      <w:color w:val="4F81BD" w:themeColor="accent1"/>
      <w:bdr w:val="nil"/>
    </w:rPr>
  </w:style>
  <w:style w:type="paragraph" w:styleId="Caption">
    <w:name w:val="caption"/>
    <w:rsid w:val="0068497D"/>
    <w:pPr>
      <w:pBdr>
        <w:top w:val="nil"/>
        <w:left w:val="nil"/>
        <w:bottom w:val="nil"/>
        <w:right w:val="nil"/>
        <w:between w:val="nil"/>
        <w:bar w:val="nil"/>
      </w:pBdr>
      <w:tabs>
        <w:tab w:val="left" w:pos="1150"/>
      </w:tabs>
    </w:pPr>
    <w:rPr>
      <w:rFonts w:ascii="Helvetica" w:eastAsia="Arial Unicode MS" w:hAnsi="Arial Unicode MS" w:cs="Arial Unicode MS"/>
      <w:b/>
      <w:bCs/>
      <w:caps/>
      <w:color w:val="000000"/>
      <w:sz w:val="20"/>
      <w:szCs w:val="20"/>
      <w:bdr w:val="nil"/>
    </w:rPr>
  </w:style>
  <w:style w:type="paragraph" w:styleId="ListParagraph">
    <w:name w:val="List Paragraph"/>
    <w:uiPriority w:val="34"/>
    <w:qFormat/>
    <w:rsid w:val="0068497D"/>
    <w:pPr>
      <w:pBdr>
        <w:top w:val="nil"/>
        <w:left w:val="nil"/>
        <w:bottom w:val="nil"/>
        <w:right w:val="nil"/>
        <w:between w:val="nil"/>
        <w:bar w:val="nil"/>
      </w:pBdr>
      <w:ind w:left="720"/>
    </w:pPr>
    <w:rPr>
      <w:rFonts w:ascii="Times New Roman" w:eastAsia="Arial Unicode MS" w:hAnsi="Arial Unicode MS" w:cs="Arial Unicode MS"/>
      <w:color w:val="000000"/>
      <w:u w:color="000000"/>
      <w:bdr w:val="nil"/>
    </w:rPr>
  </w:style>
  <w:style w:type="numbering" w:customStyle="1" w:styleId="List9">
    <w:name w:val="List 9"/>
    <w:basedOn w:val="NoList"/>
    <w:rsid w:val="0068497D"/>
    <w:pPr>
      <w:numPr>
        <w:numId w:val="4"/>
      </w:numPr>
    </w:pPr>
  </w:style>
  <w:style w:type="numbering" w:customStyle="1" w:styleId="List10">
    <w:name w:val="List 10"/>
    <w:basedOn w:val="NoList"/>
    <w:rsid w:val="0068497D"/>
    <w:pPr>
      <w:numPr>
        <w:numId w:val="9"/>
      </w:numPr>
    </w:pPr>
  </w:style>
  <w:style w:type="numbering" w:customStyle="1" w:styleId="List11">
    <w:name w:val="List 11"/>
    <w:basedOn w:val="NoList"/>
    <w:rsid w:val="0068497D"/>
    <w:pPr>
      <w:numPr>
        <w:numId w:val="5"/>
      </w:numPr>
    </w:pPr>
  </w:style>
  <w:style w:type="numbering" w:customStyle="1" w:styleId="List12">
    <w:name w:val="List 12"/>
    <w:basedOn w:val="NoList"/>
    <w:rsid w:val="0068497D"/>
    <w:pPr>
      <w:numPr>
        <w:numId w:val="6"/>
      </w:numPr>
    </w:pPr>
  </w:style>
  <w:style w:type="numbering" w:customStyle="1" w:styleId="List13">
    <w:name w:val="List 13"/>
    <w:basedOn w:val="NoList"/>
    <w:rsid w:val="0068497D"/>
    <w:pPr>
      <w:numPr>
        <w:numId w:val="7"/>
      </w:numPr>
    </w:pPr>
  </w:style>
  <w:style w:type="character" w:customStyle="1" w:styleId="Hyperlink1">
    <w:name w:val="Hyperlink.1"/>
    <w:basedOn w:val="DefaultParagraphFont"/>
    <w:rsid w:val="0068497D"/>
    <w:rPr>
      <w:rFonts w:ascii="Cambria" w:eastAsia="Cambria" w:hAnsi="Cambria" w:cs="Cambria"/>
      <w:color w:val="0000FF"/>
      <w:u w:val="single" w:color="0000FF"/>
    </w:rPr>
  </w:style>
  <w:style w:type="numbering" w:customStyle="1" w:styleId="List14">
    <w:name w:val="List 14"/>
    <w:basedOn w:val="NoList"/>
    <w:rsid w:val="0068497D"/>
    <w:pPr>
      <w:numPr>
        <w:numId w:val="8"/>
      </w:numPr>
    </w:pPr>
  </w:style>
  <w:style w:type="character" w:customStyle="1" w:styleId="Hyperlink2">
    <w:name w:val="Hyperlink.2"/>
    <w:basedOn w:val="Hyperlink"/>
    <w:rsid w:val="0068497D"/>
    <w:rPr>
      <w:color w:val="0000FF" w:themeColor="hyperlink"/>
      <w:u w:val="single"/>
    </w:rPr>
  </w:style>
  <w:style w:type="numbering" w:customStyle="1" w:styleId="List15">
    <w:name w:val="List 15"/>
    <w:basedOn w:val="NoList"/>
    <w:rsid w:val="0068497D"/>
    <w:pPr>
      <w:numPr>
        <w:numId w:val="10"/>
      </w:numPr>
    </w:pPr>
  </w:style>
  <w:style w:type="character" w:styleId="Hyperlink">
    <w:name w:val="Hyperlink"/>
    <w:basedOn w:val="DefaultParagraphFont"/>
    <w:uiPriority w:val="99"/>
    <w:unhideWhenUsed/>
    <w:rsid w:val="0068497D"/>
    <w:rPr>
      <w:color w:val="0000FF" w:themeColor="hyperlink"/>
      <w:u w:val="single"/>
    </w:rPr>
  </w:style>
  <w:style w:type="numbering" w:customStyle="1" w:styleId="List31">
    <w:name w:val="List 31"/>
    <w:basedOn w:val="NoList"/>
    <w:rsid w:val="009142A3"/>
    <w:pPr>
      <w:numPr>
        <w:numId w:val="25"/>
      </w:numPr>
    </w:pPr>
  </w:style>
  <w:style w:type="numbering" w:customStyle="1" w:styleId="List41">
    <w:name w:val="List 41"/>
    <w:basedOn w:val="NoList"/>
    <w:rsid w:val="009142A3"/>
    <w:pPr>
      <w:numPr>
        <w:numId w:val="30"/>
      </w:numPr>
    </w:pPr>
  </w:style>
  <w:style w:type="character" w:customStyle="1" w:styleId="Hyperlink0">
    <w:name w:val="Hyperlink.0"/>
    <w:basedOn w:val="DefaultParagraphFont"/>
    <w:rsid w:val="009142A3"/>
    <w:rPr>
      <w:color w:val="0432FF"/>
      <w:u w:val="single" w:color="0432FF"/>
    </w:rPr>
  </w:style>
  <w:style w:type="numbering" w:customStyle="1" w:styleId="List51">
    <w:name w:val="List 51"/>
    <w:basedOn w:val="NoList"/>
    <w:rsid w:val="009142A3"/>
    <w:pPr>
      <w:numPr>
        <w:numId w:val="53"/>
      </w:numPr>
    </w:pPr>
  </w:style>
  <w:style w:type="numbering" w:customStyle="1" w:styleId="List6">
    <w:name w:val="List 6"/>
    <w:basedOn w:val="NoList"/>
    <w:rsid w:val="009142A3"/>
    <w:pPr>
      <w:numPr>
        <w:numId w:val="54"/>
      </w:numPr>
    </w:pPr>
  </w:style>
  <w:style w:type="table" w:styleId="TableGrid">
    <w:name w:val="Table Grid"/>
    <w:basedOn w:val="TableNormal"/>
    <w:uiPriority w:val="59"/>
    <w:rsid w:val="009142A3"/>
    <w:rPr>
      <w:rFonts w:ascii="Calibri" w:eastAsia="Calibri" w:hAnsi="Calibri"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4A23"/>
    <w:rPr>
      <w:rFonts w:asciiTheme="majorHAnsi" w:eastAsiaTheme="majorEastAsia" w:hAnsiTheme="majorHAnsi" w:cstheme="majorBidi"/>
      <w:b/>
      <w:bCs/>
      <w:color w:val="345A8A" w:themeColor="accent1" w:themeShade="B5"/>
      <w:sz w:val="32"/>
      <w:szCs w:val="32"/>
      <w:bdr w:val="nil"/>
    </w:rPr>
  </w:style>
  <w:style w:type="numbering" w:customStyle="1" w:styleId="Bullet">
    <w:name w:val="Bullet"/>
    <w:rsid w:val="0098577A"/>
    <w:pPr>
      <w:numPr>
        <w:numId w:val="66"/>
      </w:numPr>
    </w:pPr>
  </w:style>
  <w:style w:type="paragraph" w:customStyle="1" w:styleId="TableStyle1">
    <w:name w:val="Table Style 1"/>
    <w:rsid w:val="0098577A"/>
    <w:pPr>
      <w:pBdr>
        <w:top w:val="nil"/>
        <w:left w:val="nil"/>
        <w:bottom w:val="nil"/>
        <w:right w:val="nil"/>
        <w:between w:val="nil"/>
        <w:bar w:val="nil"/>
      </w:pBdr>
    </w:pPr>
    <w:rPr>
      <w:rFonts w:ascii="Helvetica" w:eastAsia="Helvetica" w:hAnsi="Helvetica" w:cs="Helvetica"/>
      <w:b/>
      <w:bCs/>
      <w:color w:val="000000"/>
      <w:sz w:val="20"/>
      <w:szCs w:val="20"/>
      <w:bdr w:val="nil"/>
      <w:lang w:val="en-CA"/>
    </w:rPr>
  </w:style>
  <w:style w:type="paragraph" w:customStyle="1" w:styleId="TableStyle2">
    <w:name w:val="Table Style 2"/>
    <w:rsid w:val="0098577A"/>
    <w:pPr>
      <w:pBdr>
        <w:top w:val="nil"/>
        <w:left w:val="nil"/>
        <w:bottom w:val="nil"/>
        <w:right w:val="nil"/>
        <w:between w:val="nil"/>
        <w:bar w:val="nil"/>
      </w:pBdr>
    </w:pPr>
    <w:rPr>
      <w:rFonts w:ascii="Helvetica" w:eastAsia="Helvetica" w:hAnsi="Helvetica" w:cs="Helvetica"/>
      <w:color w:val="000000"/>
      <w:sz w:val="20"/>
      <w:szCs w:val="20"/>
      <w:bdr w:val="nil"/>
      <w:lang w:val="en-CA"/>
    </w:rPr>
  </w:style>
  <w:style w:type="numbering" w:customStyle="1" w:styleId="Numbered">
    <w:name w:val="Numbered"/>
    <w:rsid w:val="0098577A"/>
    <w:pPr>
      <w:numPr>
        <w:numId w:val="62"/>
      </w:numPr>
    </w:pPr>
  </w:style>
  <w:style w:type="paragraph" w:styleId="Quote">
    <w:name w:val="Quote"/>
    <w:basedOn w:val="Normal"/>
    <w:next w:val="Normal"/>
    <w:link w:val="QuoteChar"/>
    <w:uiPriority w:val="29"/>
    <w:qFormat/>
    <w:rsid w:val="008B410D"/>
    <w:rPr>
      <w:i/>
      <w:iCs/>
      <w:color w:val="000000" w:themeColor="text1"/>
    </w:rPr>
  </w:style>
  <w:style w:type="character" w:customStyle="1" w:styleId="QuoteChar">
    <w:name w:val="Quote Char"/>
    <w:basedOn w:val="DefaultParagraphFont"/>
    <w:link w:val="Quote"/>
    <w:uiPriority w:val="29"/>
    <w:rsid w:val="008B410D"/>
    <w:rPr>
      <w:rFonts w:ascii="Times New Roman" w:eastAsia="Arial Unicode MS" w:hAnsi="Times New Roman" w:cs="Times New Roman"/>
      <w:i/>
      <w:iCs/>
      <w:color w:val="000000" w:themeColor="text1"/>
      <w:bdr w:val="nil"/>
    </w:rPr>
  </w:style>
  <w:style w:type="paragraph" w:styleId="NoSpacing">
    <w:name w:val="No Spacing"/>
    <w:uiPriority w:val="1"/>
    <w:qFormat/>
    <w:rsid w:val="007B03A3"/>
    <w:pPr>
      <w:pBdr>
        <w:top w:val="nil"/>
        <w:left w:val="nil"/>
        <w:bottom w:val="nil"/>
        <w:right w:val="nil"/>
        <w:between w:val="nil"/>
        <w:bar w:val="nil"/>
      </w:pBdr>
    </w:pPr>
    <w:rPr>
      <w:rFonts w:ascii="Times New Roman" w:eastAsia="Arial Unicode MS" w:hAnsi="Times New Roman" w:cs="Times New Roman"/>
      <w:bdr w:val="nil"/>
    </w:rPr>
  </w:style>
  <w:style w:type="character" w:customStyle="1" w:styleId="Heading4Char">
    <w:name w:val="Heading 4 Char"/>
    <w:basedOn w:val="DefaultParagraphFont"/>
    <w:link w:val="Heading4"/>
    <w:uiPriority w:val="9"/>
    <w:rsid w:val="00EC08DB"/>
    <w:rPr>
      <w:rFonts w:asciiTheme="majorHAnsi" w:eastAsiaTheme="majorEastAsia" w:hAnsiTheme="majorHAnsi" w:cstheme="majorBidi"/>
      <w:b/>
      <w:bCs/>
      <w:i/>
      <w:iCs/>
      <w:color w:val="4F81BD" w:themeColor="accent1"/>
      <w:bdr w:val="nil"/>
    </w:rPr>
  </w:style>
  <w:style w:type="paragraph" w:styleId="Header">
    <w:name w:val="header"/>
    <w:basedOn w:val="Normal"/>
    <w:link w:val="HeaderChar"/>
    <w:uiPriority w:val="99"/>
    <w:unhideWhenUsed/>
    <w:rsid w:val="0051366B"/>
    <w:pPr>
      <w:tabs>
        <w:tab w:val="center" w:pos="4320"/>
        <w:tab w:val="right" w:pos="8640"/>
      </w:tabs>
    </w:pPr>
  </w:style>
  <w:style w:type="character" w:customStyle="1" w:styleId="HeaderChar">
    <w:name w:val="Header Char"/>
    <w:basedOn w:val="DefaultParagraphFont"/>
    <w:link w:val="Header"/>
    <w:uiPriority w:val="99"/>
    <w:rsid w:val="0051366B"/>
    <w:rPr>
      <w:rFonts w:ascii="Times New Roman" w:eastAsia="Arial Unicode MS" w:hAnsi="Times New Roman" w:cs="Times New Roman"/>
      <w:bdr w:val="nil"/>
    </w:rPr>
  </w:style>
  <w:style w:type="paragraph" w:styleId="TOCHeading">
    <w:name w:val="TOC Heading"/>
    <w:basedOn w:val="Heading1"/>
    <w:next w:val="Normal"/>
    <w:uiPriority w:val="39"/>
    <w:unhideWhenUsed/>
    <w:qFormat/>
    <w:rsid w:val="00B01DB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365F91" w:themeColor="accent1" w:themeShade="BF"/>
      <w:sz w:val="28"/>
      <w:szCs w:val="28"/>
      <w:bdr w:val="none" w:sz="0" w:space="0" w:color="auto"/>
    </w:rPr>
  </w:style>
  <w:style w:type="paragraph" w:styleId="TOC1">
    <w:name w:val="toc 1"/>
    <w:basedOn w:val="Normal"/>
    <w:next w:val="Normal"/>
    <w:autoRedefine/>
    <w:uiPriority w:val="39"/>
    <w:unhideWhenUsed/>
    <w:rsid w:val="00B01DBC"/>
    <w:pPr>
      <w:spacing w:before="240" w:after="120"/>
    </w:pPr>
    <w:rPr>
      <w:rFonts w:asciiTheme="minorHAnsi" w:hAnsiTheme="minorHAnsi"/>
      <w:b/>
      <w:caps/>
      <w:sz w:val="22"/>
      <w:szCs w:val="22"/>
      <w:u w:val="single"/>
    </w:rPr>
  </w:style>
  <w:style w:type="paragraph" w:styleId="TOC3">
    <w:name w:val="toc 3"/>
    <w:basedOn w:val="Normal"/>
    <w:next w:val="Normal"/>
    <w:autoRedefine/>
    <w:uiPriority w:val="39"/>
    <w:unhideWhenUsed/>
    <w:rsid w:val="00B01DBC"/>
    <w:rPr>
      <w:rFonts w:asciiTheme="minorHAnsi" w:hAnsiTheme="minorHAnsi"/>
      <w:smallCaps/>
      <w:sz w:val="22"/>
      <w:szCs w:val="22"/>
    </w:rPr>
  </w:style>
  <w:style w:type="paragraph" w:styleId="TOC4">
    <w:name w:val="toc 4"/>
    <w:basedOn w:val="Normal"/>
    <w:next w:val="Normal"/>
    <w:autoRedefine/>
    <w:uiPriority w:val="39"/>
    <w:semiHidden/>
    <w:unhideWhenUsed/>
    <w:rsid w:val="00B01DBC"/>
    <w:rPr>
      <w:rFonts w:asciiTheme="minorHAnsi" w:hAnsiTheme="minorHAnsi"/>
      <w:sz w:val="22"/>
      <w:szCs w:val="22"/>
    </w:rPr>
  </w:style>
  <w:style w:type="paragraph" w:styleId="TOC5">
    <w:name w:val="toc 5"/>
    <w:basedOn w:val="Normal"/>
    <w:next w:val="Normal"/>
    <w:autoRedefine/>
    <w:uiPriority w:val="39"/>
    <w:semiHidden/>
    <w:unhideWhenUsed/>
    <w:rsid w:val="00B01DBC"/>
    <w:rPr>
      <w:rFonts w:asciiTheme="minorHAnsi" w:hAnsiTheme="minorHAnsi"/>
      <w:sz w:val="22"/>
      <w:szCs w:val="22"/>
    </w:rPr>
  </w:style>
  <w:style w:type="paragraph" w:styleId="TOC6">
    <w:name w:val="toc 6"/>
    <w:basedOn w:val="Normal"/>
    <w:next w:val="Normal"/>
    <w:autoRedefine/>
    <w:uiPriority w:val="39"/>
    <w:semiHidden/>
    <w:unhideWhenUsed/>
    <w:rsid w:val="00B01DBC"/>
    <w:rPr>
      <w:rFonts w:asciiTheme="minorHAnsi" w:hAnsiTheme="minorHAnsi"/>
      <w:sz w:val="22"/>
      <w:szCs w:val="22"/>
    </w:rPr>
  </w:style>
  <w:style w:type="paragraph" w:styleId="TOC7">
    <w:name w:val="toc 7"/>
    <w:basedOn w:val="Normal"/>
    <w:next w:val="Normal"/>
    <w:autoRedefine/>
    <w:uiPriority w:val="39"/>
    <w:semiHidden/>
    <w:unhideWhenUsed/>
    <w:rsid w:val="00B01DBC"/>
    <w:rPr>
      <w:rFonts w:asciiTheme="minorHAnsi" w:hAnsiTheme="minorHAnsi"/>
      <w:sz w:val="22"/>
      <w:szCs w:val="22"/>
    </w:rPr>
  </w:style>
  <w:style w:type="paragraph" w:styleId="TOC8">
    <w:name w:val="toc 8"/>
    <w:basedOn w:val="Normal"/>
    <w:next w:val="Normal"/>
    <w:autoRedefine/>
    <w:uiPriority w:val="39"/>
    <w:semiHidden/>
    <w:unhideWhenUsed/>
    <w:rsid w:val="00B01DBC"/>
    <w:rPr>
      <w:rFonts w:asciiTheme="minorHAnsi" w:hAnsiTheme="minorHAnsi"/>
      <w:sz w:val="22"/>
      <w:szCs w:val="22"/>
    </w:rPr>
  </w:style>
  <w:style w:type="paragraph" w:styleId="TOC9">
    <w:name w:val="toc 9"/>
    <w:basedOn w:val="Normal"/>
    <w:next w:val="Normal"/>
    <w:autoRedefine/>
    <w:uiPriority w:val="39"/>
    <w:semiHidden/>
    <w:unhideWhenUsed/>
    <w:rsid w:val="00B01DBC"/>
    <w:rPr>
      <w:rFonts w:asciiTheme="minorHAnsi" w:hAnsiTheme="minorHAnsi"/>
      <w:sz w:val="22"/>
      <w:szCs w:val="22"/>
    </w:rPr>
  </w:style>
  <w:style w:type="paragraph" w:customStyle="1" w:styleId="FreeForm">
    <w:name w:val="Free Form"/>
    <w:rsid w:val="000A29F5"/>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numbering" w:customStyle="1" w:styleId="List7">
    <w:name w:val="List 7"/>
    <w:basedOn w:val="NoList"/>
    <w:rsid w:val="000A29F5"/>
    <w:pPr>
      <w:numPr>
        <w:numId w:val="68"/>
      </w:numPr>
    </w:pPr>
  </w:style>
  <w:style w:type="numbering" w:customStyle="1" w:styleId="List8">
    <w:name w:val="List 8"/>
    <w:basedOn w:val="NoList"/>
    <w:rsid w:val="000A29F5"/>
    <w:pPr>
      <w:numPr>
        <w:numId w:val="70"/>
      </w:numPr>
    </w:pPr>
  </w:style>
  <w:style w:type="paragraph" w:styleId="TableofFigures">
    <w:name w:val="table of figures"/>
    <w:basedOn w:val="Normal"/>
    <w:next w:val="Normal"/>
    <w:uiPriority w:val="99"/>
    <w:unhideWhenUsed/>
    <w:rsid w:val="00423183"/>
    <w:pPr>
      <w:ind w:left="480" w:hanging="480"/>
    </w:pPr>
    <w:rPr>
      <w:rFonts w:asciiTheme="minorHAnsi" w:hAnsiTheme="minorHAnsi"/>
      <w:caps/>
      <w:sz w:val="20"/>
      <w:szCs w:val="20"/>
    </w:rPr>
  </w:style>
  <w:style w:type="paragraph" w:styleId="CommentSubject">
    <w:name w:val="annotation subject"/>
    <w:basedOn w:val="CommentText"/>
    <w:next w:val="CommentText"/>
    <w:link w:val="CommentSubjectChar"/>
    <w:uiPriority w:val="99"/>
    <w:semiHidden/>
    <w:unhideWhenUsed/>
    <w:rsid w:val="00657992"/>
    <w:rPr>
      <w:b/>
      <w:bCs/>
      <w:sz w:val="20"/>
      <w:szCs w:val="20"/>
    </w:rPr>
  </w:style>
  <w:style w:type="character" w:customStyle="1" w:styleId="CommentSubjectChar">
    <w:name w:val="Comment Subject Char"/>
    <w:basedOn w:val="CommentTextChar"/>
    <w:link w:val="CommentSubject"/>
    <w:uiPriority w:val="99"/>
    <w:semiHidden/>
    <w:rsid w:val="00657992"/>
    <w:rPr>
      <w:rFonts w:ascii="Times New Roman" w:eastAsia="Arial Unicode MS" w:hAnsi="Times New Roman" w:cs="Times New Roman"/>
      <w:b/>
      <w:bCs/>
      <w:sz w:val="20"/>
      <w:szCs w:val="20"/>
      <w:bdr w:val="nil"/>
    </w:rPr>
  </w:style>
  <w:style w:type="paragraph" w:styleId="Revision">
    <w:name w:val="Revision"/>
    <w:hidden/>
    <w:uiPriority w:val="99"/>
    <w:semiHidden/>
    <w:rsid w:val="005A6210"/>
    <w:rPr>
      <w:rFonts w:ascii="Times New Roman" w:eastAsia="Arial Unicode MS" w:hAnsi="Times New Roman" w:cs="Times New Roman"/>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C221C"/>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uiPriority w:val="9"/>
    <w:qFormat/>
    <w:rsid w:val="00504A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
    <w:link w:val="Heading2Char"/>
    <w:rsid w:val="002C221C"/>
    <w:pPr>
      <w:pBdr>
        <w:top w:val="nil"/>
        <w:left w:val="nil"/>
        <w:bottom w:val="nil"/>
        <w:right w:val="nil"/>
        <w:between w:val="nil"/>
        <w:bar w:val="nil"/>
      </w:pBdr>
      <w:outlineLvl w:val="1"/>
    </w:pPr>
    <w:rPr>
      <w:rFonts w:ascii="Helvetica" w:eastAsia="Helvetica" w:hAnsi="Helvetica" w:cs="Helvetica"/>
      <w:b/>
      <w:bCs/>
      <w:color w:val="000000"/>
      <w:sz w:val="32"/>
      <w:szCs w:val="32"/>
      <w:bdr w:val="nil"/>
      <w:lang w:val="en-CA"/>
    </w:rPr>
  </w:style>
  <w:style w:type="paragraph" w:styleId="Heading3">
    <w:name w:val="heading 3"/>
    <w:basedOn w:val="Normal"/>
    <w:next w:val="Normal"/>
    <w:link w:val="Heading3Char"/>
    <w:uiPriority w:val="9"/>
    <w:unhideWhenUsed/>
    <w:qFormat/>
    <w:rsid w:val="006849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08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C221C"/>
    <w:pPr>
      <w:pBdr>
        <w:top w:val="nil"/>
        <w:left w:val="nil"/>
        <w:bottom w:val="nil"/>
        <w:right w:val="nil"/>
        <w:between w:val="nil"/>
        <w:bar w:val="nil"/>
      </w:pBdr>
    </w:pPr>
    <w:rPr>
      <w:rFonts w:ascii="Helvetica" w:eastAsia="Arial Unicode MS" w:hAnsi="Arial Unicode MS" w:cs="Arial Unicode MS"/>
      <w:color w:val="000000"/>
      <w:sz w:val="22"/>
      <w:szCs w:val="22"/>
      <w:bdr w:val="nil"/>
      <w:lang w:val="en-CA"/>
    </w:rPr>
  </w:style>
  <w:style w:type="paragraph" w:styleId="Footer">
    <w:name w:val="footer"/>
    <w:basedOn w:val="Normal"/>
    <w:link w:val="FooterChar"/>
    <w:uiPriority w:val="99"/>
    <w:unhideWhenUsed/>
    <w:rsid w:val="002C221C"/>
    <w:pPr>
      <w:tabs>
        <w:tab w:val="center" w:pos="4320"/>
        <w:tab w:val="right" w:pos="8640"/>
      </w:tabs>
    </w:pPr>
  </w:style>
  <w:style w:type="character" w:customStyle="1" w:styleId="FooterChar">
    <w:name w:val="Footer Char"/>
    <w:basedOn w:val="DefaultParagraphFont"/>
    <w:link w:val="Footer"/>
    <w:uiPriority w:val="99"/>
    <w:rsid w:val="002C221C"/>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2C221C"/>
  </w:style>
  <w:style w:type="paragraph" w:customStyle="1" w:styleId="Body">
    <w:name w:val="Body"/>
    <w:rsid w:val="002C221C"/>
    <w:pPr>
      <w:pBdr>
        <w:top w:val="nil"/>
        <w:left w:val="nil"/>
        <w:bottom w:val="nil"/>
        <w:right w:val="nil"/>
        <w:between w:val="nil"/>
        <w:bar w:val="nil"/>
      </w:pBdr>
    </w:pPr>
    <w:rPr>
      <w:rFonts w:ascii="Helvetica" w:eastAsia="Helvetica" w:hAnsi="Helvetica" w:cs="Helvetica"/>
      <w:color w:val="000000"/>
      <w:sz w:val="22"/>
      <w:szCs w:val="22"/>
      <w:bdr w:val="nil"/>
      <w:lang w:val="en-CA"/>
    </w:rPr>
  </w:style>
  <w:style w:type="paragraph" w:styleId="TOC2">
    <w:name w:val="toc 2"/>
    <w:basedOn w:val="Normal"/>
    <w:next w:val="Normal"/>
    <w:uiPriority w:val="39"/>
    <w:rsid w:val="002C221C"/>
    <w:rPr>
      <w:rFonts w:asciiTheme="minorHAnsi" w:hAnsiTheme="minorHAnsi"/>
      <w:b/>
      <w:smallCaps/>
      <w:sz w:val="22"/>
      <w:szCs w:val="22"/>
    </w:rPr>
  </w:style>
  <w:style w:type="character" w:customStyle="1" w:styleId="Heading2Char">
    <w:name w:val="Heading 2 Char"/>
    <w:basedOn w:val="DefaultParagraphFont"/>
    <w:link w:val="Heading2"/>
    <w:rsid w:val="002C221C"/>
    <w:rPr>
      <w:rFonts w:ascii="Helvetica" w:eastAsia="Helvetica" w:hAnsi="Helvetica" w:cs="Helvetica"/>
      <w:b/>
      <w:bCs/>
      <w:color w:val="000000"/>
      <w:sz w:val="32"/>
      <w:szCs w:val="32"/>
      <w:bdr w:val="nil"/>
      <w:lang w:val="en-CA"/>
    </w:rPr>
  </w:style>
  <w:style w:type="table" w:styleId="LightList-Accent1">
    <w:name w:val="Light List Accent 1"/>
    <w:basedOn w:val="TableNormal"/>
    <w:uiPriority w:val="61"/>
    <w:rsid w:val="002C221C"/>
    <w:pPr>
      <w:pBdr>
        <w:top w:val="nil"/>
        <w:left w:val="nil"/>
        <w:bottom w:val="nil"/>
        <w:right w:val="nil"/>
        <w:between w:val="nil"/>
        <w:bar w:val="nil"/>
      </w:pBdr>
    </w:pPr>
    <w:rPr>
      <w:rFonts w:ascii="Times New Roman" w:eastAsia="Arial Unicode MS" w:hAnsi="Times New Roman" w:cs="Times New Roman"/>
      <w:sz w:val="20"/>
      <w:szCs w:val="20"/>
      <w:bdr w:val="nil"/>
      <w:lang w:val="en-C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A">
    <w:name w:val="Body A"/>
    <w:rsid w:val="004873C3"/>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numbering" w:customStyle="1" w:styleId="List1">
    <w:name w:val="List 1"/>
    <w:basedOn w:val="NoList"/>
    <w:rsid w:val="004873C3"/>
    <w:pPr>
      <w:numPr>
        <w:numId w:val="1"/>
      </w:numPr>
    </w:pPr>
  </w:style>
  <w:style w:type="numbering" w:customStyle="1" w:styleId="List21">
    <w:name w:val="List 21"/>
    <w:basedOn w:val="NoList"/>
    <w:rsid w:val="004873C3"/>
    <w:pPr>
      <w:numPr>
        <w:numId w:val="3"/>
      </w:numPr>
    </w:pPr>
  </w:style>
  <w:style w:type="character" w:styleId="CommentReference">
    <w:name w:val="annotation reference"/>
    <w:basedOn w:val="DefaultParagraphFont"/>
    <w:uiPriority w:val="99"/>
    <w:semiHidden/>
    <w:unhideWhenUsed/>
    <w:rsid w:val="004873C3"/>
    <w:rPr>
      <w:sz w:val="18"/>
      <w:szCs w:val="18"/>
    </w:rPr>
  </w:style>
  <w:style w:type="paragraph" w:styleId="CommentText">
    <w:name w:val="annotation text"/>
    <w:basedOn w:val="Normal"/>
    <w:link w:val="CommentTextChar"/>
    <w:uiPriority w:val="99"/>
    <w:semiHidden/>
    <w:unhideWhenUsed/>
    <w:rsid w:val="004873C3"/>
  </w:style>
  <w:style w:type="character" w:customStyle="1" w:styleId="CommentTextChar">
    <w:name w:val="Comment Text Char"/>
    <w:basedOn w:val="DefaultParagraphFont"/>
    <w:link w:val="CommentText"/>
    <w:uiPriority w:val="99"/>
    <w:semiHidden/>
    <w:rsid w:val="004873C3"/>
    <w:rPr>
      <w:rFonts w:ascii="Times New Roman" w:eastAsia="Arial Unicode MS" w:hAnsi="Times New Roman" w:cs="Times New Roman"/>
      <w:bdr w:val="nil"/>
    </w:rPr>
  </w:style>
  <w:style w:type="paragraph" w:styleId="BalloonText">
    <w:name w:val="Balloon Text"/>
    <w:basedOn w:val="Normal"/>
    <w:link w:val="BalloonTextChar"/>
    <w:uiPriority w:val="99"/>
    <w:semiHidden/>
    <w:unhideWhenUsed/>
    <w:rsid w:val="004873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73C3"/>
    <w:rPr>
      <w:rFonts w:ascii="Lucida Grande" w:eastAsia="Arial Unicode MS" w:hAnsi="Lucida Grande" w:cs="Lucida Grande"/>
      <w:sz w:val="18"/>
      <w:szCs w:val="18"/>
      <w:bdr w:val="nil"/>
    </w:rPr>
  </w:style>
  <w:style w:type="character" w:customStyle="1" w:styleId="Heading3Char">
    <w:name w:val="Heading 3 Char"/>
    <w:basedOn w:val="DefaultParagraphFont"/>
    <w:link w:val="Heading3"/>
    <w:uiPriority w:val="9"/>
    <w:rsid w:val="0068497D"/>
    <w:rPr>
      <w:rFonts w:asciiTheme="majorHAnsi" w:eastAsiaTheme="majorEastAsia" w:hAnsiTheme="majorHAnsi" w:cstheme="majorBidi"/>
      <w:b/>
      <w:bCs/>
      <w:color w:val="4F81BD" w:themeColor="accent1"/>
      <w:bdr w:val="nil"/>
    </w:rPr>
  </w:style>
  <w:style w:type="paragraph" w:styleId="Caption">
    <w:name w:val="caption"/>
    <w:rsid w:val="0068497D"/>
    <w:pPr>
      <w:pBdr>
        <w:top w:val="nil"/>
        <w:left w:val="nil"/>
        <w:bottom w:val="nil"/>
        <w:right w:val="nil"/>
        <w:between w:val="nil"/>
        <w:bar w:val="nil"/>
      </w:pBdr>
      <w:tabs>
        <w:tab w:val="left" w:pos="1150"/>
      </w:tabs>
    </w:pPr>
    <w:rPr>
      <w:rFonts w:ascii="Helvetica" w:eastAsia="Arial Unicode MS" w:hAnsi="Arial Unicode MS" w:cs="Arial Unicode MS"/>
      <w:b/>
      <w:bCs/>
      <w:caps/>
      <w:color w:val="000000"/>
      <w:sz w:val="20"/>
      <w:szCs w:val="20"/>
      <w:bdr w:val="nil"/>
    </w:rPr>
  </w:style>
  <w:style w:type="paragraph" w:styleId="ListParagraph">
    <w:name w:val="List Paragraph"/>
    <w:uiPriority w:val="34"/>
    <w:qFormat/>
    <w:rsid w:val="0068497D"/>
    <w:pPr>
      <w:pBdr>
        <w:top w:val="nil"/>
        <w:left w:val="nil"/>
        <w:bottom w:val="nil"/>
        <w:right w:val="nil"/>
        <w:between w:val="nil"/>
        <w:bar w:val="nil"/>
      </w:pBdr>
      <w:ind w:left="720"/>
    </w:pPr>
    <w:rPr>
      <w:rFonts w:ascii="Times New Roman" w:eastAsia="Arial Unicode MS" w:hAnsi="Arial Unicode MS" w:cs="Arial Unicode MS"/>
      <w:color w:val="000000"/>
      <w:u w:color="000000"/>
      <w:bdr w:val="nil"/>
    </w:rPr>
  </w:style>
  <w:style w:type="numbering" w:customStyle="1" w:styleId="List9">
    <w:name w:val="List 9"/>
    <w:basedOn w:val="NoList"/>
    <w:rsid w:val="0068497D"/>
    <w:pPr>
      <w:numPr>
        <w:numId w:val="4"/>
      </w:numPr>
    </w:pPr>
  </w:style>
  <w:style w:type="numbering" w:customStyle="1" w:styleId="List10">
    <w:name w:val="List 10"/>
    <w:basedOn w:val="NoList"/>
    <w:rsid w:val="0068497D"/>
    <w:pPr>
      <w:numPr>
        <w:numId w:val="9"/>
      </w:numPr>
    </w:pPr>
  </w:style>
  <w:style w:type="numbering" w:customStyle="1" w:styleId="List11">
    <w:name w:val="List 11"/>
    <w:basedOn w:val="NoList"/>
    <w:rsid w:val="0068497D"/>
    <w:pPr>
      <w:numPr>
        <w:numId w:val="5"/>
      </w:numPr>
    </w:pPr>
  </w:style>
  <w:style w:type="numbering" w:customStyle="1" w:styleId="List12">
    <w:name w:val="List 12"/>
    <w:basedOn w:val="NoList"/>
    <w:rsid w:val="0068497D"/>
    <w:pPr>
      <w:numPr>
        <w:numId w:val="6"/>
      </w:numPr>
    </w:pPr>
  </w:style>
  <w:style w:type="numbering" w:customStyle="1" w:styleId="List13">
    <w:name w:val="List 13"/>
    <w:basedOn w:val="NoList"/>
    <w:rsid w:val="0068497D"/>
    <w:pPr>
      <w:numPr>
        <w:numId w:val="7"/>
      </w:numPr>
    </w:pPr>
  </w:style>
  <w:style w:type="character" w:customStyle="1" w:styleId="Hyperlink1">
    <w:name w:val="Hyperlink.1"/>
    <w:basedOn w:val="DefaultParagraphFont"/>
    <w:rsid w:val="0068497D"/>
    <w:rPr>
      <w:rFonts w:ascii="Cambria" w:eastAsia="Cambria" w:hAnsi="Cambria" w:cs="Cambria"/>
      <w:color w:val="0000FF"/>
      <w:u w:val="single" w:color="0000FF"/>
    </w:rPr>
  </w:style>
  <w:style w:type="numbering" w:customStyle="1" w:styleId="List14">
    <w:name w:val="List 14"/>
    <w:basedOn w:val="NoList"/>
    <w:rsid w:val="0068497D"/>
    <w:pPr>
      <w:numPr>
        <w:numId w:val="8"/>
      </w:numPr>
    </w:pPr>
  </w:style>
  <w:style w:type="character" w:customStyle="1" w:styleId="Hyperlink2">
    <w:name w:val="Hyperlink.2"/>
    <w:basedOn w:val="Hyperlink"/>
    <w:rsid w:val="0068497D"/>
    <w:rPr>
      <w:color w:val="0000FF" w:themeColor="hyperlink"/>
      <w:u w:val="single"/>
    </w:rPr>
  </w:style>
  <w:style w:type="numbering" w:customStyle="1" w:styleId="List15">
    <w:name w:val="List 15"/>
    <w:basedOn w:val="NoList"/>
    <w:rsid w:val="0068497D"/>
    <w:pPr>
      <w:numPr>
        <w:numId w:val="10"/>
      </w:numPr>
    </w:pPr>
  </w:style>
  <w:style w:type="character" w:styleId="Hyperlink">
    <w:name w:val="Hyperlink"/>
    <w:basedOn w:val="DefaultParagraphFont"/>
    <w:uiPriority w:val="99"/>
    <w:unhideWhenUsed/>
    <w:rsid w:val="0068497D"/>
    <w:rPr>
      <w:color w:val="0000FF" w:themeColor="hyperlink"/>
      <w:u w:val="single"/>
    </w:rPr>
  </w:style>
  <w:style w:type="numbering" w:customStyle="1" w:styleId="List31">
    <w:name w:val="List 31"/>
    <w:basedOn w:val="NoList"/>
    <w:rsid w:val="009142A3"/>
    <w:pPr>
      <w:numPr>
        <w:numId w:val="25"/>
      </w:numPr>
    </w:pPr>
  </w:style>
  <w:style w:type="numbering" w:customStyle="1" w:styleId="List41">
    <w:name w:val="List 41"/>
    <w:basedOn w:val="NoList"/>
    <w:rsid w:val="009142A3"/>
    <w:pPr>
      <w:numPr>
        <w:numId w:val="30"/>
      </w:numPr>
    </w:pPr>
  </w:style>
  <w:style w:type="character" w:customStyle="1" w:styleId="Hyperlink0">
    <w:name w:val="Hyperlink.0"/>
    <w:basedOn w:val="DefaultParagraphFont"/>
    <w:rsid w:val="009142A3"/>
    <w:rPr>
      <w:color w:val="0432FF"/>
      <w:u w:val="single" w:color="0432FF"/>
    </w:rPr>
  </w:style>
  <w:style w:type="numbering" w:customStyle="1" w:styleId="List51">
    <w:name w:val="List 51"/>
    <w:basedOn w:val="NoList"/>
    <w:rsid w:val="009142A3"/>
    <w:pPr>
      <w:numPr>
        <w:numId w:val="53"/>
      </w:numPr>
    </w:pPr>
  </w:style>
  <w:style w:type="numbering" w:customStyle="1" w:styleId="List6">
    <w:name w:val="List 6"/>
    <w:basedOn w:val="NoList"/>
    <w:rsid w:val="009142A3"/>
    <w:pPr>
      <w:numPr>
        <w:numId w:val="54"/>
      </w:numPr>
    </w:pPr>
  </w:style>
  <w:style w:type="table" w:styleId="TableGrid">
    <w:name w:val="Table Grid"/>
    <w:basedOn w:val="TableNormal"/>
    <w:uiPriority w:val="59"/>
    <w:rsid w:val="009142A3"/>
    <w:rPr>
      <w:rFonts w:ascii="Calibri" w:eastAsia="Calibri" w:hAnsi="Calibri"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4A23"/>
    <w:rPr>
      <w:rFonts w:asciiTheme="majorHAnsi" w:eastAsiaTheme="majorEastAsia" w:hAnsiTheme="majorHAnsi" w:cstheme="majorBidi"/>
      <w:b/>
      <w:bCs/>
      <w:color w:val="345A8A" w:themeColor="accent1" w:themeShade="B5"/>
      <w:sz w:val="32"/>
      <w:szCs w:val="32"/>
      <w:bdr w:val="nil"/>
    </w:rPr>
  </w:style>
  <w:style w:type="numbering" w:customStyle="1" w:styleId="Bullet">
    <w:name w:val="Bullet"/>
    <w:rsid w:val="0098577A"/>
    <w:pPr>
      <w:numPr>
        <w:numId w:val="66"/>
      </w:numPr>
    </w:pPr>
  </w:style>
  <w:style w:type="paragraph" w:customStyle="1" w:styleId="TableStyle1">
    <w:name w:val="Table Style 1"/>
    <w:rsid w:val="0098577A"/>
    <w:pPr>
      <w:pBdr>
        <w:top w:val="nil"/>
        <w:left w:val="nil"/>
        <w:bottom w:val="nil"/>
        <w:right w:val="nil"/>
        <w:between w:val="nil"/>
        <w:bar w:val="nil"/>
      </w:pBdr>
    </w:pPr>
    <w:rPr>
      <w:rFonts w:ascii="Helvetica" w:eastAsia="Helvetica" w:hAnsi="Helvetica" w:cs="Helvetica"/>
      <w:b/>
      <w:bCs/>
      <w:color w:val="000000"/>
      <w:sz w:val="20"/>
      <w:szCs w:val="20"/>
      <w:bdr w:val="nil"/>
      <w:lang w:val="en-CA"/>
    </w:rPr>
  </w:style>
  <w:style w:type="paragraph" w:customStyle="1" w:styleId="TableStyle2">
    <w:name w:val="Table Style 2"/>
    <w:rsid w:val="0098577A"/>
    <w:pPr>
      <w:pBdr>
        <w:top w:val="nil"/>
        <w:left w:val="nil"/>
        <w:bottom w:val="nil"/>
        <w:right w:val="nil"/>
        <w:between w:val="nil"/>
        <w:bar w:val="nil"/>
      </w:pBdr>
    </w:pPr>
    <w:rPr>
      <w:rFonts w:ascii="Helvetica" w:eastAsia="Helvetica" w:hAnsi="Helvetica" w:cs="Helvetica"/>
      <w:color w:val="000000"/>
      <w:sz w:val="20"/>
      <w:szCs w:val="20"/>
      <w:bdr w:val="nil"/>
      <w:lang w:val="en-CA"/>
    </w:rPr>
  </w:style>
  <w:style w:type="numbering" w:customStyle="1" w:styleId="Numbered">
    <w:name w:val="Numbered"/>
    <w:rsid w:val="0098577A"/>
    <w:pPr>
      <w:numPr>
        <w:numId w:val="62"/>
      </w:numPr>
    </w:pPr>
  </w:style>
  <w:style w:type="paragraph" w:styleId="Quote">
    <w:name w:val="Quote"/>
    <w:basedOn w:val="Normal"/>
    <w:next w:val="Normal"/>
    <w:link w:val="QuoteChar"/>
    <w:uiPriority w:val="29"/>
    <w:qFormat/>
    <w:rsid w:val="008B410D"/>
    <w:rPr>
      <w:i/>
      <w:iCs/>
      <w:color w:val="000000" w:themeColor="text1"/>
    </w:rPr>
  </w:style>
  <w:style w:type="character" w:customStyle="1" w:styleId="QuoteChar">
    <w:name w:val="Quote Char"/>
    <w:basedOn w:val="DefaultParagraphFont"/>
    <w:link w:val="Quote"/>
    <w:uiPriority w:val="29"/>
    <w:rsid w:val="008B410D"/>
    <w:rPr>
      <w:rFonts w:ascii="Times New Roman" w:eastAsia="Arial Unicode MS" w:hAnsi="Times New Roman" w:cs="Times New Roman"/>
      <w:i/>
      <w:iCs/>
      <w:color w:val="000000" w:themeColor="text1"/>
      <w:bdr w:val="nil"/>
    </w:rPr>
  </w:style>
  <w:style w:type="paragraph" w:styleId="NoSpacing">
    <w:name w:val="No Spacing"/>
    <w:uiPriority w:val="1"/>
    <w:qFormat/>
    <w:rsid w:val="007B03A3"/>
    <w:pPr>
      <w:pBdr>
        <w:top w:val="nil"/>
        <w:left w:val="nil"/>
        <w:bottom w:val="nil"/>
        <w:right w:val="nil"/>
        <w:between w:val="nil"/>
        <w:bar w:val="nil"/>
      </w:pBdr>
    </w:pPr>
    <w:rPr>
      <w:rFonts w:ascii="Times New Roman" w:eastAsia="Arial Unicode MS" w:hAnsi="Times New Roman" w:cs="Times New Roman"/>
      <w:bdr w:val="nil"/>
    </w:rPr>
  </w:style>
  <w:style w:type="character" w:customStyle="1" w:styleId="Heading4Char">
    <w:name w:val="Heading 4 Char"/>
    <w:basedOn w:val="DefaultParagraphFont"/>
    <w:link w:val="Heading4"/>
    <w:uiPriority w:val="9"/>
    <w:rsid w:val="00EC08DB"/>
    <w:rPr>
      <w:rFonts w:asciiTheme="majorHAnsi" w:eastAsiaTheme="majorEastAsia" w:hAnsiTheme="majorHAnsi" w:cstheme="majorBidi"/>
      <w:b/>
      <w:bCs/>
      <w:i/>
      <w:iCs/>
      <w:color w:val="4F81BD" w:themeColor="accent1"/>
      <w:bdr w:val="nil"/>
    </w:rPr>
  </w:style>
  <w:style w:type="paragraph" w:styleId="Header">
    <w:name w:val="header"/>
    <w:basedOn w:val="Normal"/>
    <w:link w:val="HeaderChar"/>
    <w:uiPriority w:val="99"/>
    <w:unhideWhenUsed/>
    <w:rsid w:val="0051366B"/>
    <w:pPr>
      <w:tabs>
        <w:tab w:val="center" w:pos="4320"/>
        <w:tab w:val="right" w:pos="8640"/>
      </w:tabs>
    </w:pPr>
  </w:style>
  <w:style w:type="character" w:customStyle="1" w:styleId="HeaderChar">
    <w:name w:val="Header Char"/>
    <w:basedOn w:val="DefaultParagraphFont"/>
    <w:link w:val="Header"/>
    <w:uiPriority w:val="99"/>
    <w:rsid w:val="0051366B"/>
    <w:rPr>
      <w:rFonts w:ascii="Times New Roman" w:eastAsia="Arial Unicode MS" w:hAnsi="Times New Roman" w:cs="Times New Roman"/>
      <w:bdr w:val="nil"/>
    </w:rPr>
  </w:style>
  <w:style w:type="paragraph" w:styleId="TOCHeading">
    <w:name w:val="TOC Heading"/>
    <w:basedOn w:val="Heading1"/>
    <w:next w:val="Normal"/>
    <w:uiPriority w:val="39"/>
    <w:unhideWhenUsed/>
    <w:qFormat/>
    <w:rsid w:val="00B01DB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365F91" w:themeColor="accent1" w:themeShade="BF"/>
      <w:sz w:val="28"/>
      <w:szCs w:val="28"/>
      <w:bdr w:val="none" w:sz="0" w:space="0" w:color="auto"/>
    </w:rPr>
  </w:style>
  <w:style w:type="paragraph" w:styleId="TOC1">
    <w:name w:val="toc 1"/>
    <w:basedOn w:val="Normal"/>
    <w:next w:val="Normal"/>
    <w:autoRedefine/>
    <w:uiPriority w:val="39"/>
    <w:unhideWhenUsed/>
    <w:rsid w:val="00B01DBC"/>
    <w:pPr>
      <w:spacing w:before="240" w:after="120"/>
    </w:pPr>
    <w:rPr>
      <w:rFonts w:asciiTheme="minorHAnsi" w:hAnsiTheme="minorHAnsi"/>
      <w:b/>
      <w:caps/>
      <w:sz w:val="22"/>
      <w:szCs w:val="22"/>
      <w:u w:val="single"/>
    </w:rPr>
  </w:style>
  <w:style w:type="paragraph" w:styleId="TOC3">
    <w:name w:val="toc 3"/>
    <w:basedOn w:val="Normal"/>
    <w:next w:val="Normal"/>
    <w:autoRedefine/>
    <w:uiPriority w:val="39"/>
    <w:unhideWhenUsed/>
    <w:rsid w:val="00B01DBC"/>
    <w:rPr>
      <w:rFonts w:asciiTheme="minorHAnsi" w:hAnsiTheme="minorHAnsi"/>
      <w:smallCaps/>
      <w:sz w:val="22"/>
      <w:szCs w:val="22"/>
    </w:rPr>
  </w:style>
  <w:style w:type="paragraph" w:styleId="TOC4">
    <w:name w:val="toc 4"/>
    <w:basedOn w:val="Normal"/>
    <w:next w:val="Normal"/>
    <w:autoRedefine/>
    <w:uiPriority w:val="39"/>
    <w:semiHidden/>
    <w:unhideWhenUsed/>
    <w:rsid w:val="00B01DBC"/>
    <w:rPr>
      <w:rFonts w:asciiTheme="minorHAnsi" w:hAnsiTheme="minorHAnsi"/>
      <w:sz w:val="22"/>
      <w:szCs w:val="22"/>
    </w:rPr>
  </w:style>
  <w:style w:type="paragraph" w:styleId="TOC5">
    <w:name w:val="toc 5"/>
    <w:basedOn w:val="Normal"/>
    <w:next w:val="Normal"/>
    <w:autoRedefine/>
    <w:uiPriority w:val="39"/>
    <w:semiHidden/>
    <w:unhideWhenUsed/>
    <w:rsid w:val="00B01DBC"/>
    <w:rPr>
      <w:rFonts w:asciiTheme="minorHAnsi" w:hAnsiTheme="minorHAnsi"/>
      <w:sz w:val="22"/>
      <w:szCs w:val="22"/>
    </w:rPr>
  </w:style>
  <w:style w:type="paragraph" w:styleId="TOC6">
    <w:name w:val="toc 6"/>
    <w:basedOn w:val="Normal"/>
    <w:next w:val="Normal"/>
    <w:autoRedefine/>
    <w:uiPriority w:val="39"/>
    <w:semiHidden/>
    <w:unhideWhenUsed/>
    <w:rsid w:val="00B01DBC"/>
    <w:rPr>
      <w:rFonts w:asciiTheme="minorHAnsi" w:hAnsiTheme="minorHAnsi"/>
      <w:sz w:val="22"/>
      <w:szCs w:val="22"/>
    </w:rPr>
  </w:style>
  <w:style w:type="paragraph" w:styleId="TOC7">
    <w:name w:val="toc 7"/>
    <w:basedOn w:val="Normal"/>
    <w:next w:val="Normal"/>
    <w:autoRedefine/>
    <w:uiPriority w:val="39"/>
    <w:semiHidden/>
    <w:unhideWhenUsed/>
    <w:rsid w:val="00B01DBC"/>
    <w:rPr>
      <w:rFonts w:asciiTheme="minorHAnsi" w:hAnsiTheme="minorHAnsi"/>
      <w:sz w:val="22"/>
      <w:szCs w:val="22"/>
    </w:rPr>
  </w:style>
  <w:style w:type="paragraph" w:styleId="TOC8">
    <w:name w:val="toc 8"/>
    <w:basedOn w:val="Normal"/>
    <w:next w:val="Normal"/>
    <w:autoRedefine/>
    <w:uiPriority w:val="39"/>
    <w:semiHidden/>
    <w:unhideWhenUsed/>
    <w:rsid w:val="00B01DBC"/>
    <w:rPr>
      <w:rFonts w:asciiTheme="minorHAnsi" w:hAnsiTheme="minorHAnsi"/>
      <w:sz w:val="22"/>
      <w:szCs w:val="22"/>
    </w:rPr>
  </w:style>
  <w:style w:type="paragraph" w:styleId="TOC9">
    <w:name w:val="toc 9"/>
    <w:basedOn w:val="Normal"/>
    <w:next w:val="Normal"/>
    <w:autoRedefine/>
    <w:uiPriority w:val="39"/>
    <w:semiHidden/>
    <w:unhideWhenUsed/>
    <w:rsid w:val="00B01DBC"/>
    <w:rPr>
      <w:rFonts w:asciiTheme="minorHAnsi" w:hAnsiTheme="minorHAnsi"/>
      <w:sz w:val="22"/>
      <w:szCs w:val="22"/>
    </w:rPr>
  </w:style>
  <w:style w:type="paragraph" w:customStyle="1" w:styleId="FreeForm">
    <w:name w:val="Free Form"/>
    <w:rsid w:val="000A29F5"/>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numbering" w:customStyle="1" w:styleId="List7">
    <w:name w:val="List 7"/>
    <w:basedOn w:val="NoList"/>
    <w:rsid w:val="000A29F5"/>
    <w:pPr>
      <w:numPr>
        <w:numId w:val="68"/>
      </w:numPr>
    </w:pPr>
  </w:style>
  <w:style w:type="numbering" w:customStyle="1" w:styleId="List8">
    <w:name w:val="List 8"/>
    <w:basedOn w:val="NoList"/>
    <w:rsid w:val="000A29F5"/>
    <w:pPr>
      <w:numPr>
        <w:numId w:val="70"/>
      </w:numPr>
    </w:pPr>
  </w:style>
  <w:style w:type="paragraph" w:styleId="TableofFigures">
    <w:name w:val="table of figures"/>
    <w:basedOn w:val="Normal"/>
    <w:next w:val="Normal"/>
    <w:uiPriority w:val="99"/>
    <w:unhideWhenUsed/>
    <w:rsid w:val="00423183"/>
    <w:pPr>
      <w:ind w:left="480" w:hanging="480"/>
    </w:pPr>
    <w:rPr>
      <w:rFonts w:asciiTheme="minorHAnsi" w:hAnsiTheme="minorHAnsi"/>
      <w:caps/>
      <w:sz w:val="20"/>
      <w:szCs w:val="20"/>
    </w:rPr>
  </w:style>
  <w:style w:type="paragraph" w:styleId="CommentSubject">
    <w:name w:val="annotation subject"/>
    <w:basedOn w:val="CommentText"/>
    <w:next w:val="CommentText"/>
    <w:link w:val="CommentSubjectChar"/>
    <w:uiPriority w:val="99"/>
    <w:semiHidden/>
    <w:unhideWhenUsed/>
    <w:rsid w:val="00657992"/>
    <w:rPr>
      <w:b/>
      <w:bCs/>
      <w:sz w:val="20"/>
      <w:szCs w:val="20"/>
    </w:rPr>
  </w:style>
  <w:style w:type="character" w:customStyle="1" w:styleId="CommentSubjectChar">
    <w:name w:val="Comment Subject Char"/>
    <w:basedOn w:val="CommentTextChar"/>
    <w:link w:val="CommentSubject"/>
    <w:uiPriority w:val="99"/>
    <w:semiHidden/>
    <w:rsid w:val="00657992"/>
    <w:rPr>
      <w:rFonts w:ascii="Times New Roman" w:eastAsia="Arial Unicode MS" w:hAnsi="Times New Roman" w:cs="Times New Roman"/>
      <w:b/>
      <w:bCs/>
      <w:sz w:val="20"/>
      <w:szCs w:val="20"/>
      <w:bdr w:val="nil"/>
    </w:rPr>
  </w:style>
  <w:style w:type="paragraph" w:styleId="Revision">
    <w:name w:val="Revision"/>
    <w:hidden/>
    <w:uiPriority w:val="99"/>
    <w:semiHidden/>
    <w:rsid w:val="005A6210"/>
    <w:rPr>
      <w:rFonts w:ascii="Times New Roman" w:eastAsia="Arial Unicode MS" w:hAnsi="Times New Roman" w:cs="Times New Roman"/>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9900">
      <w:bodyDiv w:val="1"/>
      <w:marLeft w:val="0"/>
      <w:marRight w:val="0"/>
      <w:marTop w:val="0"/>
      <w:marBottom w:val="0"/>
      <w:divBdr>
        <w:top w:val="none" w:sz="0" w:space="0" w:color="auto"/>
        <w:left w:val="none" w:sz="0" w:space="0" w:color="auto"/>
        <w:bottom w:val="none" w:sz="0" w:space="0" w:color="auto"/>
        <w:right w:val="none" w:sz="0" w:space="0" w:color="auto"/>
      </w:divBdr>
    </w:div>
    <w:div w:id="9173285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microsoft.com/office/2007/relationships/hdphoto" Target="media/hdphoto1.wdp"/><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hyperlink" Target="http://www.ncbi.nlm.nih.gov/pubmed" TargetMode="External"/><Relationship Id="rId25" Type="http://schemas.openxmlformats.org/officeDocument/2006/relationships/hyperlink" Target="javascript:WebForm_DoPostBackWithOptions(new%20WebForm_PostBackOptions(%22ctl00$ContentPlaceHolder$ctl00%22,%20%22%22,%20false,%20%22%22,%20%22AddArticle.aspx?capid=LpziMvj2p43cTjhMXk4NTw%3d%3d%22,%20false,%20true))" TargetMode="Externa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header" Target="header2.xml"/><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yperlink" Target="http://www.ncbi.nlm.nih.gov/pubmed"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D40FA-8711-3648-A81C-EF6F06CE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191</Pages>
  <Words>45101</Words>
  <Characters>257081</Characters>
  <Application>Microsoft Macintosh Word</Application>
  <DocSecurity>0</DocSecurity>
  <Lines>2142</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Jacob</dc:creator>
  <cp:lastModifiedBy>Anand Jacob</cp:lastModifiedBy>
  <cp:revision>4</cp:revision>
  <dcterms:created xsi:type="dcterms:W3CDTF">2015-05-13T14:36:00Z</dcterms:created>
  <dcterms:modified xsi:type="dcterms:W3CDTF">2015-05-13T14:48:00Z</dcterms:modified>
</cp:coreProperties>
</file>